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11C11" w14:textId="77777777" w:rsidR="00541F32" w:rsidRDefault="00541F32" w:rsidP="000C55C1">
      <w:pPr>
        <w:rPr>
          <w:sz w:val="40"/>
          <w:szCs w:val="40"/>
        </w:rPr>
      </w:pPr>
      <w:bookmarkStart w:id="0" w:name="_Toc526847744"/>
      <w:bookmarkStart w:id="1" w:name="_Toc527048093"/>
      <w:bookmarkStart w:id="2" w:name="_Hlk531357749"/>
      <w:bookmarkStart w:id="3" w:name="_GoBack"/>
      <w:bookmarkEnd w:id="3"/>
    </w:p>
    <w:p w14:paraId="5ECE0455" w14:textId="77777777" w:rsidR="00B376C9" w:rsidRPr="00032C6C" w:rsidRDefault="00B376C9" w:rsidP="00032C6C">
      <w:pPr>
        <w:rPr>
          <w:sz w:val="40"/>
          <w:szCs w:val="40"/>
        </w:rPr>
      </w:pPr>
    </w:p>
    <w:p w14:paraId="18652BE8" w14:textId="77777777" w:rsidR="0030208D" w:rsidRPr="008E7FF8" w:rsidRDefault="0030208D" w:rsidP="008E7FF8">
      <w:pPr>
        <w:rPr>
          <w:sz w:val="40"/>
          <w:szCs w:val="40"/>
        </w:rPr>
      </w:pPr>
    </w:p>
    <w:p w14:paraId="33F62A94" w14:textId="77777777" w:rsidR="00541F32" w:rsidRDefault="00541F32" w:rsidP="000C55C1">
      <w:pPr>
        <w:rPr>
          <w:sz w:val="40"/>
          <w:szCs w:val="40"/>
        </w:rPr>
      </w:pPr>
    </w:p>
    <w:p w14:paraId="1B64CAB8" w14:textId="4D85D57A" w:rsidR="001E531A" w:rsidRDefault="00F836F0" w:rsidP="000C55C1">
      <w:pPr>
        <w:rPr>
          <w:sz w:val="40"/>
          <w:szCs w:val="40"/>
        </w:rPr>
      </w:pPr>
      <w:r w:rsidRPr="00F836F0">
        <w:rPr>
          <w:noProof/>
          <w:sz w:val="40"/>
          <w:szCs w:val="40"/>
        </w:rPr>
        <w:drawing>
          <wp:inline distT="0" distB="0" distL="0" distR="0" wp14:anchorId="57943E09" wp14:editId="725ACB3E">
            <wp:extent cx="2711429" cy="10729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7225" cy="1079167"/>
                    </a:xfrm>
                    <a:prstGeom prst="rect">
                      <a:avLst/>
                    </a:prstGeom>
                    <a:noFill/>
                    <a:ln>
                      <a:noFill/>
                    </a:ln>
                  </pic:spPr>
                </pic:pic>
              </a:graphicData>
            </a:graphic>
          </wp:inline>
        </w:drawing>
      </w:r>
    </w:p>
    <w:p w14:paraId="434F0E2D" w14:textId="77777777" w:rsidR="00F836F0" w:rsidRDefault="00F836F0" w:rsidP="00725326">
      <w:pPr>
        <w:jc w:val="left"/>
        <w:rPr>
          <w:rFonts w:cs="Arial"/>
          <w:b/>
          <w:color w:val="BE1D2D"/>
          <w:sz w:val="50"/>
          <w:szCs w:val="50"/>
        </w:rPr>
      </w:pPr>
    </w:p>
    <w:p w14:paraId="2A58B095" w14:textId="558A7693" w:rsidR="00E66162" w:rsidRPr="00725326" w:rsidRDefault="00050292" w:rsidP="00725326">
      <w:pPr>
        <w:jc w:val="left"/>
        <w:rPr>
          <w:rFonts w:cs="Arial"/>
          <w:b/>
          <w:color w:val="BE1D2D"/>
          <w:sz w:val="50"/>
          <w:szCs w:val="50"/>
        </w:rPr>
      </w:pPr>
      <w:r w:rsidRPr="00725326">
        <w:rPr>
          <w:rFonts w:cs="Arial"/>
          <w:b/>
          <w:color w:val="BE1D2D"/>
          <w:sz w:val="50"/>
          <w:szCs w:val="50"/>
        </w:rPr>
        <w:t>Integriran</w:t>
      </w:r>
      <w:r w:rsidR="001208C0">
        <w:rPr>
          <w:rFonts w:cs="Arial"/>
          <w:b/>
          <w:color w:val="BE1D2D"/>
          <w:sz w:val="50"/>
          <w:szCs w:val="50"/>
        </w:rPr>
        <w:t>i</w:t>
      </w:r>
      <w:r w:rsidRPr="00725326">
        <w:rPr>
          <w:rFonts w:cs="Arial"/>
          <w:b/>
          <w:color w:val="BE1D2D"/>
          <w:sz w:val="50"/>
          <w:szCs w:val="50"/>
        </w:rPr>
        <w:t xml:space="preserve"> </w:t>
      </w:r>
      <w:r w:rsidR="001208C0">
        <w:rPr>
          <w:rFonts w:cs="Arial"/>
          <w:b/>
          <w:color w:val="BE1D2D"/>
          <w:sz w:val="50"/>
          <w:szCs w:val="50"/>
        </w:rPr>
        <w:t>nacionalni</w:t>
      </w:r>
    </w:p>
    <w:p w14:paraId="0374294C" w14:textId="1A48691A" w:rsidR="004A363C" w:rsidRDefault="001208C0" w:rsidP="00725326">
      <w:pPr>
        <w:jc w:val="left"/>
        <w:rPr>
          <w:rFonts w:cs="Arial"/>
          <w:b/>
          <w:color w:val="BE1D2D"/>
          <w:sz w:val="50"/>
          <w:szCs w:val="50"/>
        </w:rPr>
      </w:pPr>
      <w:r w:rsidRPr="00725326">
        <w:rPr>
          <w:rFonts w:cs="Arial"/>
          <w:b/>
          <w:color w:val="BE1D2D"/>
          <w:sz w:val="50"/>
          <w:szCs w:val="50"/>
        </w:rPr>
        <w:t>energetsk</w:t>
      </w:r>
      <w:r>
        <w:rPr>
          <w:rFonts w:cs="Arial"/>
          <w:b/>
          <w:color w:val="BE1D2D"/>
          <w:sz w:val="50"/>
          <w:szCs w:val="50"/>
        </w:rPr>
        <w:t>i</w:t>
      </w:r>
      <w:r w:rsidRPr="00725326">
        <w:rPr>
          <w:rFonts w:cs="Arial"/>
          <w:b/>
          <w:color w:val="BE1D2D"/>
          <w:sz w:val="50"/>
          <w:szCs w:val="50"/>
        </w:rPr>
        <w:t xml:space="preserve"> </w:t>
      </w:r>
      <w:r w:rsidR="00050292" w:rsidRPr="00725326">
        <w:rPr>
          <w:rFonts w:cs="Arial"/>
          <w:b/>
          <w:color w:val="BE1D2D"/>
          <w:sz w:val="50"/>
          <w:szCs w:val="50"/>
        </w:rPr>
        <w:t xml:space="preserve">i </w:t>
      </w:r>
      <w:r w:rsidRPr="00725326">
        <w:rPr>
          <w:rFonts w:cs="Arial"/>
          <w:b/>
          <w:color w:val="BE1D2D"/>
          <w:sz w:val="50"/>
          <w:szCs w:val="50"/>
        </w:rPr>
        <w:t>klimatsk</w:t>
      </w:r>
      <w:r>
        <w:rPr>
          <w:rFonts w:cs="Arial"/>
          <w:b/>
          <w:color w:val="BE1D2D"/>
          <w:sz w:val="50"/>
          <w:szCs w:val="50"/>
        </w:rPr>
        <w:t>i</w:t>
      </w:r>
      <w:r w:rsidRPr="00725326">
        <w:rPr>
          <w:rFonts w:cs="Arial"/>
          <w:b/>
          <w:color w:val="BE1D2D"/>
          <w:sz w:val="50"/>
          <w:szCs w:val="50"/>
        </w:rPr>
        <w:t xml:space="preserve"> </w:t>
      </w:r>
      <w:r w:rsidR="00050292" w:rsidRPr="00725326">
        <w:rPr>
          <w:rFonts w:cs="Arial"/>
          <w:b/>
          <w:color w:val="BE1D2D"/>
          <w:sz w:val="50"/>
          <w:szCs w:val="50"/>
        </w:rPr>
        <w:t>plan</w:t>
      </w:r>
    </w:p>
    <w:p w14:paraId="37289C90" w14:textId="0B154AB1" w:rsidR="00E66162" w:rsidRPr="00725326" w:rsidRDefault="004A363C" w:rsidP="00725326">
      <w:pPr>
        <w:jc w:val="left"/>
        <w:rPr>
          <w:rFonts w:cs="Arial"/>
          <w:b/>
          <w:color w:val="BE1D2D"/>
          <w:sz w:val="50"/>
          <w:szCs w:val="50"/>
        </w:rPr>
      </w:pPr>
      <w:r>
        <w:rPr>
          <w:rFonts w:cs="Arial"/>
          <w:b/>
          <w:color w:val="BE1D2D"/>
          <w:sz w:val="50"/>
          <w:szCs w:val="50"/>
        </w:rPr>
        <w:t>za Republiku Hrvatsku</w:t>
      </w:r>
      <w:r w:rsidR="00E66162" w:rsidRPr="00725326">
        <w:rPr>
          <w:rFonts w:cs="Arial"/>
          <w:b/>
          <w:color w:val="BE1D2D"/>
          <w:sz w:val="50"/>
          <w:szCs w:val="50"/>
        </w:rPr>
        <w:t xml:space="preserve"> </w:t>
      </w:r>
    </w:p>
    <w:p w14:paraId="4F1F5C7F" w14:textId="7B272053" w:rsidR="004D5C6B" w:rsidRPr="00725326" w:rsidRDefault="00CC7E0C" w:rsidP="00725326">
      <w:pPr>
        <w:jc w:val="left"/>
        <w:rPr>
          <w:rFonts w:cs="Arial"/>
          <w:b/>
          <w:color w:val="5B9BD5" w:themeColor="accent1"/>
          <w:sz w:val="28"/>
          <w:szCs w:val="28"/>
        </w:rPr>
      </w:pPr>
      <w:r>
        <w:rPr>
          <w:rFonts w:cs="Arial"/>
          <w:b/>
          <w:color w:val="5B9BD5" w:themeColor="accent1"/>
          <w:sz w:val="28"/>
          <w:szCs w:val="28"/>
        </w:rPr>
        <w:t>za r</w:t>
      </w:r>
      <w:r w:rsidR="00050292" w:rsidRPr="00725326">
        <w:rPr>
          <w:rFonts w:cs="Arial"/>
          <w:b/>
          <w:color w:val="5B9BD5" w:themeColor="accent1"/>
          <w:sz w:val="28"/>
          <w:szCs w:val="28"/>
        </w:rPr>
        <w:t>azdoblje od 2021. do 2030. godine</w:t>
      </w:r>
    </w:p>
    <w:p w14:paraId="710E1336" w14:textId="4403F60E" w:rsidR="00E66162" w:rsidRDefault="00E66162" w:rsidP="000C55C1">
      <w:pPr>
        <w:rPr>
          <w:rFonts w:cs="Arial"/>
          <w:b/>
          <w:color w:val="BE1D2D"/>
          <w:sz w:val="40"/>
          <w:szCs w:val="40"/>
        </w:rPr>
      </w:pPr>
    </w:p>
    <w:p w14:paraId="67033F3D" w14:textId="029E044B" w:rsidR="00E66162" w:rsidRDefault="00E66162" w:rsidP="000C55C1">
      <w:pPr>
        <w:rPr>
          <w:rFonts w:cs="Arial"/>
          <w:b/>
          <w:color w:val="BE1D2D"/>
          <w:sz w:val="40"/>
          <w:szCs w:val="40"/>
        </w:rPr>
      </w:pPr>
    </w:p>
    <w:p w14:paraId="031771C3" w14:textId="3DBBE987" w:rsidR="00E66162" w:rsidRPr="009C754A" w:rsidRDefault="004F15C4" w:rsidP="000C55C1">
      <w:pPr>
        <w:rPr>
          <w:rFonts w:cs="Arial"/>
          <w:b/>
          <w:color w:val="BE1D2D"/>
          <w:sz w:val="28"/>
          <w:szCs w:val="28"/>
        </w:rPr>
      </w:pPr>
      <w:r>
        <w:rPr>
          <w:rFonts w:cs="Arial"/>
          <w:b/>
          <w:color w:val="BE1D2D"/>
          <w:sz w:val="28"/>
          <w:szCs w:val="28"/>
        </w:rPr>
        <w:t>Prosinac</w:t>
      </w:r>
      <w:r w:rsidRPr="009C754A">
        <w:rPr>
          <w:rFonts w:cs="Arial"/>
          <w:b/>
          <w:color w:val="BE1D2D"/>
          <w:sz w:val="28"/>
          <w:szCs w:val="28"/>
        </w:rPr>
        <w:t xml:space="preserve"> </w:t>
      </w:r>
      <w:r w:rsidR="00952518" w:rsidRPr="009C754A">
        <w:rPr>
          <w:rFonts w:cs="Arial"/>
          <w:b/>
          <w:color w:val="BE1D2D"/>
          <w:sz w:val="28"/>
          <w:szCs w:val="28"/>
        </w:rPr>
        <w:t>2019.</w:t>
      </w:r>
    </w:p>
    <w:p w14:paraId="60094BE5" w14:textId="7DE65AD3" w:rsidR="0052110E" w:rsidRDefault="0052110E">
      <w:pPr>
        <w:suppressAutoHyphens w:val="0"/>
        <w:spacing w:before="0" w:after="0" w:line="240" w:lineRule="auto"/>
        <w:jc w:val="left"/>
        <w:rPr>
          <w:rFonts w:cs="Arial"/>
          <w:b/>
          <w:color w:val="BE1D2D"/>
          <w:sz w:val="40"/>
          <w:szCs w:val="40"/>
        </w:rPr>
      </w:pPr>
      <w:r>
        <w:rPr>
          <w:rFonts w:cs="Arial"/>
          <w:b/>
          <w:color w:val="BE1D2D"/>
          <w:sz w:val="40"/>
          <w:szCs w:val="40"/>
        </w:rPr>
        <w:br w:type="page"/>
      </w:r>
    </w:p>
    <w:sdt>
      <w:sdtPr>
        <w:rPr>
          <w:rFonts w:ascii="Arial" w:eastAsia="Times New Roman" w:hAnsi="Arial" w:cs="Times New Roman"/>
          <w:color w:val="auto"/>
          <w:sz w:val="22"/>
          <w:szCs w:val="22"/>
          <w:lang w:val="hr-HR" w:eastAsia="hr-HR"/>
        </w:rPr>
        <w:id w:val="106249541"/>
        <w:docPartObj>
          <w:docPartGallery w:val="Table of Contents"/>
          <w:docPartUnique/>
        </w:docPartObj>
      </w:sdtPr>
      <w:sdtEndPr>
        <w:rPr>
          <w:b/>
          <w:bCs/>
        </w:rPr>
      </w:sdtEndPr>
      <w:sdtContent>
        <w:p w14:paraId="556A8993" w14:textId="20554AFF" w:rsidR="0052110E" w:rsidRPr="00725326" w:rsidRDefault="0052110E">
          <w:pPr>
            <w:pStyle w:val="TOCHeading"/>
            <w:rPr>
              <w:rFonts w:ascii="Arial" w:hAnsi="Arial" w:cs="Arial"/>
              <w:b/>
              <w:lang w:val="hr-HR"/>
            </w:rPr>
          </w:pPr>
          <w:r w:rsidRPr="00725326">
            <w:rPr>
              <w:rFonts w:ascii="Arial" w:hAnsi="Arial" w:cs="Arial"/>
              <w:b/>
              <w:lang w:val="hr-HR"/>
            </w:rPr>
            <w:t>Sadržaj</w:t>
          </w:r>
        </w:p>
        <w:p w14:paraId="0048B557" w14:textId="45CC0493" w:rsidR="00154150" w:rsidRDefault="00BD4BBF">
          <w:pPr>
            <w:pStyle w:val="TOC1"/>
            <w:rPr>
              <w:rFonts w:asciiTheme="minorHAnsi" w:eastAsiaTheme="minorEastAsia" w:hAnsiTheme="minorHAnsi" w:cstheme="minorBidi"/>
              <w:b w:val="0"/>
              <w:noProof/>
              <w:color w:val="auto"/>
              <w:sz w:val="22"/>
            </w:rPr>
          </w:pPr>
          <w:r>
            <w:rPr>
              <w:lang w:eastAsia="en-US"/>
            </w:rPr>
            <w:fldChar w:fldCharType="begin"/>
          </w:r>
          <w:r>
            <w:rPr>
              <w:lang w:eastAsia="en-US"/>
            </w:rPr>
            <w:instrText xml:space="preserve"> TOC \o "1-2" \h \z \u </w:instrText>
          </w:r>
          <w:r>
            <w:rPr>
              <w:lang w:eastAsia="en-US"/>
            </w:rPr>
            <w:fldChar w:fldCharType="separate"/>
          </w:r>
          <w:hyperlink w:anchor="_Toc27396096" w:history="1">
            <w:r w:rsidR="00154150" w:rsidRPr="004158FD">
              <w:rPr>
                <w:rStyle w:val="Hyperlink"/>
              </w:rPr>
              <w:t>ODJELJAK A: NACIONALNI PLAN</w:t>
            </w:r>
            <w:r w:rsidR="00154150">
              <w:rPr>
                <w:noProof/>
                <w:webHidden/>
              </w:rPr>
              <w:tab/>
            </w:r>
            <w:r w:rsidR="00154150">
              <w:rPr>
                <w:noProof/>
                <w:webHidden/>
              </w:rPr>
              <w:fldChar w:fldCharType="begin"/>
            </w:r>
            <w:r w:rsidR="00154150">
              <w:rPr>
                <w:noProof/>
                <w:webHidden/>
              </w:rPr>
              <w:instrText xml:space="preserve"> PAGEREF _Toc27396096 \h </w:instrText>
            </w:r>
            <w:r w:rsidR="00154150">
              <w:rPr>
                <w:noProof/>
                <w:webHidden/>
              </w:rPr>
            </w:r>
            <w:r w:rsidR="00154150">
              <w:rPr>
                <w:noProof/>
                <w:webHidden/>
              </w:rPr>
              <w:fldChar w:fldCharType="separate"/>
            </w:r>
            <w:r w:rsidR="00154150">
              <w:rPr>
                <w:noProof/>
                <w:webHidden/>
              </w:rPr>
              <w:t>6</w:t>
            </w:r>
            <w:r w:rsidR="00154150">
              <w:rPr>
                <w:noProof/>
                <w:webHidden/>
              </w:rPr>
              <w:fldChar w:fldCharType="end"/>
            </w:r>
          </w:hyperlink>
        </w:p>
        <w:p w14:paraId="0061722C" w14:textId="5DE8B827" w:rsidR="00154150" w:rsidRDefault="00ED1E5D">
          <w:pPr>
            <w:pStyle w:val="TOC1"/>
            <w:rPr>
              <w:rFonts w:asciiTheme="minorHAnsi" w:eastAsiaTheme="minorEastAsia" w:hAnsiTheme="minorHAnsi" w:cstheme="minorBidi"/>
              <w:b w:val="0"/>
              <w:noProof/>
              <w:color w:val="auto"/>
              <w:sz w:val="22"/>
            </w:rPr>
          </w:pPr>
          <w:hyperlink w:anchor="_Toc27396097" w:history="1">
            <w:r w:rsidR="00154150" w:rsidRPr="004158FD">
              <w:rPr>
                <w:rStyle w:val="Hyperlink"/>
              </w:rPr>
              <w:t>1.</w:t>
            </w:r>
            <w:r w:rsidR="00154150">
              <w:rPr>
                <w:rFonts w:asciiTheme="minorHAnsi" w:eastAsiaTheme="minorEastAsia" w:hAnsiTheme="minorHAnsi" w:cstheme="minorBidi"/>
                <w:b w:val="0"/>
                <w:noProof/>
                <w:color w:val="auto"/>
                <w:sz w:val="22"/>
              </w:rPr>
              <w:tab/>
            </w:r>
            <w:r w:rsidR="00154150" w:rsidRPr="004158FD">
              <w:rPr>
                <w:rStyle w:val="Hyperlink"/>
              </w:rPr>
              <w:t>PREGLED I PROCES DONOŠENJA PLANA</w:t>
            </w:r>
            <w:r w:rsidR="00154150">
              <w:rPr>
                <w:noProof/>
                <w:webHidden/>
              </w:rPr>
              <w:tab/>
            </w:r>
            <w:r w:rsidR="00154150">
              <w:rPr>
                <w:noProof/>
                <w:webHidden/>
              </w:rPr>
              <w:fldChar w:fldCharType="begin"/>
            </w:r>
            <w:r w:rsidR="00154150">
              <w:rPr>
                <w:noProof/>
                <w:webHidden/>
              </w:rPr>
              <w:instrText xml:space="preserve"> PAGEREF _Toc27396097 \h </w:instrText>
            </w:r>
            <w:r w:rsidR="00154150">
              <w:rPr>
                <w:noProof/>
                <w:webHidden/>
              </w:rPr>
            </w:r>
            <w:r w:rsidR="00154150">
              <w:rPr>
                <w:noProof/>
                <w:webHidden/>
              </w:rPr>
              <w:fldChar w:fldCharType="separate"/>
            </w:r>
            <w:r w:rsidR="00154150">
              <w:rPr>
                <w:noProof/>
                <w:webHidden/>
              </w:rPr>
              <w:t>7</w:t>
            </w:r>
            <w:r w:rsidR="00154150">
              <w:rPr>
                <w:noProof/>
                <w:webHidden/>
              </w:rPr>
              <w:fldChar w:fldCharType="end"/>
            </w:r>
          </w:hyperlink>
        </w:p>
        <w:p w14:paraId="3565B1DE" w14:textId="2DF0DA43" w:rsidR="00154150" w:rsidRDefault="00ED1E5D">
          <w:pPr>
            <w:pStyle w:val="TOC2"/>
            <w:rPr>
              <w:rFonts w:asciiTheme="minorHAnsi" w:eastAsiaTheme="minorEastAsia" w:hAnsiTheme="minorHAnsi" w:cstheme="minorBidi"/>
              <w:noProof/>
            </w:rPr>
          </w:pPr>
          <w:hyperlink w:anchor="_Toc27396098" w:history="1">
            <w:r w:rsidR="00154150" w:rsidRPr="004158FD">
              <w:rPr>
                <w:rStyle w:val="Hyperlink"/>
              </w:rPr>
              <w:t>1.1</w:t>
            </w:r>
            <w:r w:rsidR="00154150">
              <w:rPr>
                <w:rFonts w:asciiTheme="minorHAnsi" w:eastAsiaTheme="minorEastAsia" w:hAnsiTheme="minorHAnsi" w:cstheme="minorBidi"/>
                <w:noProof/>
              </w:rPr>
              <w:tab/>
            </w:r>
            <w:r w:rsidR="00154150" w:rsidRPr="004158FD">
              <w:rPr>
                <w:rStyle w:val="Hyperlink"/>
              </w:rPr>
              <w:t>Sažetak</w:t>
            </w:r>
            <w:r w:rsidR="00154150">
              <w:rPr>
                <w:noProof/>
                <w:webHidden/>
              </w:rPr>
              <w:tab/>
            </w:r>
            <w:r w:rsidR="00154150">
              <w:rPr>
                <w:noProof/>
                <w:webHidden/>
              </w:rPr>
              <w:fldChar w:fldCharType="begin"/>
            </w:r>
            <w:r w:rsidR="00154150">
              <w:rPr>
                <w:noProof/>
                <w:webHidden/>
              </w:rPr>
              <w:instrText xml:space="preserve"> PAGEREF _Toc27396098 \h </w:instrText>
            </w:r>
            <w:r w:rsidR="00154150">
              <w:rPr>
                <w:noProof/>
                <w:webHidden/>
              </w:rPr>
            </w:r>
            <w:r w:rsidR="00154150">
              <w:rPr>
                <w:noProof/>
                <w:webHidden/>
              </w:rPr>
              <w:fldChar w:fldCharType="separate"/>
            </w:r>
            <w:r w:rsidR="00154150">
              <w:rPr>
                <w:noProof/>
                <w:webHidden/>
              </w:rPr>
              <w:t>7</w:t>
            </w:r>
            <w:r w:rsidR="00154150">
              <w:rPr>
                <w:noProof/>
                <w:webHidden/>
              </w:rPr>
              <w:fldChar w:fldCharType="end"/>
            </w:r>
          </w:hyperlink>
        </w:p>
        <w:p w14:paraId="19655620" w14:textId="381BC321" w:rsidR="00154150" w:rsidRDefault="00ED1E5D">
          <w:pPr>
            <w:pStyle w:val="TOC2"/>
            <w:rPr>
              <w:rFonts w:asciiTheme="minorHAnsi" w:eastAsiaTheme="minorEastAsia" w:hAnsiTheme="minorHAnsi" w:cstheme="minorBidi"/>
              <w:noProof/>
            </w:rPr>
          </w:pPr>
          <w:hyperlink w:anchor="_Toc27396099" w:history="1">
            <w:r w:rsidR="00154150" w:rsidRPr="004158FD">
              <w:rPr>
                <w:rStyle w:val="Hyperlink"/>
              </w:rPr>
              <w:t>1.2</w:t>
            </w:r>
            <w:r w:rsidR="00154150">
              <w:rPr>
                <w:rFonts w:asciiTheme="minorHAnsi" w:eastAsiaTheme="minorEastAsia" w:hAnsiTheme="minorHAnsi" w:cstheme="minorBidi"/>
                <w:noProof/>
              </w:rPr>
              <w:tab/>
            </w:r>
            <w:r w:rsidR="00154150" w:rsidRPr="004158FD">
              <w:rPr>
                <w:rStyle w:val="Hyperlink"/>
              </w:rPr>
              <w:t>Pregled trenutačnog stanja u pogledu politika</w:t>
            </w:r>
            <w:r w:rsidR="00154150">
              <w:rPr>
                <w:noProof/>
                <w:webHidden/>
              </w:rPr>
              <w:tab/>
            </w:r>
            <w:r w:rsidR="00154150">
              <w:rPr>
                <w:noProof/>
                <w:webHidden/>
              </w:rPr>
              <w:fldChar w:fldCharType="begin"/>
            </w:r>
            <w:r w:rsidR="00154150">
              <w:rPr>
                <w:noProof/>
                <w:webHidden/>
              </w:rPr>
              <w:instrText xml:space="preserve"> PAGEREF _Toc27396099 \h </w:instrText>
            </w:r>
            <w:r w:rsidR="00154150">
              <w:rPr>
                <w:noProof/>
                <w:webHidden/>
              </w:rPr>
            </w:r>
            <w:r w:rsidR="00154150">
              <w:rPr>
                <w:noProof/>
                <w:webHidden/>
              </w:rPr>
              <w:fldChar w:fldCharType="separate"/>
            </w:r>
            <w:r w:rsidR="00154150">
              <w:rPr>
                <w:noProof/>
                <w:webHidden/>
              </w:rPr>
              <w:t>15</w:t>
            </w:r>
            <w:r w:rsidR="00154150">
              <w:rPr>
                <w:noProof/>
                <w:webHidden/>
              </w:rPr>
              <w:fldChar w:fldCharType="end"/>
            </w:r>
          </w:hyperlink>
        </w:p>
        <w:p w14:paraId="5FA5B83B" w14:textId="12A5A1B7" w:rsidR="00154150" w:rsidRDefault="00ED1E5D">
          <w:pPr>
            <w:pStyle w:val="TOC2"/>
            <w:rPr>
              <w:rFonts w:asciiTheme="minorHAnsi" w:eastAsiaTheme="minorEastAsia" w:hAnsiTheme="minorHAnsi" w:cstheme="minorBidi"/>
              <w:noProof/>
            </w:rPr>
          </w:pPr>
          <w:hyperlink w:anchor="_Toc27396100" w:history="1">
            <w:r w:rsidR="00154150" w:rsidRPr="004158FD">
              <w:rPr>
                <w:rStyle w:val="Hyperlink"/>
              </w:rPr>
              <w:t>1.3</w:t>
            </w:r>
            <w:r w:rsidR="00154150">
              <w:rPr>
                <w:rFonts w:asciiTheme="minorHAnsi" w:eastAsiaTheme="minorEastAsia" w:hAnsiTheme="minorHAnsi" w:cstheme="minorBidi"/>
                <w:noProof/>
              </w:rPr>
              <w:tab/>
            </w:r>
            <w:r w:rsidR="00154150" w:rsidRPr="004158FD">
              <w:rPr>
                <w:rStyle w:val="Hyperlink"/>
              </w:rPr>
              <w:t>Savjetovanja i sudjelovanje nacionalnih subjekata i subjekata EU-a te ishod savjetovanja</w:t>
            </w:r>
            <w:r w:rsidR="00154150">
              <w:rPr>
                <w:noProof/>
                <w:webHidden/>
              </w:rPr>
              <w:tab/>
            </w:r>
            <w:r w:rsidR="00154150">
              <w:rPr>
                <w:noProof/>
                <w:webHidden/>
              </w:rPr>
              <w:fldChar w:fldCharType="begin"/>
            </w:r>
            <w:r w:rsidR="00154150">
              <w:rPr>
                <w:noProof/>
                <w:webHidden/>
              </w:rPr>
              <w:instrText xml:space="preserve"> PAGEREF _Toc27396100 \h </w:instrText>
            </w:r>
            <w:r w:rsidR="00154150">
              <w:rPr>
                <w:noProof/>
                <w:webHidden/>
              </w:rPr>
            </w:r>
            <w:r w:rsidR="00154150">
              <w:rPr>
                <w:noProof/>
                <w:webHidden/>
              </w:rPr>
              <w:fldChar w:fldCharType="separate"/>
            </w:r>
            <w:r w:rsidR="00154150">
              <w:rPr>
                <w:noProof/>
                <w:webHidden/>
              </w:rPr>
              <w:t>46</w:t>
            </w:r>
            <w:r w:rsidR="00154150">
              <w:rPr>
                <w:noProof/>
                <w:webHidden/>
              </w:rPr>
              <w:fldChar w:fldCharType="end"/>
            </w:r>
          </w:hyperlink>
        </w:p>
        <w:p w14:paraId="73998885" w14:textId="67D4F1C2" w:rsidR="00154150" w:rsidRDefault="00ED1E5D">
          <w:pPr>
            <w:pStyle w:val="TOC2"/>
            <w:rPr>
              <w:rFonts w:asciiTheme="minorHAnsi" w:eastAsiaTheme="minorEastAsia" w:hAnsiTheme="minorHAnsi" w:cstheme="minorBidi"/>
              <w:noProof/>
            </w:rPr>
          </w:pPr>
          <w:hyperlink w:anchor="_Toc27396101" w:history="1">
            <w:r w:rsidR="00154150" w:rsidRPr="004158FD">
              <w:rPr>
                <w:rStyle w:val="Hyperlink"/>
              </w:rPr>
              <w:t>1.4</w:t>
            </w:r>
            <w:r w:rsidR="00154150">
              <w:rPr>
                <w:rFonts w:asciiTheme="minorHAnsi" w:eastAsiaTheme="minorEastAsia" w:hAnsiTheme="minorHAnsi" w:cstheme="minorBidi"/>
                <w:noProof/>
              </w:rPr>
              <w:tab/>
            </w:r>
            <w:r w:rsidR="00154150" w:rsidRPr="004158FD">
              <w:rPr>
                <w:rStyle w:val="Hyperlink"/>
              </w:rPr>
              <w:t>Regionalna suradnja u izradi plana</w:t>
            </w:r>
            <w:r w:rsidR="00154150">
              <w:rPr>
                <w:noProof/>
                <w:webHidden/>
              </w:rPr>
              <w:tab/>
            </w:r>
            <w:r w:rsidR="00154150">
              <w:rPr>
                <w:noProof/>
                <w:webHidden/>
              </w:rPr>
              <w:fldChar w:fldCharType="begin"/>
            </w:r>
            <w:r w:rsidR="00154150">
              <w:rPr>
                <w:noProof/>
                <w:webHidden/>
              </w:rPr>
              <w:instrText xml:space="preserve"> PAGEREF _Toc27396101 \h </w:instrText>
            </w:r>
            <w:r w:rsidR="00154150">
              <w:rPr>
                <w:noProof/>
                <w:webHidden/>
              </w:rPr>
            </w:r>
            <w:r w:rsidR="00154150">
              <w:rPr>
                <w:noProof/>
                <w:webHidden/>
              </w:rPr>
              <w:fldChar w:fldCharType="separate"/>
            </w:r>
            <w:r w:rsidR="00154150">
              <w:rPr>
                <w:noProof/>
                <w:webHidden/>
              </w:rPr>
              <w:t>48</w:t>
            </w:r>
            <w:r w:rsidR="00154150">
              <w:rPr>
                <w:noProof/>
                <w:webHidden/>
              </w:rPr>
              <w:fldChar w:fldCharType="end"/>
            </w:r>
          </w:hyperlink>
        </w:p>
        <w:p w14:paraId="64175565" w14:textId="627F09B3" w:rsidR="00154150" w:rsidRDefault="00ED1E5D">
          <w:pPr>
            <w:pStyle w:val="TOC1"/>
            <w:rPr>
              <w:rFonts w:asciiTheme="minorHAnsi" w:eastAsiaTheme="minorEastAsia" w:hAnsiTheme="minorHAnsi" w:cstheme="minorBidi"/>
              <w:b w:val="0"/>
              <w:noProof/>
              <w:color w:val="auto"/>
              <w:sz w:val="22"/>
            </w:rPr>
          </w:pPr>
          <w:hyperlink w:anchor="_Toc27396102" w:history="1">
            <w:r w:rsidR="00154150" w:rsidRPr="004158FD">
              <w:rPr>
                <w:rStyle w:val="Hyperlink"/>
              </w:rPr>
              <w:t>2.</w:t>
            </w:r>
            <w:r w:rsidR="00154150">
              <w:rPr>
                <w:rFonts w:asciiTheme="minorHAnsi" w:eastAsiaTheme="minorEastAsia" w:hAnsiTheme="minorHAnsi" w:cstheme="minorBidi"/>
                <w:b w:val="0"/>
                <w:noProof/>
                <w:color w:val="auto"/>
                <w:sz w:val="22"/>
              </w:rPr>
              <w:tab/>
            </w:r>
            <w:r w:rsidR="00154150" w:rsidRPr="004158FD">
              <w:rPr>
                <w:rStyle w:val="Hyperlink"/>
              </w:rPr>
              <w:t>NACIONALNI CILJEVI</w:t>
            </w:r>
            <w:r w:rsidR="00154150">
              <w:rPr>
                <w:noProof/>
                <w:webHidden/>
              </w:rPr>
              <w:tab/>
            </w:r>
            <w:r w:rsidR="00154150">
              <w:rPr>
                <w:noProof/>
                <w:webHidden/>
              </w:rPr>
              <w:fldChar w:fldCharType="begin"/>
            </w:r>
            <w:r w:rsidR="00154150">
              <w:rPr>
                <w:noProof/>
                <w:webHidden/>
              </w:rPr>
              <w:instrText xml:space="preserve"> PAGEREF _Toc27396102 \h </w:instrText>
            </w:r>
            <w:r w:rsidR="00154150">
              <w:rPr>
                <w:noProof/>
                <w:webHidden/>
              </w:rPr>
            </w:r>
            <w:r w:rsidR="00154150">
              <w:rPr>
                <w:noProof/>
                <w:webHidden/>
              </w:rPr>
              <w:fldChar w:fldCharType="separate"/>
            </w:r>
            <w:r w:rsidR="00154150">
              <w:rPr>
                <w:noProof/>
                <w:webHidden/>
              </w:rPr>
              <w:t>51</w:t>
            </w:r>
            <w:r w:rsidR="00154150">
              <w:rPr>
                <w:noProof/>
                <w:webHidden/>
              </w:rPr>
              <w:fldChar w:fldCharType="end"/>
            </w:r>
          </w:hyperlink>
        </w:p>
        <w:p w14:paraId="6E33DFED" w14:textId="781A410C" w:rsidR="00154150" w:rsidRDefault="00ED1E5D">
          <w:pPr>
            <w:pStyle w:val="TOC2"/>
            <w:rPr>
              <w:rFonts w:asciiTheme="minorHAnsi" w:eastAsiaTheme="minorEastAsia" w:hAnsiTheme="minorHAnsi" w:cstheme="minorBidi"/>
              <w:noProof/>
            </w:rPr>
          </w:pPr>
          <w:hyperlink w:anchor="_Toc27396103" w:history="1">
            <w:r w:rsidR="00154150" w:rsidRPr="004158FD">
              <w:rPr>
                <w:rStyle w:val="Hyperlink"/>
              </w:rPr>
              <w:t>2.1</w:t>
            </w:r>
            <w:r w:rsidR="00154150">
              <w:rPr>
                <w:rFonts w:asciiTheme="minorHAnsi" w:eastAsiaTheme="minorEastAsia" w:hAnsiTheme="minorHAnsi" w:cstheme="minorBidi"/>
                <w:noProof/>
              </w:rPr>
              <w:tab/>
            </w:r>
            <w:r w:rsidR="00154150" w:rsidRPr="004158FD">
              <w:rPr>
                <w:rStyle w:val="Hyperlink"/>
              </w:rPr>
              <w:t>Dimenzija: dekarbonizacija</w:t>
            </w:r>
            <w:r w:rsidR="00154150">
              <w:rPr>
                <w:noProof/>
                <w:webHidden/>
              </w:rPr>
              <w:tab/>
            </w:r>
            <w:r w:rsidR="00154150">
              <w:rPr>
                <w:noProof/>
                <w:webHidden/>
              </w:rPr>
              <w:fldChar w:fldCharType="begin"/>
            </w:r>
            <w:r w:rsidR="00154150">
              <w:rPr>
                <w:noProof/>
                <w:webHidden/>
              </w:rPr>
              <w:instrText xml:space="preserve"> PAGEREF _Toc27396103 \h </w:instrText>
            </w:r>
            <w:r w:rsidR="00154150">
              <w:rPr>
                <w:noProof/>
                <w:webHidden/>
              </w:rPr>
            </w:r>
            <w:r w:rsidR="00154150">
              <w:rPr>
                <w:noProof/>
                <w:webHidden/>
              </w:rPr>
              <w:fldChar w:fldCharType="separate"/>
            </w:r>
            <w:r w:rsidR="00154150">
              <w:rPr>
                <w:noProof/>
                <w:webHidden/>
              </w:rPr>
              <w:t>51</w:t>
            </w:r>
            <w:r w:rsidR="00154150">
              <w:rPr>
                <w:noProof/>
                <w:webHidden/>
              </w:rPr>
              <w:fldChar w:fldCharType="end"/>
            </w:r>
          </w:hyperlink>
        </w:p>
        <w:p w14:paraId="572277F0" w14:textId="26CDAD82" w:rsidR="00154150" w:rsidRDefault="00ED1E5D">
          <w:pPr>
            <w:pStyle w:val="TOC2"/>
            <w:rPr>
              <w:rFonts w:asciiTheme="minorHAnsi" w:eastAsiaTheme="minorEastAsia" w:hAnsiTheme="minorHAnsi" w:cstheme="minorBidi"/>
              <w:noProof/>
            </w:rPr>
          </w:pPr>
          <w:hyperlink w:anchor="_Toc27396104" w:history="1">
            <w:r w:rsidR="00154150" w:rsidRPr="004158FD">
              <w:rPr>
                <w:rStyle w:val="Hyperlink"/>
              </w:rPr>
              <w:t>2.2</w:t>
            </w:r>
            <w:r w:rsidR="00154150">
              <w:rPr>
                <w:rFonts w:asciiTheme="minorHAnsi" w:eastAsiaTheme="minorEastAsia" w:hAnsiTheme="minorHAnsi" w:cstheme="minorBidi"/>
                <w:noProof/>
              </w:rPr>
              <w:tab/>
            </w:r>
            <w:r w:rsidR="00154150" w:rsidRPr="004158FD">
              <w:rPr>
                <w:rStyle w:val="Hyperlink"/>
              </w:rPr>
              <w:t>Dimenzija: energetska učinkovitost</w:t>
            </w:r>
            <w:r w:rsidR="00154150">
              <w:rPr>
                <w:noProof/>
                <w:webHidden/>
              </w:rPr>
              <w:tab/>
            </w:r>
            <w:r w:rsidR="00154150">
              <w:rPr>
                <w:noProof/>
                <w:webHidden/>
              </w:rPr>
              <w:fldChar w:fldCharType="begin"/>
            </w:r>
            <w:r w:rsidR="00154150">
              <w:rPr>
                <w:noProof/>
                <w:webHidden/>
              </w:rPr>
              <w:instrText xml:space="preserve"> PAGEREF _Toc27396104 \h </w:instrText>
            </w:r>
            <w:r w:rsidR="00154150">
              <w:rPr>
                <w:noProof/>
                <w:webHidden/>
              </w:rPr>
            </w:r>
            <w:r w:rsidR="00154150">
              <w:rPr>
                <w:noProof/>
                <w:webHidden/>
              </w:rPr>
              <w:fldChar w:fldCharType="separate"/>
            </w:r>
            <w:r w:rsidR="00154150">
              <w:rPr>
                <w:noProof/>
                <w:webHidden/>
              </w:rPr>
              <w:t>61</w:t>
            </w:r>
            <w:r w:rsidR="00154150">
              <w:rPr>
                <w:noProof/>
                <w:webHidden/>
              </w:rPr>
              <w:fldChar w:fldCharType="end"/>
            </w:r>
          </w:hyperlink>
        </w:p>
        <w:p w14:paraId="6060214E" w14:textId="7812F9EA" w:rsidR="00154150" w:rsidRDefault="00ED1E5D">
          <w:pPr>
            <w:pStyle w:val="TOC2"/>
            <w:rPr>
              <w:rFonts w:asciiTheme="minorHAnsi" w:eastAsiaTheme="minorEastAsia" w:hAnsiTheme="minorHAnsi" w:cstheme="minorBidi"/>
              <w:noProof/>
            </w:rPr>
          </w:pPr>
          <w:hyperlink w:anchor="_Toc27396105" w:history="1">
            <w:r w:rsidR="00154150" w:rsidRPr="004158FD">
              <w:rPr>
                <w:rStyle w:val="Hyperlink"/>
              </w:rPr>
              <w:t>2.3</w:t>
            </w:r>
            <w:r w:rsidR="00154150">
              <w:rPr>
                <w:rFonts w:asciiTheme="minorHAnsi" w:eastAsiaTheme="minorEastAsia" w:hAnsiTheme="minorHAnsi" w:cstheme="minorBidi"/>
                <w:noProof/>
              </w:rPr>
              <w:tab/>
            </w:r>
            <w:r w:rsidR="00154150" w:rsidRPr="004158FD">
              <w:rPr>
                <w:rStyle w:val="Hyperlink"/>
              </w:rPr>
              <w:t>Dimenzija: energetska sigurnost</w:t>
            </w:r>
            <w:r w:rsidR="00154150">
              <w:rPr>
                <w:noProof/>
                <w:webHidden/>
              </w:rPr>
              <w:tab/>
            </w:r>
            <w:r w:rsidR="00154150">
              <w:rPr>
                <w:noProof/>
                <w:webHidden/>
              </w:rPr>
              <w:fldChar w:fldCharType="begin"/>
            </w:r>
            <w:r w:rsidR="00154150">
              <w:rPr>
                <w:noProof/>
                <w:webHidden/>
              </w:rPr>
              <w:instrText xml:space="preserve"> PAGEREF _Toc27396105 \h </w:instrText>
            </w:r>
            <w:r w:rsidR="00154150">
              <w:rPr>
                <w:noProof/>
                <w:webHidden/>
              </w:rPr>
            </w:r>
            <w:r w:rsidR="00154150">
              <w:rPr>
                <w:noProof/>
                <w:webHidden/>
              </w:rPr>
              <w:fldChar w:fldCharType="separate"/>
            </w:r>
            <w:r w:rsidR="00154150">
              <w:rPr>
                <w:noProof/>
                <w:webHidden/>
              </w:rPr>
              <w:t>64</w:t>
            </w:r>
            <w:r w:rsidR="00154150">
              <w:rPr>
                <w:noProof/>
                <w:webHidden/>
              </w:rPr>
              <w:fldChar w:fldCharType="end"/>
            </w:r>
          </w:hyperlink>
        </w:p>
        <w:p w14:paraId="62EA957C" w14:textId="24DCB8D4" w:rsidR="00154150" w:rsidRDefault="00ED1E5D">
          <w:pPr>
            <w:pStyle w:val="TOC2"/>
            <w:rPr>
              <w:rFonts w:asciiTheme="minorHAnsi" w:eastAsiaTheme="minorEastAsia" w:hAnsiTheme="minorHAnsi" w:cstheme="minorBidi"/>
              <w:noProof/>
            </w:rPr>
          </w:pPr>
          <w:hyperlink w:anchor="_Toc27396106" w:history="1">
            <w:r w:rsidR="00154150" w:rsidRPr="004158FD">
              <w:rPr>
                <w:rStyle w:val="Hyperlink"/>
              </w:rPr>
              <w:t>2.4</w:t>
            </w:r>
            <w:r w:rsidR="00154150">
              <w:rPr>
                <w:rFonts w:asciiTheme="minorHAnsi" w:eastAsiaTheme="minorEastAsia" w:hAnsiTheme="minorHAnsi" w:cstheme="minorBidi"/>
                <w:noProof/>
              </w:rPr>
              <w:tab/>
            </w:r>
            <w:r w:rsidR="00154150" w:rsidRPr="004158FD">
              <w:rPr>
                <w:rStyle w:val="Hyperlink"/>
              </w:rPr>
              <w:t>Dimenzija: unutarnje energetsko tržište</w:t>
            </w:r>
            <w:r w:rsidR="00154150">
              <w:rPr>
                <w:noProof/>
                <w:webHidden/>
              </w:rPr>
              <w:tab/>
            </w:r>
            <w:r w:rsidR="00154150">
              <w:rPr>
                <w:noProof/>
                <w:webHidden/>
              </w:rPr>
              <w:fldChar w:fldCharType="begin"/>
            </w:r>
            <w:r w:rsidR="00154150">
              <w:rPr>
                <w:noProof/>
                <w:webHidden/>
              </w:rPr>
              <w:instrText xml:space="preserve"> PAGEREF _Toc27396106 \h </w:instrText>
            </w:r>
            <w:r w:rsidR="00154150">
              <w:rPr>
                <w:noProof/>
                <w:webHidden/>
              </w:rPr>
            </w:r>
            <w:r w:rsidR="00154150">
              <w:rPr>
                <w:noProof/>
                <w:webHidden/>
              </w:rPr>
              <w:fldChar w:fldCharType="separate"/>
            </w:r>
            <w:r w:rsidR="00154150">
              <w:rPr>
                <w:noProof/>
                <w:webHidden/>
              </w:rPr>
              <w:t>71</w:t>
            </w:r>
            <w:r w:rsidR="00154150">
              <w:rPr>
                <w:noProof/>
                <w:webHidden/>
              </w:rPr>
              <w:fldChar w:fldCharType="end"/>
            </w:r>
          </w:hyperlink>
        </w:p>
        <w:p w14:paraId="5C75A251" w14:textId="0D82D43B" w:rsidR="00154150" w:rsidRDefault="00ED1E5D">
          <w:pPr>
            <w:pStyle w:val="TOC2"/>
            <w:rPr>
              <w:rFonts w:asciiTheme="minorHAnsi" w:eastAsiaTheme="minorEastAsia" w:hAnsiTheme="minorHAnsi" w:cstheme="minorBidi"/>
              <w:noProof/>
            </w:rPr>
          </w:pPr>
          <w:hyperlink w:anchor="_Toc27396107" w:history="1">
            <w:r w:rsidR="00154150" w:rsidRPr="004158FD">
              <w:rPr>
                <w:rStyle w:val="Hyperlink"/>
              </w:rPr>
              <w:t>2.5</w:t>
            </w:r>
            <w:r w:rsidR="00154150">
              <w:rPr>
                <w:rFonts w:asciiTheme="minorHAnsi" w:eastAsiaTheme="minorEastAsia" w:hAnsiTheme="minorHAnsi" w:cstheme="minorBidi"/>
                <w:noProof/>
              </w:rPr>
              <w:tab/>
            </w:r>
            <w:r w:rsidR="00154150" w:rsidRPr="004158FD">
              <w:rPr>
                <w:rStyle w:val="Hyperlink"/>
              </w:rPr>
              <w:t>Dimenzija: istraživanje, inovacije i konkurentnost</w:t>
            </w:r>
            <w:r w:rsidR="00154150">
              <w:rPr>
                <w:noProof/>
                <w:webHidden/>
              </w:rPr>
              <w:tab/>
            </w:r>
            <w:r w:rsidR="00154150">
              <w:rPr>
                <w:noProof/>
                <w:webHidden/>
              </w:rPr>
              <w:fldChar w:fldCharType="begin"/>
            </w:r>
            <w:r w:rsidR="00154150">
              <w:rPr>
                <w:noProof/>
                <w:webHidden/>
              </w:rPr>
              <w:instrText xml:space="preserve"> PAGEREF _Toc27396107 \h </w:instrText>
            </w:r>
            <w:r w:rsidR="00154150">
              <w:rPr>
                <w:noProof/>
                <w:webHidden/>
              </w:rPr>
            </w:r>
            <w:r w:rsidR="00154150">
              <w:rPr>
                <w:noProof/>
                <w:webHidden/>
              </w:rPr>
              <w:fldChar w:fldCharType="separate"/>
            </w:r>
            <w:r w:rsidR="00154150">
              <w:rPr>
                <w:noProof/>
                <w:webHidden/>
              </w:rPr>
              <w:t>76</w:t>
            </w:r>
            <w:r w:rsidR="00154150">
              <w:rPr>
                <w:noProof/>
                <w:webHidden/>
              </w:rPr>
              <w:fldChar w:fldCharType="end"/>
            </w:r>
          </w:hyperlink>
        </w:p>
        <w:p w14:paraId="27E0E953" w14:textId="10BBD820" w:rsidR="00154150" w:rsidRDefault="00ED1E5D">
          <w:pPr>
            <w:pStyle w:val="TOC1"/>
            <w:rPr>
              <w:rFonts w:asciiTheme="minorHAnsi" w:eastAsiaTheme="minorEastAsia" w:hAnsiTheme="minorHAnsi" w:cstheme="minorBidi"/>
              <w:b w:val="0"/>
              <w:noProof/>
              <w:color w:val="auto"/>
              <w:sz w:val="22"/>
            </w:rPr>
          </w:pPr>
          <w:hyperlink w:anchor="_Toc27396108" w:history="1">
            <w:r w:rsidR="00154150" w:rsidRPr="004158FD">
              <w:rPr>
                <w:rStyle w:val="Hyperlink"/>
              </w:rPr>
              <w:t>3.</w:t>
            </w:r>
            <w:r w:rsidR="00154150">
              <w:rPr>
                <w:rFonts w:asciiTheme="minorHAnsi" w:eastAsiaTheme="minorEastAsia" w:hAnsiTheme="minorHAnsi" w:cstheme="minorBidi"/>
                <w:b w:val="0"/>
                <w:noProof/>
                <w:color w:val="auto"/>
                <w:sz w:val="22"/>
              </w:rPr>
              <w:tab/>
            </w:r>
            <w:r w:rsidR="00154150" w:rsidRPr="004158FD">
              <w:rPr>
                <w:rStyle w:val="Hyperlink"/>
              </w:rPr>
              <w:t>POLITIKE I MJERE</w:t>
            </w:r>
            <w:r w:rsidR="00154150">
              <w:rPr>
                <w:noProof/>
                <w:webHidden/>
              </w:rPr>
              <w:tab/>
            </w:r>
            <w:r w:rsidR="00154150">
              <w:rPr>
                <w:noProof/>
                <w:webHidden/>
              </w:rPr>
              <w:fldChar w:fldCharType="begin"/>
            </w:r>
            <w:r w:rsidR="00154150">
              <w:rPr>
                <w:noProof/>
                <w:webHidden/>
              </w:rPr>
              <w:instrText xml:space="preserve"> PAGEREF _Toc27396108 \h </w:instrText>
            </w:r>
            <w:r w:rsidR="00154150">
              <w:rPr>
                <w:noProof/>
                <w:webHidden/>
              </w:rPr>
            </w:r>
            <w:r w:rsidR="00154150">
              <w:rPr>
                <w:noProof/>
                <w:webHidden/>
              </w:rPr>
              <w:fldChar w:fldCharType="separate"/>
            </w:r>
            <w:r w:rsidR="00154150">
              <w:rPr>
                <w:noProof/>
                <w:webHidden/>
              </w:rPr>
              <w:t>80</w:t>
            </w:r>
            <w:r w:rsidR="00154150">
              <w:rPr>
                <w:noProof/>
                <w:webHidden/>
              </w:rPr>
              <w:fldChar w:fldCharType="end"/>
            </w:r>
          </w:hyperlink>
        </w:p>
        <w:p w14:paraId="7A63DE34" w14:textId="58983464" w:rsidR="00154150" w:rsidRDefault="00ED1E5D">
          <w:pPr>
            <w:pStyle w:val="TOC2"/>
            <w:rPr>
              <w:rFonts w:asciiTheme="minorHAnsi" w:eastAsiaTheme="minorEastAsia" w:hAnsiTheme="minorHAnsi" w:cstheme="minorBidi"/>
              <w:noProof/>
            </w:rPr>
          </w:pPr>
          <w:hyperlink w:anchor="_Toc27396109" w:history="1">
            <w:r w:rsidR="00154150" w:rsidRPr="004158FD">
              <w:rPr>
                <w:rStyle w:val="Hyperlink"/>
              </w:rPr>
              <w:t>3.1</w:t>
            </w:r>
            <w:r w:rsidR="00154150">
              <w:rPr>
                <w:rFonts w:asciiTheme="minorHAnsi" w:eastAsiaTheme="minorEastAsia" w:hAnsiTheme="minorHAnsi" w:cstheme="minorBidi"/>
                <w:noProof/>
              </w:rPr>
              <w:tab/>
            </w:r>
            <w:r w:rsidR="00154150" w:rsidRPr="004158FD">
              <w:rPr>
                <w:rStyle w:val="Hyperlink"/>
              </w:rPr>
              <w:t>Dimenzija: dekarbonizacija</w:t>
            </w:r>
            <w:r w:rsidR="00154150">
              <w:rPr>
                <w:noProof/>
                <w:webHidden/>
              </w:rPr>
              <w:tab/>
            </w:r>
            <w:r w:rsidR="00154150">
              <w:rPr>
                <w:noProof/>
                <w:webHidden/>
              </w:rPr>
              <w:fldChar w:fldCharType="begin"/>
            </w:r>
            <w:r w:rsidR="00154150">
              <w:rPr>
                <w:noProof/>
                <w:webHidden/>
              </w:rPr>
              <w:instrText xml:space="preserve"> PAGEREF _Toc27396109 \h </w:instrText>
            </w:r>
            <w:r w:rsidR="00154150">
              <w:rPr>
                <w:noProof/>
                <w:webHidden/>
              </w:rPr>
            </w:r>
            <w:r w:rsidR="00154150">
              <w:rPr>
                <w:noProof/>
                <w:webHidden/>
              </w:rPr>
              <w:fldChar w:fldCharType="separate"/>
            </w:r>
            <w:r w:rsidR="00154150">
              <w:rPr>
                <w:noProof/>
                <w:webHidden/>
              </w:rPr>
              <w:t>80</w:t>
            </w:r>
            <w:r w:rsidR="00154150">
              <w:rPr>
                <w:noProof/>
                <w:webHidden/>
              </w:rPr>
              <w:fldChar w:fldCharType="end"/>
            </w:r>
          </w:hyperlink>
        </w:p>
        <w:p w14:paraId="645074EA" w14:textId="6620A582" w:rsidR="00154150" w:rsidRDefault="00ED1E5D">
          <w:pPr>
            <w:pStyle w:val="TOC2"/>
            <w:rPr>
              <w:rFonts w:asciiTheme="minorHAnsi" w:eastAsiaTheme="minorEastAsia" w:hAnsiTheme="minorHAnsi" w:cstheme="minorBidi"/>
              <w:noProof/>
            </w:rPr>
          </w:pPr>
          <w:hyperlink w:anchor="_Toc27396110" w:history="1">
            <w:r w:rsidR="00154150" w:rsidRPr="004158FD">
              <w:rPr>
                <w:rStyle w:val="Hyperlink"/>
              </w:rPr>
              <w:t>3.2</w:t>
            </w:r>
            <w:r w:rsidR="00154150">
              <w:rPr>
                <w:rFonts w:asciiTheme="minorHAnsi" w:eastAsiaTheme="minorEastAsia" w:hAnsiTheme="minorHAnsi" w:cstheme="minorBidi"/>
                <w:noProof/>
              </w:rPr>
              <w:tab/>
            </w:r>
            <w:r w:rsidR="00154150" w:rsidRPr="004158FD">
              <w:rPr>
                <w:rStyle w:val="Hyperlink"/>
              </w:rPr>
              <w:t>Dimenzija: energetska učinkovitost</w:t>
            </w:r>
            <w:r w:rsidR="00154150">
              <w:rPr>
                <w:noProof/>
                <w:webHidden/>
              </w:rPr>
              <w:tab/>
            </w:r>
            <w:r w:rsidR="00154150">
              <w:rPr>
                <w:noProof/>
                <w:webHidden/>
              </w:rPr>
              <w:fldChar w:fldCharType="begin"/>
            </w:r>
            <w:r w:rsidR="00154150">
              <w:rPr>
                <w:noProof/>
                <w:webHidden/>
              </w:rPr>
              <w:instrText xml:space="preserve"> PAGEREF _Toc27396110 \h </w:instrText>
            </w:r>
            <w:r w:rsidR="00154150">
              <w:rPr>
                <w:noProof/>
                <w:webHidden/>
              </w:rPr>
            </w:r>
            <w:r w:rsidR="00154150">
              <w:rPr>
                <w:noProof/>
                <w:webHidden/>
              </w:rPr>
              <w:fldChar w:fldCharType="separate"/>
            </w:r>
            <w:r w:rsidR="00154150">
              <w:rPr>
                <w:noProof/>
                <w:webHidden/>
              </w:rPr>
              <w:t>132</w:t>
            </w:r>
            <w:r w:rsidR="00154150">
              <w:rPr>
                <w:noProof/>
                <w:webHidden/>
              </w:rPr>
              <w:fldChar w:fldCharType="end"/>
            </w:r>
          </w:hyperlink>
        </w:p>
        <w:p w14:paraId="7DA210F1" w14:textId="0CB809CC" w:rsidR="00154150" w:rsidRDefault="00ED1E5D">
          <w:pPr>
            <w:pStyle w:val="TOC2"/>
            <w:rPr>
              <w:rFonts w:asciiTheme="minorHAnsi" w:eastAsiaTheme="minorEastAsia" w:hAnsiTheme="minorHAnsi" w:cstheme="minorBidi"/>
              <w:noProof/>
            </w:rPr>
          </w:pPr>
          <w:hyperlink w:anchor="_Toc27396111" w:history="1">
            <w:r w:rsidR="00154150" w:rsidRPr="004158FD">
              <w:rPr>
                <w:rStyle w:val="Hyperlink"/>
              </w:rPr>
              <w:t>3.3</w:t>
            </w:r>
            <w:r w:rsidR="00154150">
              <w:rPr>
                <w:rFonts w:asciiTheme="minorHAnsi" w:eastAsiaTheme="minorEastAsia" w:hAnsiTheme="minorHAnsi" w:cstheme="minorBidi"/>
                <w:noProof/>
              </w:rPr>
              <w:tab/>
            </w:r>
            <w:r w:rsidR="00154150" w:rsidRPr="004158FD">
              <w:rPr>
                <w:rStyle w:val="Hyperlink"/>
              </w:rPr>
              <w:t>Dimenzija: energetska sigurnost</w:t>
            </w:r>
            <w:r w:rsidR="00154150">
              <w:rPr>
                <w:noProof/>
                <w:webHidden/>
              </w:rPr>
              <w:tab/>
            </w:r>
            <w:r w:rsidR="00154150">
              <w:rPr>
                <w:noProof/>
                <w:webHidden/>
              </w:rPr>
              <w:fldChar w:fldCharType="begin"/>
            </w:r>
            <w:r w:rsidR="00154150">
              <w:rPr>
                <w:noProof/>
                <w:webHidden/>
              </w:rPr>
              <w:instrText xml:space="preserve"> PAGEREF _Toc27396111 \h </w:instrText>
            </w:r>
            <w:r w:rsidR="00154150">
              <w:rPr>
                <w:noProof/>
                <w:webHidden/>
              </w:rPr>
            </w:r>
            <w:r w:rsidR="00154150">
              <w:rPr>
                <w:noProof/>
                <w:webHidden/>
              </w:rPr>
              <w:fldChar w:fldCharType="separate"/>
            </w:r>
            <w:r w:rsidR="00154150">
              <w:rPr>
                <w:noProof/>
                <w:webHidden/>
              </w:rPr>
              <w:t>160</w:t>
            </w:r>
            <w:r w:rsidR="00154150">
              <w:rPr>
                <w:noProof/>
                <w:webHidden/>
              </w:rPr>
              <w:fldChar w:fldCharType="end"/>
            </w:r>
          </w:hyperlink>
        </w:p>
        <w:p w14:paraId="4D70E8E2" w14:textId="6F2B27A1" w:rsidR="00154150" w:rsidRDefault="00ED1E5D">
          <w:pPr>
            <w:pStyle w:val="TOC2"/>
            <w:rPr>
              <w:rFonts w:asciiTheme="minorHAnsi" w:eastAsiaTheme="minorEastAsia" w:hAnsiTheme="minorHAnsi" w:cstheme="minorBidi"/>
              <w:noProof/>
            </w:rPr>
          </w:pPr>
          <w:hyperlink w:anchor="_Toc27396112" w:history="1">
            <w:r w:rsidR="00154150" w:rsidRPr="004158FD">
              <w:rPr>
                <w:rStyle w:val="Hyperlink"/>
              </w:rPr>
              <w:t>3.4</w:t>
            </w:r>
            <w:r w:rsidR="00154150">
              <w:rPr>
                <w:rFonts w:asciiTheme="minorHAnsi" w:eastAsiaTheme="minorEastAsia" w:hAnsiTheme="minorHAnsi" w:cstheme="minorBidi"/>
                <w:noProof/>
              </w:rPr>
              <w:tab/>
            </w:r>
            <w:r w:rsidR="00154150" w:rsidRPr="004158FD">
              <w:rPr>
                <w:rStyle w:val="Hyperlink"/>
              </w:rPr>
              <w:t>Dimenzija: unutarnje energetsko tržište</w:t>
            </w:r>
            <w:r w:rsidR="00154150">
              <w:rPr>
                <w:noProof/>
                <w:webHidden/>
              </w:rPr>
              <w:tab/>
            </w:r>
            <w:r w:rsidR="00154150">
              <w:rPr>
                <w:noProof/>
                <w:webHidden/>
              </w:rPr>
              <w:fldChar w:fldCharType="begin"/>
            </w:r>
            <w:r w:rsidR="00154150">
              <w:rPr>
                <w:noProof/>
                <w:webHidden/>
              </w:rPr>
              <w:instrText xml:space="preserve"> PAGEREF _Toc27396112 \h </w:instrText>
            </w:r>
            <w:r w:rsidR="00154150">
              <w:rPr>
                <w:noProof/>
                <w:webHidden/>
              </w:rPr>
            </w:r>
            <w:r w:rsidR="00154150">
              <w:rPr>
                <w:noProof/>
                <w:webHidden/>
              </w:rPr>
              <w:fldChar w:fldCharType="separate"/>
            </w:r>
            <w:r w:rsidR="00154150">
              <w:rPr>
                <w:noProof/>
                <w:webHidden/>
              </w:rPr>
              <w:t>163</w:t>
            </w:r>
            <w:r w:rsidR="00154150">
              <w:rPr>
                <w:noProof/>
                <w:webHidden/>
              </w:rPr>
              <w:fldChar w:fldCharType="end"/>
            </w:r>
          </w:hyperlink>
        </w:p>
        <w:p w14:paraId="7FA2FF56" w14:textId="7FF206DB" w:rsidR="00154150" w:rsidRDefault="00ED1E5D">
          <w:pPr>
            <w:pStyle w:val="TOC2"/>
            <w:rPr>
              <w:rFonts w:asciiTheme="minorHAnsi" w:eastAsiaTheme="minorEastAsia" w:hAnsiTheme="minorHAnsi" w:cstheme="minorBidi"/>
              <w:noProof/>
            </w:rPr>
          </w:pPr>
          <w:hyperlink w:anchor="_Toc27396113" w:history="1">
            <w:r w:rsidR="00154150" w:rsidRPr="004158FD">
              <w:rPr>
                <w:rStyle w:val="Hyperlink"/>
              </w:rPr>
              <w:t>3.5</w:t>
            </w:r>
            <w:r w:rsidR="00154150">
              <w:rPr>
                <w:rFonts w:asciiTheme="minorHAnsi" w:eastAsiaTheme="minorEastAsia" w:hAnsiTheme="minorHAnsi" w:cstheme="minorBidi"/>
                <w:noProof/>
              </w:rPr>
              <w:tab/>
            </w:r>
            <w:r w:rsidR="00154150" w:rsidRPr="004158FD">
              <w:rPr>
                <w:rStyle w:val="Hyperlink"/>
              </w:rPr>
              <w:t>Dimenzija: istraživanje, inovacije i konkurentnost</w:t>
            </w:r>
            <w:r w:rsidR="00154150">
              <w:rPr>
                <w:noProof/>
                <w:webHidden/>
              </w:rPr>
              <w:tab/>
            </w:r>
            <w:r w:rsidR="00154150">
              <w:rPr>
                <w:noProof/>
                <w:webHidden/>
              </w:rPr>
              <w:fldChar w:fldCharType="begin"/>
            </w:r>
            <w:r w:rsidR="00154150">
              <w:rPr>
                <w:noProof/>
                <w:webHidden/>
              </w:rPr>
              <w:instrText xml:space="preserve"> PAGEREF _Toc27396113 \h </w:instrText>
            </w:r>
            <w:r w:rsidR="00154150">
              <w:rPr>
                <w:noProof/>
                <w:webHidden/>
              </w:rPr>
            </w:r>
            <w:r w:rsidR="00154150">
              <w:rPr>
                <w:noProof/>
                <w:webHidden/>
              </w:rPr>
              <w:fldChar w:fldCharType="separate"/>
            </w:r>
            <w:r w:rsidR="00154150">
              <w:rPr>
                <w:noProof/>
                <w:webHidden/>
              </w:rPr>
              <w:t>168</w:t>
            </w:r>
            <w:r w:rsidR="00154150">
              <w:rPr>
                <w:noProof/>
                <w:webHidden/>
              </w:rPr>
              <w:fldChar w:fldCharType="end"/>
            </w:r>
          </w:hyperlink>
        </w:p>
        <w:p w14:paraId="2B2A9342" w14:textId="62A5E83C" w:rsidR="00154150" w:rsidRDefault="00ED1E5D">
          <w:pPr>
            <w:pStyle w:val="TOC1"/>
            <w:rPr>
              <w:rFonts w:asciiTheme="minorHAnsi" w:eastAsiaTheme="minorEastAsia" w:hAnsiTheme="minorHAnsi" w:cstheme="minorBidi"/>
              <w:b w:val="0"/>
              <w:noProof/>
              <w:color w:val="auto"/>
              <w:sz w:val="22"/>
            </w:rPr>
          </w:pPr>
          <w:hyperlink w:anchor="_Toc27396114" w:history="1">
            <w:r w:rsidR="00154150" w:rsidRPr="004158FD">
              <w:rPr>
                <w:rStyle w:val="Hyperlink"/>
              </w:rPr>
              <w:t>ODJELJAK B: ANALITIČKA OSNOVA</w:t>
            </w:r>
            <w:r w:rsidR="00154150">
              <w:rPr>
                <w:noProof/>
                <w:webHidden/>
              </w:rPr>
              <w:tab/>
            </w:r>
            <w:r w:rsidR="00154150">
              <w:rPr>
                <w:noProof/>
                <w:webHidden/>
              </w:rPr>
              <w:fldChar w:fldCharType="begin"/>
            </w:r>
            <w:r w:rsidR="00154150">
              <w:rPr>
                <w:noProof/>
                <w:webHidden/>
              </w:rPr>
              <w:instrText xml:space="preserve"> PAGEREF _Toc27396114 \h </w:instrText>
            </w:r>
            <w:r w:rsidR="00154150">
              <w:rPr>
                <w:noProof/>
                <w:webHidden/>
              </w:rPr>
            </w:r>
            <w:r w:rsidR="00154150">
              <w:rPr>
                <w:noProof/>
                <w:webHidden/>
              </w:rPr>
              <w:fldChar w:fldCharType="separate"/>
            </w:r>
            <w:r w:rsidR="00154150">
              <w:rPr>
                <w:noProof/>
                <w:webHidden/>
              </w:rPr>
              <w:t>174</w:t>
            </w:r>
            <w:r w:rsidR="00154150">
              <w:rPr>
                <w:noProof/>
                <w:webHidden/>
              </w:rPr>
              <w:fldChar w:fldCharType="end"/>
            </w:r>
          </w:hyperlink>
        </w:p>
        <w:p w14:paraId="1B601F20" w14:textId="2D5CE4E3" w:rsidR="00154150" w:rsidRDefault="00ED1E5D">
          <w:pPr>
            <w:pStyle w:val="TOC1"/>
            <w:rPr>
              <w:rFonts w:asciiTheme="minorHAnsi" w:eastAsiaTheme="minorEastAsia" w:hAnsiTheme="minorHAnsi" w:cstheme="minorBidi"/>
              <w:b w:val="0"/>
              <w:noProof/>
              <w:color w:val="auto"/>
              <w:sz w:val="22"/>
            </w:rPr>
          </w:pPr>
          <w:hyperlink w:anchor="_Toc27396115" w:history="1">
            <w:r w:rsidR="00154150" w:rsidRPr="004158FD">
              <w:rPr>
                <w:rStyle w:val="Hyperlink"/>
              </w:rPr>
              <w:t>4.</w:t>
            </w:r>
            <w:r w:rsidR="00154150">
              <w:rPr>
                <w:rFonts w:asciiTheme="minorHAnsi" w:eastAsiaTheme="minorEastAsia" w:hAnsiTheme="minorHAnsi" w:cstheme="minorBidi"/>
                <w:b w:val="0"/>
                <w:noProof/>
                <w:color w:val="auto"/>
                <w:sz w:val="22"/>
              </w:rPr>
              <w:tab/>
            </w:r>
            <w:r w:rsidR="00154150" w:rsidRPr="004158FD">
              <w:rPr>
                <w:rStyle w:val="Hyperlink"/>
              </w:rPr>
              <w:t>TRENUTAČNO STANJE I PROJEKCIJE NA TEMELJU POSTOJEĆIH POLITIKA I MJERA</w:t>
            </w:r>
            <w:r w:rsidR="00154150">
              <w:rPr>
                <w:noProof/>
                <w:webHidden/>
              </w:rPr>
              <w:tab/>
            </w:r>
            <w:r w:rsidR="00154150">
              <w:rPr>
                <w:noProof/>
                <w:webHidden/>
              </w:rPr>
              <w:fldChar w:fldCharType="begin"/>
            </w:r>
            <w:r w:rsidR="00154150">
              <w:rPr>
                <w:noProof/>
                <w:webHidden/>
              </w:rPr>
              <w:instrText xml:space="preserve"> PAGEREF _Toc27396115 \h </w:instrText>
            </w:r>
            <w:r w:rsidR="00154150">
              <w:rPr>
                <w:noProof/>
                <w:webHidden/>
              </w:rPr>
            </w:r>
            <w:r w:rsidR="00154150">
              <w:rPr>
                <w:noProof/>
                <w:webHidden/>
              </w:rPr>
              <w:fldChar w:fldCharType="separate"/>
            </w:r>
            <w:r w:rsidR="00154150">
              <w:rPr>
                <w:noProof/>
                <w:webHidden/>
              </w:rPr>
              <w:t>175</w:t>
            </w:r>
            <w:r w:rsidR="00154150">
              <w:rPr>
                <w:noProof/>
                <w:webHidden/>
              </w:rPr>
              <w:fldChar w:fldCharType="end"/>
            </w:r>
          </w:hyperlink>
        </w:p>
        <w:p w14:paraId="5196C16D" w14:textId="39FA112E" w:rsidR="00154150" w:rsidRDefault="00ED1E5D">
          <w:pPr>
            <w:pStyle w:val="TOC2"/>
            <w:rPr>
              <w:rFonts w:asciiTheme="minorHAnsi" w:eastAsiaTheme="minorEastAsia" w:hAnsiTheme="minorHAnsi" w:cstheme="minorBidi"/>
              <w:noProof/>
            </w:rPr>
          </w:pPr>
          <w:hyperlink w:anchor="_Toc27396116" w:history="1">
            <w:r w:rsidR="00154150" w:rsidRPr="004158FD">
              <w:rPr>
                <w:rStyle w:val="Hyperlink"/>
              </w:rPr>
              <w:t>4.1</w:t>
            </w:r>
            <w:r w:rsidR="00154150">
              <w:rPr>
                <w:rFonts w:asciiTheme="minorHAnsi" w:eastAsiaTheme="minorEastAsia" w:hAnsiTheme="minorHAnsi" w:cstheme="minorBidi"/>
                <w:noProof/>
              </w:rPr>
              <w:tab/>
            </w:r>
            <w:r w:rsidR="00154150" w:rsidRPr="004158FD">
              <w:rPr>
                <w:rStyle w:val="Hyperlink"/>
              </w:rPr>
              <w:t>Predviđeni razvoj glavnih egzogenih čimbenika koji utječu na energetski sustav i trendove u pogledu emisija stakleničkih plinova</w:t>
            </w:r>
            <w:r w:rsidR="00154150">
              <w:rPr>
                <w:noProof/>
                <w:webHidden/>
              </w:rPr>
              <w:tab/>
            </w:r>
            <w:r w:rsidR="00154150">
              <w:rPr>
                <w:noProof/>
                <w:webHidden/>
              </w:rPr>
              <w:fldChar w:fldCharType="begin"/>
            </w:r>
            <w:r w:rsidR="00154150">
              <w:rPr>
                <w:noProof/>
                <w:webHidden/>
              </w:rPr>
              <w:instrText xml:space="preserve"> PAGEREF _Toc27396116 \h </w:instrText>
            </w:r>
            <w:r w:rsidR="00154150">
              <w:rPr>
                <w:noProof/>
                <w:webHidden/>
              </w:rPr>
            </w:r>
            <w:r w:rsidR="00154150">
              <w:rPr>
                <w:noProof/>
                <w:webHidden/>
              </w:rPr>
              <w:fldChar w:fldCharType="separate"/>
            </w:r>
            <w:r w:rsidR="00154150">
              <w:rPr>
                <w:noProof/>
                <w:webHidden/>
              </w:rPr>
              <w:t>175</w:t>
            </w:r>
            <w:r w:rsidR="00154150">
              <w:rPr>
                <w:noProof/>
                <w:webHidden/>
              </w:rPr>
              <w:fldChar w:fldCharType="end"/>
            </w:r>
          </w:hyperlink>
        </w:p>
        <w:p w14:paraId="1F875249" w14:textId="23616B44" w:rsidR="00154150" w:rsidRDefault="00ED1E5D">
          <w:pPr>
            <w:pStyle w:val="TOC2"/>
            <w:rPr>
              <w:rFonts w:asciiTheme="minorHAnsi" w:eastAsiaTheme="minorEastAsia" w:hAnsiTheme="minorHAnsi" w:cstheme="minorBidi"/>
              <w:noProof/>
            </w:rPr>
          </w:pPr>
          <w:hyperlink w:anchor="_Toc27396117" w:history="1">
            <w:r w:rsidR="00154150" w:rsidRPr="004158FD">
              <w:rPr>
                <w:rStyle w:val="Hyperlink"/>
              </w:rPr>
              <w:t>4.2</w:t>
            </w:r>
            <w:r w:rsidR="00154150">
              <w:rPr>
                <w:rFonts w:asciiTheme="minorHAnsi" w:eastAsiaTheme="minorEastAsia" w:hAnsiTheme="minorHAnsi" w:cstheme="minorBidi"/>
                <w:noProof/>
              </w:rPr>
              <w:tab/>
            </w:r>
            <w:r w:rsidR="00154150" w:rsidRPr="004158FD">
              <w:rPr>
                <w:rStyle w:val="Hyperlink"/>
              </w:rPr>
              <w:t>Dimenzija: dekarbonizacija</w:t>
            </w:r>
            <w:r w:rsidR="00154150">
              <w:rPr>
                <w:noProof/>
                <w:webHidden/>
              </w:rPr>
              <w:tab/>
            </w:r>
            <w:r w:rsidR="00154150">
              <w:rPr>
                <w:noProof/>
                <w:webHidden/>
              </w:rPr>
              <w:fldChar w:fldCharType="begin"/>
            </w:r>
            <w:r w:rsidR="00154150">
              <w:rPr>
                <w:noProof/>
                <w:webHidden/>
              </w:rPr>
              <w:instrText xml:space="preserve"> PAGEREF _Toc27396117 \h </w:instrText>
            </w:r>
            <w:r w:rsidR="00154150">
              <w:rPr>
                <w:noProof/>
                <w:webHidden/>
              </w:rPr>
            </w:r>
            <w:r w:rsidR="00154150">
              <w:rPr>
                <w:noProof/>
                <w:webHidden/>
              </w:rPr>
              <w:fldChar w:fldCharType="separate"/>
            </w:r>
            <w:r w:rsidR="00154150">
              <w:rPr>
                <w:noProof/>
                <w:webHidden/>
              </w:rPr>
              <w:t>182</w:t>
            </w:r>
            <w:r w:rsidR="00154150">
              <w:rPr>
                <w:noProof/>
                <w:webHidden/>
              </w:rPr>
              <w:fldChar w:fldCharType="end"/>
            </w:r>
          </w:hyperlink>
        </w:p>
        <w:p w14:paraId="256C6C46" w14:textId="67A98B75" w:rsidR="00154150" w:rsidRDefault="00ED1E5D">
          <w:pPr>
            <w:pStyle w:val="TOC2"/>
            <w:rPr>
              <w:rFonts w:asciiTheme="minorHAnsi" w:eastAsiaTheme="minorEastAsia" w:hAnsiTheme="minorHAnsi" w:cstheme="minorBidi"/>
              <w:noProof/>
            </w:rPr>
          </w:pPr>
          <w:hyperlink w:anchor="_Toc27396118" w:history="1">
            <w:r w:rsidR="00154150" w:rsidRPr="004158FD">
              <w:rPr>
                <w:rStyle w:val="Hyperlink"/>
              </w:rPr>
              <w:t>4.3</w:t>
            </w:r>
            <w:r w:rsidR="00154150">
              <w:rPr>
                <w:rFonts w:asciiTheme="minorHAnsi" w:eastAsiaTheme="minorEastAsia" w:hAnsiTheme="minorHAnsi" w:cstheme="minorBidi"/>
                <w:noProof/>
              </w:rPr>
              <w:tab/>
            </w:r>
            <w:r w:rsidR="00154150" w:rsidRPr="004158FD">
              <w:rPr>
                <w:rStyle w:val="Hyperlink"/>
              </w:rPr>
              <w:t>Dimenzija: energetska učinkovitost</w:t>
            </w:r>
            <w:r w:rsidR="00154150">
              <w:rPr>
                <w:noProof/>
                <w:webHidden/>
              </w:rPr>
              <w:tab/>
            </w:r>
            <w:r w:rsidR="00154150">
              <w:rPr>
                <w:noProof/>
                <w:webHidden/>
              </w:rPr>
              <w:fldChar w:fldCharType="begin"/>
            </w:r>
            <w:r w:rsidR="00154150">
              <w:rPr>
                <w:noProof/>
                <w:webHidden/>
              </w:rPr>
              <w:instrText xml:space="preserve"> PAGEREF _Toc27396118 \h </w:instrText>
            </w:r>
            <w:r w:rsidR="00154150">
              <w:rPr>
                <w:noProof/>
                <w:webHidden/>
              </w:rPr>
            </w:r>
            <w:r w:rsidR="00154150">
              <w:rPr>
                <w:noProof/>
                <w:webHidden/>
              </w:rPr>
              <w:fldChar w:fldCharType="separate"/>
            </w:r>
            <w:r w:rsidR="00154150">
              <w:rPr>
                <w:noProof/>
                <w:webHidden/>
              </w:rPr>
              <w:t>190</w:t>
            </w:r>
            <w:r w:rsidR="00154150">
              <w:rPr>
                <w:noProof/>
                <w:webHidden/>
              </w:rPr>
              <w:fldChar w:fldCharType="end"/>
            </w:r>
          </w:hyperlink>
        </w:p>
        <w:p w14:paraId="4B828448" w14:textId="7F7256BF" w:rsidR="00154150" w:rsidRDefault="00ED1E5D">
          <w:pPr>
            <w:pStyle w:val="TOC2"/>
            <w:rPr>
              <w:rFonts w:asciiTheme="minorHAnsi" w:eastAsiaTheme="minorEastAsia" w:hAnsiTheme="minorHAnsi" w:cstheme="minorBidi"/>
              <w:noProof/>
            </w:rPr>
          </w:pPr>
          <w:hyperlink w:anchor="_Toc27396119" w:history="1">
            <w:r w:rsidR="00154150" w:rsidRPr="004158FD">
              <w:rPr>
                <w:rStyle w:val="Hyperlink"/>
              </w:rPr>
              <w:t>4.4</w:t>
            </w:r>
            <w:r w:rsidR="00154150">
              <w:rPr>
                <w:rFonts w:asciiTheme="minorHAnsi" w:eastAsiaTheme="minorEastAsia" w:hAnsiTheme="minorHAnsi" w:cstheme="minorBidi"/>
                <w:noProof/>
              </w:rPr>
              <w:tab/>
            </w:r>
            <w:r w:rsidR="00154150" w:rsidRPr="004158FD">
              <w:rPr>
                <w:rStyle w:val="Hyperlink"/>
              </w:rPr>
              <w:t>Dimenzija: energetska sigurnost</w:t>
            </w:r>
            <w:r w:rsidR="00154150">
              <w:rPr>
                <w:noProof/>
                <w:webHidden/>
              </w:rPr>
              <w:tab/>
            </w:r>
            <w:r w:rsidR="00154150">
              <w:rPr>
                <w:noProof/>
                <w:webHidden/>
              </w:rPr>
              <w:fldChar w:fldCharType="begin"/>
            </w:r>
            <w:r w:rsidR="00154150">
              <w:rPr>
                <w:noProof/>
                <w:webHidden/>
              </w:rPr>
              <w:instrText xml:space="preserve"> PAGEREF _Toc27396119 \h </w:instrText>
            </w:r>
            <w:r w:rsidR="00154150">
              <w:rPr>
                <w:noProof/>
                <w:webHidden/>
              </w:rPr>
            </w:r>
            <w:r w:rsidR="00154150">
              <w:rPr>
                <w:noProof/>
                <w:webHidden/>
              </w:rPr>
              <w:fldChar w:fldCharType="separate"/>
            </w:r>
            <w:r w:rsidR="00154150">
              <w:rPr>
                <w:noProof/>
                <w:webHidden/>
              </w:rPr>
              <w:t>193</w:t>
            </w:r>
            <w:r w:rsidR="00154150">
              <w:rPr>
                <w:noProof/>
                <w:webHidden/>
              </w:rPr>
              <w:fldChar w:fldCharType="end"/>
            </w:r>
          </w:hyperlink>
        </w:p>
        <w:p w14:paraId="6919A99A" w14:textId="578491C8" w:rsidR="00154150" w:rsidRDefault="00ED1E5D">
          <w:pPr>
            <w:pStyle w:val="TOC2"/>
            <w:rPr>
              <w:rFonts w:asciiTheme="minorHAnsi" w:eastAsiaTheme="minorEastAsia" w:hAnsiTheme="minorHAnsi" w:cstheme="minorBidi"/>
              <w:noProof/>
            </w:rPr>
          </w:pPr>
          <w:hyperlink w:anchor="_Toc27396120" w:history="1">
            <w:r w:rsidR="00154150" w:rsidRPr="004158FD">
              <w:rPr>
                <w:rStyle w:val="Hyperlink"/>
              </w:rPr>
              <w:t>4.5</w:t>
            </w:r>
            <w:r w:rsidR="00154150">
              <w:rPr>
                <w:rFonts w:asciiTheme="minorHAnsi" w:eastAsiaTheme="minorEastAsia" w:hAnsiTheme="minorHAnsi" w:cstheme="minorBidi"/>
                <w:noProof/>
              </w:rPr>
              <w:tab/>
            </w:r>
            <w:r w:rsidR="00154150" w:rsidRPr="004158FD">
              <w:rPr>
                <w:rStyle w:val="Hyperlink"/>
              </w:rPr>
              <w:t>Dimenzija: unutarnje energetsko tržište</w:t>
            </w:r>
            <w:r w:rsidR="00154150">
              <w:rPr>
                <w:noProof/>
                <w:webHidden/>
              </w:rPr>
              <w:tab/>
            </w:r>
            <w:r w:rsidR="00154150">
              <w:rPr>
                <w:noProof/>
                <w:webHidden/>
              </w:rPr>
              <w:fldChar w:fldCharType="begin"/>
            </w:r>
            <w:r w:rsidR="00154150">
              <w:rPr>
                <w:noProof/>
                <w:webHidden/>
              </w:rPr>
              <w:instrText xml:space="preserve"> PAGEREF _Toc27396120 \h </w:instrText>
            </w:r>
            <w:r w:rsidR="00154150">
              <w:rPr>
                <w:noProof/>
                <w:webHidden/>
              </w:rPr>
            </w:r>
            <w:r w:rsidR="00154150">
              <w:rPr>
                <w:noProof/>
                <w:webHidden/>
              </w:rPr>
              <w:fldChar w:fldCharType="separate"/>
            </w:r>
            <w:r w:rsidR="00154150">
              <w:rPr>
                <w:noProof/>
                <w:webHidden/>
              </w:rPr>
              <w:t>197</w:t>
            </w:r>
            <w:r w:rsidR="00154150">
              <w:rPr>
                <w:noProof/>
                <w:webHidden/>
              </w:rPr>
              <w:fldChar w:fldCharType="end"/>
            </w:r>
          </w:hyperlink>
        </w:p>
        <w:p w14:paraId="188C64EB" w14:textId="7B6261B7" w:rsidR="00154150" w:rsidRDefault="00ED1E5D">
          <w:pPr>
            <w:pStyle w:val="TOC2"/>
            <w:rPr>
              <w:rFonts w:asciiTheme="minorHAnsi" w:eastAsiaTheme="minorEastAsia" w:hAnsiTheme="minorHAnsi" w:cstheme="minorBidi"/>
              <w:noProof/>
            </w:rPr>
          </w:pPr>
          <w:hyperlink w:anchor="_Toc27396121" w:history="1">
            <w:r w:rsidR="00154150" w:rsidRPr="004158FD">
              <w:rPr>
                <w:rStyle w:val="Hyperlink"/>
              </w:rPr>
              <w:t>4.6</w:t>
            </w:r>
            <w:r w:rsidR="00154150">
              <w:rPr>
                <w:rFonts w:asciiTheme="minorHAnsi" w:eastAsiaTheme="minorEastAsia" w:hAnsiTheme="minorHAnsi" w:cstheme="minorBidi"/>
                <w:noProof/>
              </w:rPr>
              <w:tab/>
            </w:r>
            <w:r w:rsidR="00154150" w:rsidRPr="004158FD">
              <w:rPr>
                <w:rStyle w:val="Hyperlink"/>
              </w:rPr>
              <w:t>Dimenzija: istraživanje, inovacije i konkurentnost</w:t>
            </w:r>
            <w:r w:rsidR="00154150">
              <w:rPr>
                <w:noProof/>
                <w:webHidden/>
              </w:rPr>
              <w:tab/>
            </w:r>
            <w:r w:rsidR="00154150">
              <w:rPr>
                <w:noProof/>
                <w:webHidden/>
              </w:rPr>
              <w:fldChar w:fldCharType="begin"/>
            </w:r>
            <w:r w:rsidR="00154150">
              <w:rPr>
                <w:noProof/>
                <w:webHidden/>
              </w:rPr>
              <w:instrText xml:space="preserve"> PAGEREF _Toc27396121 \h </w:instrText>
            </w:r>
            <w:r w:rsidR="00154150">
              <w:rPr>
                <w:noProof/>
                <w:webHidden/>
              </w:rPr>
            </w:r>
            <w:r w:rsidR="00154150">
              <w:rPr>
                <w:noProof/>
                <w:webHidden/>
              </w:rPr>
              <w:fldChar w:fldCharType="separate"/>
            </w:r>
            <w:r w:rsidR="00154150">
              <w:rPr>
                <w:noProof/>
                <w:webHidden/>
              </w:rPr>
              <w:t>213</w:t>
            </w:r>
            <w:r w:rsidR="00154150">
              <w:rPr>
                <w:noProof/>
                <w:webHidden/>
              </w:rPr>
              <w:fldChar w:fldCharType="end"/>
            </w:r>
          </w:hyperlink>
        </w:p>
        <w:p w14:paraId="5D085B65" w14:textId="15926AA4" w:rsidR="00154150" w:rsidRDefault="00ED1E5D">
          <w:pPr>
            <w:pStyle w:val="TOC1"/>
            <w:rPr>
              <w:rFonts w:asciiTheme="minorHAnsi" w:eastAsiaTheme="minorEastAsia" w:hAnsiTheme="minorHAnsi" w:cstheme="minorBidi"/>
              <w:b w:val="0"/>
              <w:noProof/>
              <w:color w:val="auto"/>
              <w:sz w:val="22"/>
            </w:rPr>
          </w:pPr>
          <w:hyperlink w:anchor="_Toc27396122" w:history="1">
            <w:r w:rsidR="00154150" w:rsidRPr="004158FD">
              <w:rPr>
                <w:rStyle w:val="Hyperlink"/>
              </w:rPr>
              <w:t>5.</w:t>
            </w:r>
            <w:r w:rsidR="00154150">
              <w:rPr>
                <w:rFonts w:asciiTheme="minorHAnsi" w:eastAsiaTheme="minorEastAsia" w:hAnsiTheme="minorHAnsi" w:cstheme="minorBidi"/>
                <w:b w:val="0"/>
                <w:noProof/>
                <w:color w:val="auto"/>
                <w:sz w:val="22"/>
              </w:rPr>
              <w:tab/>
            </w:r>
            <w:r w:rsidR="00154150" w:rsidRPr="004158FD">
              <w:rPr>
                <w:rStyle w:val="Hyperlink"/>
              </w:rPr>
              <w:t>OCJENA UČINAKA PLANIRANIH POLITIKA I MJERA</w:t>
            </w:r>
            <w:r w:rsidR="00154150">
              <w:rPr>
                <w:noProof/>
                <w:webHidden/>
              </w:rPr>
              <w:tab/>
            </w:r>
            <w:r w:rsidR="00154150">
              <w:rPr>
                <w:noProof/>
                <w:webHidden/>
              </w:rPr>
              <w:fldChar w:fldCharType="begin"/>
            </w:r>
            <w:r w:rsidR="00154150">
              <w:rPr>
                <w:noProof/>
                <w:webHidden/>
              </w:rPr>
              <w:instrText xml:space="preserve"> PAGEREF _Toc27396122 \h </w:instrText>
            </w:r>
            <w:r w:rsidR="00154150">
              <w:rPr>
                <w:noProof/>
                <w:webHidden/>
              </w:rPr>
            </w:r>
            <w:r w:rsidR="00154150">
              <w:rPr>
                <w:noProof/>
                <w:webHidden/>
              </w:rPr>
              <w:fldChar w:fldCharType="separate"/>
            </w:r>
            <w:r w:rsidR="00154150">
              <w:rPr>
                <w:noProof/>
                <w:webHidden/>
              </w:rPr>
              <w:t>223</w:t>
            </w:r>
            <w:r w:rsidR="00154150">
              <w:rPr>
                <w:noProof/>
                <w:webHidden/>
              </w:rPr>
              <w:fldChar w:fldCharType="end"/>
            </w:r>
          </w:hyperlink>
        </w:p>
        <w:p w14:paraId="24A70B3C" w14:textId="194EF878" w:rsidR="00154150" w:rsidRDefault="00ED1E5D">
          <w:pPr>
            <w:pStyle w:val="TOC2"/>
            <w:rPr>
              <w:rFonts w:asciiTheme="minorHAnsi" w:eastAsiaTheme="minorEastAsia" w:hAnsiTheme="minorHAnsi" w:cstheme="minorBidi"/>
              <w:noProof/>
            </w:rPr>
          </w:pPr>
          <w:hyperlink w:anchor="_Toc27396123" w:history="1">
            <w:r w:rsidR="00154150" w:rsidRPr="004158FD">
              <w:rPr>
                <w:rStyle w:val="Hyperlink"/>
              </w:rPr>
              <w:t>5.1</w:t>
            </w:r>
            <w:r w:rsidR="00154150">
              <w:rPr>
                <w:rFonts w:asciiTheme="minorHAnsi" w:eastAsiaTheme="minorEastAsia" w:hAnsiTheme="minorHAnsi" w:cstheme="minorBidi"/>
                <w:noProof/>
              </w:rPr>
              <w:tab/>
            </w:r>
            <w:r w:rsidR="00154150" w:rsidRPr="004158FD">
              <w:rPr>
                <w:rStyle w:val="Hyperlink"/>
              </w:rPr>
              <w:t xml:space="preserve">Učinci planiranih politika i mjera opisanih u odjeljku 3. o energetskom sustavu i emisijama stakleničkih plinova i uklanjanju stakleničkih plinova, uključujući </w:t>
            </w:r>
            <w:r w:rsidR="00154150" w:rsidRPr="004158FD">
              <w:rPr>
                <w:rStyle w:val="Hyperlink"/>
              </w:rPr>
              <w:lastRenderedPageBreak/>
              <w:t>usporedbu s projekcijama na temelju postojećih politika i mjera (kako su opisane u odjeljku 4.).</w:t>
            </w:r>
            <w:r w:rsidR="00154150">
              <w:rPr>
                <w:noProof/>
                <w:webHidden/>
              </w:rPr>
              <w:tab/>
            </w:r>
            <w:r w:rsidR="00154150">
              <w:rPr>
                <w:noProof/>
                <w:webHidden/>
              </w:rPr>
              <w:fldChar w:fldCharType="begin"/>
            </w:r>
            <w:r w:rsidR="00154150">
              <w:rPr>
                <w:noProof/>
                <w:webHidden/>
              </w:rPr>
              <w:instrText xml:space="preserve"> PAGEREF _Toc27396123 \h </w:instrText>
            </w:r>
            <w:r w:rsidR="00154150">
              <w:rPr>
                <w:noProof/>
                <w:webHidden/>
              </w:rPr>
            </w:r>
            <w:r w:rsidR="00154150">
              <w:rPr>
                <w:noProof/>
                <w:webHidden/>
              </w:rPr>
              <w:fldChar w:fldCharType="separate"/>
            </w:r>
            <w:r w:rsidR="00154150">
              <w:rPr>
                <w:noProof/>
                <w:webHidden/>
              </w:rPr>
              <w:t>223</w:t>
            </w:r>
            <w:r w:rsidR="00154150">
              <w:rPr>
                <w:noProof/>
                <w:webHidden/>
              </w:rPr>
              <w:fldChar w:fldCharType="end"/>
            </w:r>
          </w:hyperlink>
        </w:p>
        <w:p w14:paraId="3766B299" w14:textId="66155C2B" w:rsidR="00154150" w:rsidRDefault="00ED1E5D">
          <w:pPr>
            <w:pStyle w:val="TOC2"/>
            <w:rPr>
              <w:rFonts w:asciiTheme="minorHAnsi" w:eastAsiaTheme="minorEastAsia" w:hAnsiTheme="minorHAnsi" w:cstheme="minorBidi"/>
              <w:noProof/>
            </w:rPr>
          </w:pPr>
          <w:hyperlink w:anchor="_Toc27396124" w:history="1">
            <w:r w:rsidR="00154150" w:rsidRPr="004158FD">
              <w:rPr>
                <w:rStyle w:val="Hyperlink"/>
              </w:rPr>
              <w:t>5.2</w:t>
            </w:r>
            <w:r w:rsidR="00154150">
              <w:rPr>
                <w:rFonts w:asciiTheme="minorHAnsi" w:eastAsiaTheme="minorEastAsia" w:hAnsiTheme="minorHAnsi" w:cstheme="minorBidi"/>
                <w:noProof/>
              </w:rPr>
              <w:tab/>
            </w:r>
            <w:r w:rsidR="00154150" w:rsidRPr="004158FD">
              <w:rPr>
                <w:rStyle w:val="Hyperlink"/>
              </w:rPr>
              <w:t>Makroekonomski, okolišni i socijalni učinci i učinci na vještine (u smislu troškova i koristi, kao i ekonomičnosti) planiranih politika i mjera opisanih u odjeljku 3.</w:t>
            </w:r>
            <w:r w:rsidR="00154150">
              <w:rPr>
                <w:noProof/>
                <w:webHidden/>
              </w:rPr>
              <w:tab/>
            </w:r>
            <w:r w:rsidR="00154150">
              <w:rPr>
                <w:noProof/>
                <w:webHidden/>
              </w:rPr>
              <w:fldChar w:fldCharType="begin"/>
            </w:r>
            <w:r w:rsidR="00154150">
              <w:rPr>
                <w:noProof/>
                <w:webHidden/>
              </w:rPr>
              <w:instrText xml:space="preserve"> PAGEREF _Toc27396124 \h </w:instrText>
            </w:r>
            <w:r w:rsidR="00154150">
              <w:rPr>
                <w:noProof/>
                <w:webHidden/>
              </w:rPr>
            </w:r>
            <w:r w:rsidR="00154150">
              <w:rPr>
                <w:noProof/>
                <w:webHidden/>
              </w:rPr>
              <w:fldChar w:fldCharType="separate"/>
            </w:r>
            <w:r w:rsidR="00154150">
              <w:rPr>
                <w:noProof/>
                <w:webHidden/>
              </w:rPr>
              <w:t>228</w:t>
            </w:r>
            <w:r w:rsidR="00154150">
              <w:rPr>
                <w:noProof/>
                <w:webHidden/>
              </w:rPr>
              <w:fldChar w:fldCharType="end"/>
            </w:r>
          </w:hyperlink>
        </w:p>
        <w:p w14:paraId="79DE5B17" w14:textId="47D674DA" w:rsidR="00154150" w:rsidRDefault="00ED1E5D">
          <w:pPr>
            <w:pStyle w:val="TOC2"/>
            <w:rPr>
              <w:rFonts w:asciiTheme="minorHAnsi" w:eastAsiaTheme="minorEastAsia" w:hAnsiTheme="minorHAnsi" w:cstheme="minorBidi"/>
              <w:noProof/>
            </w:rPr>
          </w:pPr>
          <w:hyperlink w:anchor="_Toc27396125" w:history="1">
            <w:r w:rsidR="00154150" w:rsidRPr="004158FD">
              <w:rPr>
                <w:rStyle w:val="Hyperlink"/>
              </w:rPr>
              <w:t>5.3</w:t>
            </w:r>
            <w:r w:rsidR="00154150">
              <w:rPr>
                <w:rFonts w:asciiTheme="minorHAnsi" w:eastAsiaTheme="minorEastAsia" w:hAnsiTheme="minorHAnsi" w:cstheme="minorBidi"/>
                <w:noProof/>
              </w:rPr>
              <w:tab/>
            </w:r>
            <w:r w:rsidR="00154150" w:rsidRPr="004158FD">
              <w:rPr>
                <w:rStyle w:val="Hyperlink"/>
              </w:rPr>
              <w:t>Pregled potrebnih ulaganja</w:t>
            </w:r>
            <w:r w:rsidR="00154150">
              <w:rPr>
                <w:noProof/>
                <w:webHidden/>
              </w:rPr>
              <w:tab/>
            </w:r>
            <w:r w:rsidR="00154150">
              <w:rPr>
                <w:noProof/>
                <w:webHidden/>
              </w:rPr>
              <w:fldChar w:fldCharType="begin"/>
            </w:r>
            <w:r w:rsidR="00154150">
              <w:rPr>
                <w:noProof/>
                <w:webHidden/>
              </w:rPr>
              <w:instrText xml:space="preserve"> PAGEREF _Toc27396125 \h </w:instrText>
            </w:r>
            <w:r w:rsidR="00154150">
              <w:rPr>
                <w:noProof/>
                <w:webHidden/>
              </w:rPr>
            </w:r>
            <w:r w:rsidR="00154150">
              <w:rPr>
                <w:noProof/>
                <w:webHidden/>
              </w:rPr>
              <w:fldChar w:fldCharType="separate"/>
            </w:r>
            <w:r w:rsidR="00154150">
              <w:rPr>
                <w:noProof/>
                <w:webHidden/>
              </w:rPr>
              <w:t>229</w:t>
            </w:r>
            <w:r w:rsidR="00154150">
              <w:rPr>
                <w:noProof/>
                <w:webHidden/>
              </w:rPr>
              <w:fldChar w:fldCharType="end"/>
            </w:r>
          </w:hyperlink>
        </w:p>
        <w:p w14:paraId="62597472" w14:textId="577835D7" w:rsidR="00154150" w:rsidRDefault="00ED1E5D">
          <w:pPr>
            <w:pStyle w:val="TOC2"/>
            <w:rPr>
              <w:rFonts w:asciiTheme="minorHAnsi" w:eastAsiaTheme="minorEastAsia" w:hAnsiTheme="minorHAnsi" w:cstheme="minorBidi"/>
              <w:noProof/>
            </w:rPr>
          </w:pPr>
          <w:hyperlink w:anchor="_Toc27396126" w:history="1">
            <w:r w:rsidR="00154150" w:rsidRPr="004158FD">
              <w:rPr>
                <w:rStyle w:val="Hyperlink"/>
              </w:rPr>
              <w:t>5.4</w:t>
            </w:r>
            <w:r w:rsidR="00154150">
              <w:rPr>
                <w:rFonts w:asciiTheme="minorHAnsi" w:eastAsiaTheme="minorEastAsia" w:hAnsiTheme="minorHAnsi" w:cstheme="minorBidi"/>
                <w:noProof/>
              </w:rPr>
              <w:tab/>
            </w:r>
            <w:r w:rsidR="00154150" w:rsidRPr="004158FD">
              <w:rPr>
                <w:rStyle w:val="Hyperlink"/>
              </w:rPr>
              <w:t>Učinci planiranih politika i mjera opisanih u odjeljku 3. na druge države članice i na regionalnu suradnju barem do posljednje godine razdoblja obuhvaćenog planom, uključujući usporedbu s projekcijama nastalim na temelju postojećih politika i mjera</w:t>
            </w:r>
            <w:r w:rsidR="00154150">
              <w:rPr>
                <w:noProof/>
                <w:webHidden/>
              </w:rPr>
              <w:tab/>
            </w:r>
            <w:r w:rsidR="00154150">
              <w:rPr>
                <w:noProof/>
                <w:webHidden/>
              </w:rPr>
              <w:fldChar w:fldCharType="begin"/>
            </w:r>
            <w:r w:rsidR="00154150">
              <w:rPr>
                <w:noProof/>
                <w:webHidden/>
              </w:rPr>
              <w:instrText xml:space="preserve"> PAGEREF _Toc27396126 \h </w:instrText>
            </w:r>
            <w:r w:rsidR="00154150">
              <w:rPr>
                <w:noProof/>
                <w:webHidden/>
              </w:rPr>
            </w:r>
            <w:r w:rsidR="00154150">
              <w:rPr>
                <w:noProof/>
                <w:webHidden/>
              </w:rPr>
              <w:fldChar w:fldCharType="separate"/>
            </w:r>
            <w:r w:rsidR="00154150">
              <w:rPr>
                <w:noProof/>
                <w:webHidden/>
              </w:rPr>
              <w:t>230</w:t>
            </w:r>
            <w:r w:rsidR="00154150">
              <w:rPr>
                <w:noProof/>
                <w:webHidden/>
              </w:rPr>
              <w:fldChar w:fldCharType="end"/>
            </w:r>
          </w:hyperlink>
        </w:p>
        <w:p w14:paraId="1CD51341" w14:textId="6024332A" w:rsidR="00154150" w:rsidRDefault="00ED1E5D">
          <w:pPr>
            <w:pStyle w:val="TOC1"/>
            <w:rPr>
              <w:rFonts w:asciiTheme="minorHAnsi" w:eastAsiaTheme="minorEastAsia" w:hAnsiTheme="minorHAnsi" w:cstheme="minorBidi"/>
              <w:b w:val="0"/>
              <w:noProof/>
              <w:color w:val="auto"/>
              <w:sz w:val="22"/>
            </w:rPr>
          </w:pPr>
          <w:hyperlink w:anchor="_Toc27396127" w:history="1">
            <w:r w:rsidR="00154150" w:rsidRPr="004158FD">
              <w:rPr>
                <w:rStyle w:val="Hyperlink"/>
              </w:rPr>
              <w:t>6.</w:t>
            </w:r>
            <w:r w:rsidR="00154150">
              <w:rPr>
                <w:rFonts w:asciiTheme="minorHAnsi" w:eastAsiaTheme="minorEastAsia" w:hAnsiTheme="minorHAnsi" w:cstheme="minorBidi"/>
                <w:b w:val="0"/>
                <w:noProof/>
                <w:color w:val="auto"/>
                <w:sz w:val="22"/>
              </w:rPr>
              <w:tab/>
            </w:r>
            <w:r w:rsidR="00154150" w:rsidRPr="004158FD">
              <w:rPr>
                <w:rStyle w:val="Hyperlink"/>
              </w:rPr>
              <w:t>REFERENCE</w:t>
            </w:r>
            <w:r w:rsidR="00154150">
              <w:rPr>
                <w:noProof/>
                <w:webHidden/>
              </w:rPr>
              <w:tab/>
            </w:r>
            <w:r w:rsidR="00154150">
              <w:rPr>
                <w:noProof/>
                <w:webHidden/>
              </w:rPr>
              <w:fldChar w:fldCharType="begin"/>
            </w:r>
            <w:r w:rsidR="00154150">
              <w:rPr>
                <w:noProof/>
                <w:webHidden/>
              </w:rPr>
              <w:instrText xml:space="preserve"> PAGEREF _Toc27396127 \h </w:instrText>
            </w:r>
            <w:r w:rsidR="00154150">
              <w:rPr>
                <w:noProof/>
                <w:webHidden/>
              </w:rPr>
            </w:r>
            <w:r w:rsidR="00154150">
              <w:rPr>
                <w:noProof/>
                <w:webHidden/>
              </w:rPr>
              <w:fldChar w:fldCharType="separate"/>
            </w:r>
            <w:r w:rsidR="00154150">
              <w:rPr>
                <w:noProof/>
                <w:webHidden/>
              </w:rPr>
              <w:t>232</w:t>
            </w:r>
            <w:r w:rsidR="00154150">
              <w:rPr>
                <w:noProof/>
                <w:webHidden/>
              </w:rPr>
              <w:fldChar w:fldCharType="end"/>
            </w:r>
          </w:hyperlink>
        </w:p>
        <w:p w14:paraId="35507649" w14:textId="1598077B" w:rsidR="00154150" w:rsidRDefault="00ED1E5D">
          <w:pPr>
            <w:pStyle w:val="TOC1"/>
            <w:rPr>
              <w:rFonts w:asciiTheme="minorHAnsi" w:eastAsiaTheme="minorEastAsia" w:hAnsiTheme="minorHAnsi" w:cstheme="minorBidi"/>
              <w:b w:val="0"/>
              <w:noProof/>
              <w:color w:val="auto"/>
              <w:sz w:val="22"/>
            </w:rPr>
          </w:pPr>
          <w:hyperlink w:anchor="_Toc27396128" w:history="1">
            <w:r w:rsidR="00154150" w:rsidRPr="004158FD">
              <w:rPr>
                <w:rStyle w:val="Hyperlink"/>
              </w:rPr>
              <w:t>7.</w:t>
            </w:r>
            <w:r w:rsidR="00154150">
              <w:rPr>
                <w:rFonts w:asciiTheme="minorHAnsi" w:eastAsiaTheme="minorEastAsia" w:hAnsiTheme="minorHAnsi" w:cstheme="minorBidi"/>
                <w:b w:val="0"/>
                <w:noProof/>
                <w:color w:val="auto"/>
                <w:sz w:val="22"/>
              </w:rPr>
              <w:tab/>
            </w:r>
            <w:r w:rsidR="00154150" w:rsidRPr="004158FD">
              <w:rPr>
                <w:rStyle w:val="Hyperlink"/>
              </w:rPr>
              <w:t>POPIS SLIKA</w:t>
            </w:r>
            <w:r w:rsidR="00154150">
              <w:rPr>
                <w:noProof/>
                <w:webHidden/>
              </w:rPr>
              <w:tab/>
            </w:r>
            <w:r w:rsidR="00154150">
              <w:rPr>
                <w:noProof/>
                <w:webHidden/>
              </w:rPr>
              <w:fldChar w:fldCharType="begin"/>
            </w:r>
            <w:r w:rsidR="00154150">
              <w:rPr>
                <w:noProof/>
                <w:webHidden/>
              </w:rPr>
              <w:instrText xml:space="preserve"> PAGEREF _Toc27396128 \h </w:instrText>
            </w:r>
            <w:r w:rsidR="00154150">
              <w:rPr>
                <w:noProof/>
                <w:webHidden/>
              </w:rPr>
            </w:r>
            <w:r w:rsidR="00154150">
              <w:rPr>
                <w:noProof/>
                <w:webHidden/>
              </w:rPr>
              <w:fldChar w:fldCharType="separate"/>
            </w:r>
            <w:r w:rsidR="00154150">
              <w:rPr>
                <w:noProof/>
                <w:webHidden/>
              </w:rPr>
              <w:t>234</w:t>
            </w:r>
            <w:r w:rsidR="00154150">
              <w:rPr>
                <w:noProof/>
                <w:webHidden/>
              </w:rPr>
              <w:fldChar w:fldCharType="end"/>
            </w:r>
          </w:hyperlink>
        </w:p>
        <w:p w14:paraId="6AD6A7E8" w14:textId="2F9E4CA2" w:rsidR="00154150" w:rsidRDefault="00ED1E5D">
          <w:pPr>
            <w:pStyle w:val="TOC1"/>
            <w:rPr>
              <w:rFonts w:asciiTheme="minorHAnsi" w:eastAsiaTheme="minorEastAsia" w:hAnsiTheme="minorHAnsi" w:cstheme="minorBidi"/>
              <w:b w:val="0"/>
              <w:noProof/>
              <w:color w:val="auto"/>
              <w:sz w:val="22"/>
            </w:rPr>
          </w:pPr>
          <w:hyperlink w:anchor="_Toc27396129" w:history="1">
            <w:r w:rsidR="00154150" w:rsidRPr="004158FD">
              <w:rPr>
                <w:rStyle w:val="Hyperlink"/>
              </w:rPr>
              <w:t>8.</w:t>
            </w:r>
            <w:r w:rsidR="00154150">
              <w:rPr>
                <w:rFonts w:asciiTheme="minorHAnsi" w:eastAsiaTheme="minorEastAsia" w:hAnsiTheme="minorHAnsi" w:cstheme="minorBidi"/>
                <w:b w:val="0"/>
                <w:noProof/>
                <w:color w:val="auto"/>
                <w:sz w:val="22"/>
              </w:rPr>
              <w:tab/>
            </w:r>
            <w:r w:rsidR="00154150" w:rsidRPr="004158FD">
              <w:rPr>
                <w:rStyle w:val="Hyperlink"/>
              </w:rPr>
              <w:t>POPIS TABLICA</w:t>
            </w:r>
            <w:r w:rsidR="00154150">
              <w:rPr>
                <w:noProof/>
                <w:webHidden/>
              </w:rPr>
              <w:tab/>
            </w:r>
            <w:r w:rsidR="00154150">
              <w:rPr>
                <w:noProof/>
                <w:webHidden/>
              </w:rPr>
              <w:fldChar w:fldCharType="begin"/>
            </w:r>
            <w:r w:rsidR="00154150">
              <w:rPr>
                <w:noProof/>
                <w:webHidden/>
              </w:rPr>
              <w:instrText xml:space="preserve"> PAGEREF _Toc27396129 \h </w:instrText>
            </w:r>
            <w:r w:rsidR="00154150">
              <w:rPr>
                <w:noProof/>
                <w:webHidden/>
              </w:rPr>
            </w:r>
            <w:r w:rsidR="00154150">
              <w:rPr>
                <w:noProof/>
                <w:webHidden/>
              </w:rPr>
              <w:fldChar w:fldCharType="separate"/>
            </w:r>
            <w:r w:rsidR="00154150">
              <w:rPr>
                <w:noProof/>
                <w:webHidden/>
              </w:rPr>
              <w:t>237</w:t>
            </w:r>
            <w:r w:rsidR="00154150">
              <w:rPr>
                <w:noProof/>
                <w:webHidden/>
              </w:rPr>
              <w:fldChar w:fldCharType="end"/>
            </w:r>
          </w:hyperlink>
        </w:p>
        <w:p w14:paraId="47F463DF" w14:textId="64ADE77B" w:rsidR="00154150" w:rsidRDefault="00ED1E5D">
          <w:pPr>
            <w:pStyle w:val="TOC1"/>
            <w:rPr>
              <w:rFonts w:asciiTheme="minorHAnsi" w:eastAsiaTheme="minorEastAsia" w:hAnsiTheme="minorHAnsi" w:cstheme="minorBidi"/>
              <w:b w:val="0"/>
              <w:noProof/>
              <w:color w:val="auto"/>
              <w:sz w:val="22"/>
            </w:rPr>
          </w:pPr>
          <w:hyperlink w:anchor="_Toc27396130" w:history="1">
            <w:r w:rsidR="00154150" w:rsidRPr="004158FD">
              <w:rPr>
                <w:rStyle w:val="Hyperlink"/>
              </w:rPr>
              <w:t>9.</w:t>
            </w:r>
            <w:r w:rsidR="00154150">
              <w:rPr>
                <w:rFonts w:asciiTheme="minorHAnsi" w:eastAsiaTheme="minorEastAsia" w:hAnsiTheme="minorHAnsi" w:cstheme="minorBidi"/>
                <w:b w:val="0"/>
                <w:noProof/>
                <w:color w:val="auto"/>
                <w:sz w:val="22"/>
              </w:rPr>
              <w:tab/>
            </w:r>
            <w:r w:rsidR="00154150" w:rsidRPr="004158FD">
              <w:rPr>
                <w:rStyle w:val="Hyperlink"/>
              </w:rPr>
              <w:t>POPIS KRATICA</w:t>
            </w:r>
            <w:r w:rsidR="00154150">
              <w:rPr>
                <w:noProof/>
                <w:webHidden/>
              </w:rPr>
              <w:tab/>
            </w:r>
            <w:r w:rsidR="00154150">
              <w:rPr>
                <w:noProof/>
                <w:webHidden/>
              </w:rPr>
              <w:fldChar w:fldCharType="begin"/>
            </w:r>
            <w:r w:rsidR="00154150">
              <w:rPr>
                <w:noProof/>
                <w:webHidden/>
              </w:rPr>
              <w:instrText xml:space="preserve"> PAGEREF _Toc27396130 \h </w:instrText>
            </w:r>
            <w:r w:rsidR="00154150">
              <w:rPr>
                <w:noProof/>
                <w:webHidden/>
              </w:rPr>
            </w:r>
            <w:r w:rsidR="00154150">
              <w:rPr>
                <w:noProof/>
                <w:webHidden/>
              </w:rPr>
              <w:fldChar w:fldCharType="separate"/>
            </w:r>
            <w:r w:rsidR="00154150">
              <w:rPr>
                <w:noProof/>
                <w:webHidden/>
              </w:rPr>
              <w:t>239</w:t>
            </w:r>
            <w:r w:rsidR="00154150">
              <w:rPr>
                <w:noProof/>
                <w:webHidden/>
              </w:rPr>
              <w:fldChar w:fldCharType="end"/>
            </w:r>
          </w:hyperlink>
        </w:p>
        <w:p w14:paraId="05A82DC5" w14:textId="4CB7731C" w:rsidR="00154150" w:rsidRDefault="00ED1E5D">
          <w:pPr>
            <w:pStyle w:val="TOC1"/>
            <w:rPr>
              <w:rFonts w:asciiTheme="minorHAnsi" w:eastAsiaTheme="minorEastAsia" w:hAnsiTheme="minorHAnsi" w:cstheme="minorBidi"/>
              <w:b w:val="0"/>
              <w:noProof/>
              <w:color w:val="auto"/>
              <w:sz w:val="22"/>
            </w:rPr>
          </w:pPr>
          <w:hyperlink w:anchor="_Toc27396131" w:history="1">
            <w:r w:rsidR="00154150" w:rsidRPr="004158FD">
              <w:rPr>
                <w:rStyle w:val="Hyperlink"/>
              </w:rPr>
              <w:t>10.</w:t>
            </w:r>
            <w:r w:rsidR="00154150">
              <w:rPr>
                <w:rFonts w:asciiTheme="minorHAnsi" w:eastAsiaTheme="minorEastAsia" w:hAnsiTheme="minorHAnsi" w:cstheme="minorBidi"/>
                <w:b w:val="0"/>
                <w:noProof/>
                <w:color w:val="auto"/>
                <w:sz w:val="22"/>
              </w:rPr>
              <w:tab/>
            </w:r>
            <w:r w:rsidR="00154150" w:rsidRPr="004158FD">
              <w:rPr>
                <w:rStyle w:val="Hyperlink"/>
              </w:rPr>
              <w:t>PRILOZI</w:t>
            </w:r>
            <w:r w:rsidR="00154150">
              <w:rPr>
                <w:noProof/>
                <w:webHidden/>
              </w:rPr>
              <w:tab/>
            </w:r>
            <w:r w:rsidR="00154150">
              <w:rPr>
                <w:noProof/>
                <w:webHidden/>
              </w:rPr>
              <w:fldChar w:fldCharType="begin"/>
            </w:r>
            <w:r w:rsidR="00154150">
              <w:rPr>
                <w:noProof/>
                <w:webHidden/>
              </w:rPr>
              <w:instrText xml:space="preserve"> PAGEREF _Toc27396131 \h </w:instrText>
            </w:r>
            <w:r w:rsidR="00154150">
              <w:rPr>
                <w:noProof/>
                <w:webHidden/>
              </w:rPr>
            </w:r>
            <w:r w:rsidR="00154150">
              <w:rPr>
                <w:noProof/>
                <w:webHidden/>
              </w:rPr>
              <w:fldChar w:fldCharType="separate"/>
            </w:r>
            <w:r w:rsidR="00154150">
              <w:rPr>
                <w:noProof/>
                <w:webHidden/>
              </w:rPr>
              <w:t>241</w:t>
            </w:r>
            <w:r w:rsidR="00154150">
              <w:rPr>
                <w:noProof/>
                <w:webHidden/>
              </w:rPr>
              <w:fldChar w:fldCharType="end"/>
            </w:r>
          </w:hyperlink>
        </w:p>
        <w:p w14:paraId="1FF0842F" w14:textId="7058176F" w:rsidR="00154150" w:rsidRDefault="00ED1E5D">
          <w:pPr>
            <w:pStyle w:val="TOC2"/>
            <w:rPr>
              <w:rFonts w:asciiTheme="minorHAnsi" w:eastAsiaTheme="minorEastAsia" w:hAnsiTheme="minorHAnsi" w:cstheme="minorBidi"/>
              <w:noProof/>
            </w:rPr>
          </w:pPr>
          <w:hyperlink w:anchor="_Toc27396132" w:history="1">
            <w:r w:rsidR="00154150" w:rsidRPr="004158FD">
              <w:rPr>
                <w:rStyle w:val="Hyperlink"/>
              </w:rPr>
              <w:t>Izvještaj o korištenim parametrima i varijablama (xls)</w:t>
            </w:r>
            <w:r w:rsidR="00154150">
              <w:rPr>
                <w:noProof/>
                <w:webHidden/>
              </w:rPr>
              <w:tab/>
            </w:r>
            <w:r w:rsidR="00154150">
              <w:rPr>
                <w:noProof/>
                <w:webHidden/>
              </w:rPr>
              <w:fldChar w:fldCharType="begin"/>
            </w:r>
            <w:r w:rsidR="00154150">
              <w:rPr>
                <w:noProof/>
                <w:webHidden/>
              </w:rPr>
              <w:instrText xml:space="preserve"> PAGEREF _Toc27396132 \h </w:instrText>
            </w:r>
            <w:r w:rsidR="00154150">
              <w:rPr>
                <w:noProof/>
                <w:webHidden/>
              </w:rPr>
            </w:r>
            <w:r w:rsidR="00154150">
              <w:rPr>
                <w:noProof/>
                <w:webHidden/>
              </w:rPr>
              <w:fldChar w:fldCharType="separate"/>
            </w:r>
            <w:r w:rsidR="00154150">
              <w:rPr>
                <w:noProof/>
                <w:webHidden/>
              </w:rPr>
              <w:t>241</w:t>
            </w:r>
            <w:r w:rsidR="00154150">
              <w:rPr>
                <w:noProof/>
                <w:webHidden/>
              </w:rPr>
              <w:fldChar w:fldCharType="end"/>
            </w:r>
          </w:hyperlink>
        </w:p>
        <w:p w14:paraId="690BB997" w14:textId="3A8E64F7" w:rsidR="00154150" w:rsidRDefault="00ED1E5D">
          <w:pPr>
            <w:pStyle w:val="TOC2"/>
            <w:rPr>
              <w:rFonts w:asciiTheme="minorHAnsi" w:eastAsiaTheme="minorEastAsia" w:hAnsiTheme="minorHAnsi" w:cstheme="minorBidi"/>
              <w:noProof/>
            </w:rPr>
          </w:pPr>
          <w:hyperlink w:anchor="_Toc27396133" w:history="1">
            <w:r w:rsidR="00154150" w:rsidRPr="004158FD">
              <w:rPr>
                <w:rStyle w:val="Hyperlink"/>
              </w:rPr>
              <w:t>Mjere i metode provedbe članka 7 (doc)</w:t>
            </w:r>
            <w:r w:rsidR="00154150">
              <w:rPr>
                <w:noProof/>
                <w:webHidden/>
              </w:rPr>
              <w:tab/>
            </w:r>
            <w:r w:rsidR="00154150">
              <w:rPr>
                <w:noProof/>
                <w:webHidden/>
              </w:rPr>
              <w:fldChar w:fldCharType="begin"/>
            </w:r>
            <w:r w:rsidR="00154150">
              <w:rPr>
                <w:noProof/>
                <w:webHidden/>
              </w:rPr>
              <w:instrText xml:space="preserve"> PAGEREF _Toc27396133 \h </w:instrText>
            </w:r>
            <w:r w:rsidR="00154150">
              <w:rPr>
                <w:noProof/>
                <w:webHidden/>
              </w:rPr>
            </w:r>
            <w:r w:rsidR="00154150">
              <w:rPr>
                <w:noProof/>
                <w:webHidden/>
              </w:rPr>
              <w:fldChar w:fldCharType="separate"/>
            </w:r>
            <w:r w:rsidR="00154150">
              <w:rPr>
                <w:noProof/>
                <w:webHidden/>
              </w:rPr>
              <w:t>241</w:t>
            </w:r>
            <w:r w:rsidR="00154150">
              <w:rPr>
                <w:noProof/>
                <w:webHidden/>
              </w:rPr>
              <w:fldChar w:fldCharType="end"/>
            </w:r>
          </w:hyperlink>
        </w:p>
        <w:p w14:paraId="01DBD0BE" w14:textId="0C462630" w:rsidR="00154150" w:rsidRDefault="00ED1E5D">
          <w:pPr>
            <w:pStyle w:val="TOC2"/>
            <w:rPr>
              <w:rFonts w:asciiTheme="minorHAnsi" w:eastAsiaTheme="minorEastAsia" w:hAnsiTheme="minorHAnsi" w:cstheme="minorBidi"/>
              <w:noProof/>
            </w:rPr>
          </w:pPr>
          <w:hyperlink w:anchor="_Toc27396134" w:history="1">
            <w:r w:rsidR="00154150" w:rsidRPr="004158FD">
              <w:rPr>
                <w:rStyle w:val="Hyperlink"/>
              </w:rPr>
              <w:t>Politike i mjere (xls)</w:t>
            </w:r>
            <w:r w:rsidR="00154150">
              <w:rPr>
                <w:noProof/>
                <w:webHidden/>
              </w:rPr>
              <w:tab/>
            </w:r>
            <w:r w:rsidR="00154150">
              <w:rPr>
                <w:noProof/>
                <w:webHidden/>
              </w:rPr>
              <w:fldChar w:fldCharType="begin"/>
            </w:r>
            <w:r w:rsidR="00154150">
              <w:rPr>
                <w:noProof/>
                <w:webHidden/>
              </w:rPr>
              <w:instrText xml:space="preserve"> PAGEREF _Toc27396134 \h </w:instrText>
            </w:r>
            <w:r w:rsidR="00154150">
              <w:rPr>
                <w:noProof/>
                <w:webHidden/>
              </w:rPr>
            </w:r>
            <w:r w:rsidR="00154150">
              <w:rPr>
                <w:noProof/>
                <w:webHidden/>
              </w:rPr>
              <w:fldChar w:fldCharType="separate"/>
            </w:r>
            <w:r w:rsidR="00154150">
              <w:rPr>
                <w:noProof/>
                <w:webHidden/>
              </w:rPr>
              <w:t>241</w:t>
            </w:r>
            <w:r w:rsidR="00154150">
              <w:rPr>
                <w:noProof/>
                <w:webHidden/>
              </w:rPr>
              <w:fldChar w:fldCharType="end"/>
            </w:r>
          </w:hyperlink>
        </w:p>
        <w:p w14:paraId="68E3B84D" w14:textId="00C84118" w:rsidR="00154150" w:rsidRDefault="00ED1E5D">
          <w:pPr>
            <w:pStyle w:val="TOC2"/>
            <w:rPr>
              <w:rFonts w:asciiTheme="minorHAnsi" w:eastAsiaTheme="minorEastAsia" w:hAnsiTheme="minorHAnsi" w:cstheme="minorBidi"/>
              <w:noProof/>
            </w:rPr>
          </w:pPr>
          <w:hyperlink w:anchor="_Toc27396135" w:history="1">
            <w:r w:rsidR="00154150" w:rsidRPr="004158FD">
              <w:rPr>
                <w:rStyle w:val="Hyperlink"/>
              </w:rPr>
              <w:t>Izvještaj o emisijama stakleničkih plinova po sektorima i plinovima (xls)</w:t>
            </w:r>
            <w:r w:rsidR="00154150">
              <w:rPr>
                <w:noProof/>
                <w:webHidden/>
              </w:rPr>
              <w:tab/>
            </w:r>
            <w:r w:rsidR="00154150">
              <w:rPr>
                <w:noProof/>
                <w:webHidden/>
              </w:rPr>
              <w:fldChar w:fldCharType="begin"/>
            </w:r>
            <w:r w:rsidR="00154150">
              <w:rPr>
                <w:noProof/>
                <w:webHidden/>
              </w:rPr>
              <w:instrText xml:space="preserve"> PAGEREF _Toc27396135 \h </w:instrText>
            </w:r>
            <w:r w:rsidR="00154150">
              <w:rPr>
                <w:noProof/>
                <w:webHidden/>
              </w:rPr>
            </w:r>
            <w:r w:rsidR="00154150">
              <w:rPr>
                <w:noProof/>
                <w:webHidden/>
              </w:rPr>
              <w:fldChar w:fldCharType="separate"/>
            </w:r>
            <w:r w:rsidR="00154150">
              <w:rPr>
                <w:noProof/>
                <w:webHidden/>
              </w:rPr>
              <w:t>241</w:t>
            </w:r>
            <w:r w:rsidR="00154150">
              <w:rPr>
                <w:noProof/>
                <w:webHidden/>
              </w:rPr>
              <w:fldChar w:fldCharType="end"/>
            </w:r>
          </w:hyperlink>
        </w:p>
        <w:p w14:paraId="0322536C" w14:textId="0C2E735C" w:rsidR="00154150" w:rsidRDefault="00ED1E5D">
          <w:pPr>
            <w:pStyle w:val="TOC2"/>
            <w:rPr>
              <w:rFonts w:asciiTheme="minorHAnsi" w:eastAsiaTheme="minorEastAsia" w:hAnsiTheme="minorHAnsi" w:cstheme="minorBidi"/>
              <w:noProof/>
            </w:rPr>
          </w:pPr>
          <w:hyperlink w:anchor="_Toc27396136" w:history="1">
            <w:r w:rsidR="00154150" w:rsidRPr="004158FD">
              <w:rPr>
                <w:rStyle w:val="Hyperlink"/>
              </w:rPr>
              <w:t>Energetske bilance i indikatori</w:t>
            </w:r>
            <w:r w:rsidR="00154150">
              <w:rPr>
                <w:noProof/>
                <w:webHidden/>
              </w:rPr>
              <w:tab/>
            </w:r>
            <w:r w:rsidR="00154150">
              <w:rPr>
                <w:noProof/>
                <w:webHidden/>
              </w:rPr>
              <w:fldChar w:fldCharType="begin"/>
            </w:r>
            <w:r w:rsidR="00154150">
              <w:rPr>
                <w:noProof/>
                <w:webHidden/>
              </w:rPr>
              <w:instrText xml:space="preserve"> PAGEREF _Toc27396136 \h </w:instrText>
            </w:r>
            <w:r w:rsidR="00154150">
              <w:rPr>
                <w:noProof/>
                <w:webHidden/>
              </w:rPr>
            </w:r>
            <w:r w:rsidR="00154150">
              <w:rPr>
                <w:noProof/>
                <w:webHidden/>
              </w:rPr>
              <w:fldChar w:fldCharType="separate"/>
            </w:r>
            <w:r w:rsidR="00154150">
              <w:rPr>
                <w:noProof/>
                <w:webHidden/>
              </w:rPr>
              <w:t>241</w:t>
            </w:r>
            <w:r w:rsidR="00154150">
              <w:rPr>
                <w:noProof/>
                <w:webHidden/>
              </w:rPr>
              <w:fldChar w:fldCharType="end"/>
            </w:r>
          </w:hyperlink>
        </w:p>
        <w:p w14:paraId="2C87F60A" w14:textId="5B845A9B" w:rsidR="00BD4BBF" w:rsidRPr="00725326" w:rsidRDefault="00BD4BBF" w:rsidP="00BD4BBF">
          <w:pPr>
            <w:rPr>
              <w:lang w:eastAsia="en-US"/>
            </w:rPr>
          </w:pPr>
          <w:r>
            <w:rPr>
              <w:lang w:eastAsia="en-US"/>
            </w:rPr>
            <w:fldChar w:fldCharType="end"/>
          </w:r>
        </w:p>
        <w:p w14:paraId="732CB406" w14:textId="1C8AB7EF" w:rsidR="0052110E" w:rsidRDefault="00ED1E5D"/>
      </w:sdtContent>
    </w:sdt>
    <w:p w14:paraId="3B14256F" w14:textId="77777777" w:rsidR="00F61DC8" w:rsidRDefault="00F61DC8" w:rsidP="00725326">
      <w:pPr>
        <w:pStyle w:val="Heading3"/>
        <w:rPr>
          <w:color w:val="C00000"/>
          <w:sz w:val="32"/>
        </w:rPr>
      </w:pPr>
      <w:bookmarkStart w:id="4" w:name="_Toc531934942"/>
      <w:bookmarkStart w:id="5" w:name="_Toc531945068"/>
      <w:bookmarkEnd w:id="0"/>
      <w:bookmarkEnd w:id="1"/>
      <w:r>
        <w:rPr>
          <w:b w:val="0"/>
          <w:color w:val="C00000"/>
          <w:sz w:val="32"/>
        </w:rPr>
        <w:br w:type="page"/>
      </w:r>
    </w:p>
    <w:p w14:paraId="05D34A45" w14:textId="11426472" w:rsidR="004140F5" w:rsidRPr="00725326" w:rsidRDefault="00C11F7F" w:rsidP="00725326">
      <w:pPr>
        <w:shd w:val="clear" w:color="auto" w:fill="DEEAF6" w:themeFill="accent1" w:themeFillTint="33"/>
        <w:rPr>
          <w:sz w:val="32"/>
          <w:szCs w:val="32"/>
        </w:rPr>
      </w:pPr>
      <w:r w:rsidRPr="00725326">
        <w:rPr>
          <w:sz w:val="32"/>
          <w:szCs w:val="32"/>
        </w:rPr>
        <w:lastRenderedPageBreak/>
        <w:t>UVOD</w:t>
      </w:r>
    </w:p>
    <w:p w14:paraId="13F4C57A" w14:textId="6FC97953" w:rsidR="004D5756" w:rsidRPr="00BE1ECD" w:rsidRDefault="004D5756" w:rsidP="004D5756">
      <w:pPr>
        <w:rPr>
          <w:i/>
        </w:rPr>
      </w:pPr>
      <w:r w:rsidRPr="00BE1ECD">
        <w:t xml:space="preserve">U komunikaciji Europske komisije o </w:t>
      </w:r>
      <w:r w:rsidRPr="00D51A4E">
        <w:rPr>
          <w:i/>
        </w:rPr>
        <w:t xml:space="preserve">Okvirnoj strategiji za otpornu </w:t>
      </w:r>
      <w:r w:rsidR="009A3476">
        <w:rPr>
          <w:i/>
        </w:rPr>
        <w:t>e</w:t>
      </w:r>
      <w:r w:rsidRPr="00D51A4E">
        <w:rPr>
          <w:i/>
        </w:rPr>
        <w:t>nergetsku uniju s naprednom klimatskom politikom</w:t>
      </w:r>
      <w:r w:rsidRPr="00BE1ECD">
        <w:t xml:space="preserve"> od 25. veljače 2015.</w:t>
      </w:r>
      <w:r w:rsidR="00CC7817">
        <w:t xml:space="preserve"> godine</w:t>
      </w:r>
      <w:r w:rsidRPr="00BE1ECD">
        <w:t xml:space="preserve"> istaknuto je da je potrebno integrirano upravljanje kako bi se osiguralo da se svim aktivnostima povezanim s energijom na razini Unije te na regionalnoj, nacionalnoj i lokalnoj razini pridonosi ciljevima </w:t>
      </w:r>
      <w:r w:rsidR="00DB38F7">
        <w:t>e</w:t>
      </w:r>
      <w:r w:rsidR="00DB38F7" w:rsidRPr="00BE1ECD">
        <w:t xml:space="preserve">nergetske </w:t>
      </w:r>
      <w:r w:rsidRPr="00BE1ECD">
        <w:t xml:space="preserve">unije. </w:t>
      </w:r>
      <w:r>
        <w:t>Ostvarivanje ciljeva ostvarit će se kroz</w:t>
      </w:r>
      <w:r w:rsidRPr="00BE1ECD">
        <w:t xml:space="preserve"> pet ključnih dimenzija </w:t>
      </w:r>
      <w:r w:rsidR="00DB38F7">
        <w:t>e</w:t>
      </w:r>
      <w:r w:rsidR="00DB38F7" w:rsidRPr="00BE1ECD">
        <w:t xml:space="preserve">nergetske </w:t>
      </w:r>
      <w:r w:rsidRPr="00BE1ECD">
        <w:t xml:space="preserve">unije: </w:t>
      </w:r>
      <w:r w:rsidRPr="00BE1ECD">
        <w:rPr>
          <w:i/>
        </w:rPr>
        <w:t>1. energetsku sigurnost, 2. unutarnje energetsko tržište, 3. energetsku učinkovitost, 4. dekarbonizaciju i 5. istraživanje, inovacije i konkurentnost.</w:t>
      </w:r>
    </w:p>
    <w:p w14:paraId="30488F1F" w14:textId="1F406608" w:rsidR="004D5756" w:rsidRDefault="004D5756" w:rsidP="004D5756">
      <w:r w:rsidRPr="00BE1ECD">
        <w:t xml:space="preserve">U Zaključcima Europskog vijeća o upravljanju energetskom unijom od 26. studenoga 2015. </w:t>
      </w:r>
      <w:r w:rsidR="00B54482">
        <w:t>godine</w:t>
      </w:r>
      <w:r w:rsidR="00B54482" w:rsidRPr="00BE1ECD">
        <w:t xml:space="preserve"> </w:t>
      </w:r>
      <w:r w:rsidRPr="00BE1ECD">
        <w:t xml:space="preserve">prepoznato je da će upravljanje biti ključan alat za učinkovitu i djelotvornu izgradnju </w:t>
      </w:r>
      <w:r w:rsidR="00FF3A27">
        <w:t>e</w:t>
      </w:r>
      <w:r w:rsidRPr="00BE1ECD">
        <w:t>nergetske unije i za ostvarivanje njenih ciljeva. U njima je istaknuto da bi se sustav upravljanja trebao temeljiti na načelima integracije strateškog planiranja i izvješćivanja o provedbi klimatske i energetske politike i na koordinaciji između dionika odgovornih za energetsku i klimatsku politiku na regionalnoj i nacionalnoj razini</w:t>
      </w:r>
      <w:r w:rsidRPr="00BD6B25">
        <w:t xml:space="preserve"> </w:t>
      </w:r>
      <w:r>
        <w:t xml:space="preserve">kao i na </w:t>
      </w:r>
      <w:r w:rsidRPr="00BE1ECD">
        <w:t>razini Unije.</w:t>
      </w:r>
    </w:p>
    <w:p w14:paraId="6AA75BC5" w14:textId="6015C544" w:rsidR="004D5756" w:rsidRDefault="004D5756" w:rsidP="004D5756">
      <w:r w:rsidRPr="00BE1ECD">
        <w:t>Stoga je 11. prosinca 2018.</w:t>
      </w:r>
      <w:r>
        <w:t xml:space="preserve"> </w:t>
      </w:r>
      <w:r w:rsidR="00B84100">
        <w:t>godine</w:t>
      </w:r>
      <w:r w:rsidR="00B84100" w:rsidRPr="00BE1ECD">
        <w:t xml:space="preserve"> </w:t>
      </w:r>
      <w:r>
        <w:t xml:space="preserve">donesena </w:t>
      </w:r>
      <w:r w:rsidRPr="00BE1ECD">
        <w:t>Uredba (EU) 2018/1999 Europskog parlamenta i Vijeća o upravljanju energetskom unijom i djelovanjem u području klime</w:t>
      </w:r>
      <w:r>
        <w:t xml:space="preserve"> i</w:t>
      </w:r>
      <w:r w:rsidRPr="00BE1ECD">
        <w:t xml:space="preserve"> izmjeni uredaba (EZ) 663/2009 i (EZ) 715/2009 Europskog parlamenta i Vijeća</w:t>
      </w:r>
      <w:r>
        <w:t xml:space="preserve"> i</w:t>
      </w:r>
      <w:r w:rsidRPr="00BE1ECD">
        <w:t xml:space="preserve"> direktiva 94/22/EZ, 98/70/EZ, 2009/31/EZ, 2009/73/EZ, 2010/31/EU, 2012/27/EU i 2013/30/EU Europskog parlamenta i Vijeća, direktiva Vijeća 2009/119/EZ i (EU) 2015/652 te stavljanju izvan snage Uredbe (EU) 525/2013 Europskog parlamenta i Vijeća</w:t>
      </w:r>
      <w:r>
        <w:t xml:space="preserve"> (</w:t>
      </w:r>
      <w:r w:rsidR="008C7262">
        <w:t xml:space="preserve">u </w:t>
      </w:r>
      <w:r w:rsidR="00933DFD">
        <w:t>dalj</w:t>
      </w:r>
      <w:r w:rsidR="008C7262">
        <w:t>nj</w:t>
      </w:r>
      <w:r w:rsidR="00933DFD">
        <w:t>e</w:t>
      </w:r>
      <w:r w:rsidR="008C7262">
        <w:t>m</w:t>
      </w:r>
      <w:r w:rsidR="00933DFD">
        <w:t xml:space="preserve"> tekstu: </w:t>
      </w:r>
      <w:r>
        <w:t xml:space="preserve">Uredba o upravljanju energetskom unijom </w:t>
      </w:r>
      <w:r w:rsidRPr="00BE1ECD">
        <w:t>i djelovanjem u području klime</w:t>
      </w:r>
      <w:r>
        <w:t>)</w:t>
      </w:r>
      <w:r w:rsidRPr="00BE1ECD">
        <w:t>.</w:t>
      </w:r>
      <w:r>
        <w:t xml:space="preserve"> U toj uredbi se propisuje izrada </w:t>
      </w:r>
      <w:r w:rsidRPr="00D51A4E">
        <w:rPr>
          <w:b/>
        </w:rPr>
        <w:t>integriranih nacionalnih energetskih i klimatskih planova</w:t>
      </w:r>
      <w:r w:rsidRPr="00BD6B25">
        <w:t xml:space="preserve"> </w:t>
      </w:r>
      <w:r>
        <w:t xml:space="preserve">za desetogodišnje razdoblje. Prvi Integrirani energetski i klimatski plan </w:t>
      </w:r>
      <w:r w:rsidRPr="00BE1ECD">
        <w:t>(</w:t>
      </w:r>
      <w:r w:rsidR="003C6436">
        <w:t xml:space="preserve">u </w:t>
      </w:r>
      <w:r w:rsidRPr="00BE1ECD">
        <w:t>dalj</w:t>
      </w:r>
      <w:r w:rsidR="003C6436">
        <w:t>nj</w:t>
      </w:r>
      <w:r w:rsidRPr="00BE1ECD">
        <w:t>e</w:t>
      </w:r>
      <w:r w:rsidR="003C6436">
        <w:t>m</w:t>
      </w:r>
      <w:r w:rsidRPr="00BE1ECD">
        <w:t xml:space="preserve"> tekstu: Integrirani energetski i klimatski plan) </w:t>
      </w:r>
      <w:r>
        <w:t xml:space="preserve">treba pokriti </w:t>
      </w:r>
      <w:r w:rsidR="00776CCE">
        <w:t>razdoblje</w:t>
      </w:r>
      <w:r>
        <w:t xml:space="preserve"> od 2021. godine do 2030. godine.</w:t>
      </w:r>
    </w:p>
    <w:p w14:paraId="317887A8" w14:textId="04970492" w:rsidR="004D5756" w:rsidRPr="00BE1ECD" w:rsidRDefault="004D5756" w:rsidP="004D5756">
      <w:r>
        <w:t>P</w:t>
      </w:r>
      <w:r w:rsidRPr="00BE1ECD">
        <w:t xml:space="preserve">ostizanje ciljeva </w:t>
      </w:r>
      <w:r w:rsidR="00FF3A27">
        <w:t>e</w:t>
      </w:r>
      <w:r w:rsidR="00FF3A27" w:rsidRPr="00BE1ECD">
        <w:t xml:space="preserve">nergetske </w:t>
      </w:r>
      <w:r w:rsidRPr="00BE1ECD">
        <w:t xml:space="preserve">unije planira se osigurati kombinacijom inicijativa Unije i dosljednih nacionalnih politika utvrđenih u </w:t>
      </w:r>
      <w:r w:rsidRPr="00B20013">
        <w:t>integriranim nacionalnim energetskim i klimatskim pla</w:t>
      </w:r>
      <w:r w:rsidRPr="002C6568">
        <w:t>novima</w:t>
      </w:r>
      <w:r w:rsidRPr="00BE1ECD">
        <w:t>.</w:t>
      </w:r>
    </w:p>
    <w:p w14:paraId="77F911DE" w14:textId="30970957" w:rsidR="00820072" w:rsidRPr="00820072" w:rsidRDefault="004D5756" w:rsidP="00820072">
      <w:r w:rsidRPr="00BE1ECD">
        <w:t>Integrirani nacionalni energetski i klimatski plan za razdoblje od 2021. do 2030. godine nadovezuje se na postojeće nacionalne strategije i planove.</w:t>
      </w:r>
      <w:r>
        <w:t xml:space="preserve"> Njime se </w:t>
      </w:r>
      <w:r w:rsidRPr="00BE1ECD">
        <w:t xml:space="preserve">daje pregled trenutačnog energetskog sustava i stanja u području energetske i klimatske politike. Također se daje pregled nacionalnih ciljeva za svaku od pet ključnih dimenzija </w:t>
      </w:r>
      <w:r w:rsidR="00FF3A27">
        <w:t>e</w:t>
      </w:r>
      <w:r w:rsidRPr="00BE1ECD">
        <w:t xml:space="preserve">nergetske unije i odgovarajuće politike i mjere za ostvarivanje tih ciljeva, a za što treba uspostaviti i analitičku osnovu. U Integriranom energetskom i klimatskom planu posebnu pozornost treba posvetiti ciljevima do 2030. godine, koji uključuju </w:t>
      </w:r>
      <w:r w:rsidRPr="00D51A4E">
        <w:rPr>
          <w:b/>
        </w:rPr>
        <w:t>smanjenje emisija stakleničkih plinova</w:t>
      </w:r>
      <w:r w:rsidRPr="00BE1ECD">
        <w:t xml:space="preserve">, </w:t>
      </w:r>
      <w:r w:rsidRPr="00D51A4E">
        <w:rPr>
          <w:b/>
        </w:rPr>
        <w:t>energiju iz obnovljivih izvora</w:t>
      </w:r>
      <w:r w:rsidRPr="00BE1ECD">
        <w:t xml:space="preserve">, </w:t>
      </w:r>
      <w:r w:rsidRPr="00D51A4E">
        <w:rPr>
          <w:b/>
        </w:rPr>
        <w:t>energetsku učinkovitost</w:t>
      </w:r>
      <w:r w:rsidRPr="00BE1ECD">
        <w:t xml:space="preserve"> i </w:t>
      </w:r>
      <w:r w:rsidRPr="00D51A4E">
        <w:rPr>
          <w:b/>
        </w:rPr>
        <w:t>elektroenergetsku međusobnu povezanost</w:t>
      </w:r>
      <w:r w:rsidRPr="00BE1ECD">
        <w:t>. Treba osigurati da je Integrirani energetski i klimatski plan u skladu s ciljevima održivog razvoja i da im pridonosi.</w:t>
      </w:r>
    </w:p>
    <w:p w14:paraId="6BA22B48" w14:textId="77777777" w:rsidR="009E1F1F" w:rsidRDefault="009E1F1F" w:rsidP="004D5756"/>
    <w:p w14:paraId="59F2E335" w14:textId="77777777" w:rsidR="00FD059D" w:rsidRPr="002126E9" w:rsidRDefault="00FD059D" w:rsidP="00FD059D">
      <w:r w:rsidRPr="002126E9">
        <w:lastRenderedPageBreak/>
        <w:t>Integrirani nacionalni energetski i klimatski plan za razdoblje od 2021. do 2030. godine</w:t>
      </w:r>
      <w:r w:rsidRPr="002E7FC6">
        <w:t xml:space="preserve"> sukladno članku 12. Zakon</w:t>
      </w:r>
      <w:r>
        <w:t>a</w:t>
      </w:r>
      <w:r w:rsidRPr="002E7FC6">
        <w:t xml:space="preserve"> o sustavu strateškog planiranja i upravljanja razvojem Republike Hrvatske (NN 123/17)</w:t>
      </w:r>
      <w:r>
        <w:t xml:space="preserve"> donosi Vlada Republike Hrvatske na prijedlog Ministarstva zaštite okoliša i energetike.</w:t>
      </w:r>
    </w:p>
    <w:p w14:paraId="292F69AF" w14:textId="192AC1BB" w:rsidR="00820072" w:rsidRDefault="00B27B02" w:rsidP="009E1F1F">
      <w:pPr>
        <w:suppressAutoHyphens w:val="0"/>
        <w:jc w:val="left"/>
      </w:pPr>
      <w:r w:rsidRPr="00602568">
        <w:t>Najvažn</w:t>
      </w:r>
      <w:r w:rsidR="009E1F1F">
        <w:t>i</w:t>
      </w:r>
      <w:r w:rsidRPr="00602568">
        <w:t>j</w:t>
      </w:r>
      <w:r w:rsidR="00150CB1" w:rsidRPr="00602568">
        <w:t>e</w:t>
      </w:r>
      <w:r w:rsidRPr="00602568">
        <w:t xml:space="preserve"> ciljev</w:t>
      </w:r>
      <w:r w:rsidR="00150CB1" w:rsidRPr="00602568">
        <w:t>e</w:t>
      </w:r>
      <w:r w:rsidRPr="00602568">
        <w:t xml:space="preserve"> </w:t>
      </w:r>
      <w:r w:rsidR="00150CB1" w:rsidRPr="00602568">
        <w:t>koje Plan zadaje za 2030. godinu sadrži sljedeća tablica.</w:t>
      </w:r>
    </w:p>
    <w:p w14:paraId="44BF8C76" w14:textId="77777777" w:rsidR="009E1F1F" w:rsidRPr="00602568" w:rsidRDefault="009E1F1F" w:rsidP="00602568">
      <w:pPr>
        <w:suppressAutoHyphens w:val="0"/>
        <w:jc w:val="left"/>
      </w:pPr>
    </w:p>
    <w:tbl>
      <w:tblPr>
        <w:tblStyle w:val="TableGrid"/>
        <w:tblW w:w="0" w:type="auto"/>
        <w:tblLook w:val="04A0" w:firstRow="1" w:lastRow="0" w:firstColumn="1" w:lastColumn="0" w:noHBand="0" w:noVBand="1"/>
      </w:tblPr>
      <w:tblGrid>
        <w:gridCol w:w="4928"/>
        <w:gridCol w:w="4132"/>
      </w:tblGrid>
      <w:tr w:rsidR="009D227B" w:rsidRPr="006E0BDD" w14:paraId="5FE7AC50" w14:textId="77777777" w:rsidTr="00E608D4">
        <w:tc>
          <w:tcPr>
            <w:tcW w:w="4928" w:type="dxa"/>
            <w:shd w:val="clear" w:color="auto" w:fill="auto"/>
          </w:tcPr>
          <w:p w14:paraId="7946EC95" w14:textId="1B9C86D1" w:rsidR="009D227B" w:rsidRPr="0079520D" w:rsidRDefault="009D227B" w:rsidP="00C11F7F">
            <w:r w:rsidRPr="0079520D">
              <w:t>Indikator</w:t>
            </w:r>
          </w:p>
        </w:tc>
        <w:tc>
          <w:tcPr>
            <w:tcW w:w="4132" w:type="dxa"/>
            <w:shd w:val="clear" w:color="auto" w:fill="auto"/>
          </w:tcPr>
          <w:p w14:paraId="30EF1AE6" w14:textId="1C844FB3" w:rsidR="009D227B" w:rsidRPr="0079520D" w:rsidRDefault="009D227B" w:rsidP="00C11F7F">
            <w:r w:rsidRPr="0079520D">
              <w:t>Cilj</w:t>
            </w:r>
          </w:p>
        </w:tc>
      </w:tr>
      <w:tr w:rsidR="009D227B" w:rsidRPr="006E0BDD" w14:paraId="16C97620" w14:textId="77777777" w:rsidTr="00E608D4">
        <w:tc>
          <w:tcPr>
            <w:tcW w:w="4928" w:type="dxa"/>
            <w:shd w:val="clear" w:color="auto" w:fill="auto"/>
          </w:tcPr>
          <w:p w14:paraId="55CA7332" w14:textId="2E382FDC" w:rsidR="009D227B" w:rsidRPr="0079520D" w:rsidRDefault="008B30B7" w:rsidP="00C11F7F">
            <w:r>
              <w:t>Smanjenje e</w:t>
            </w:r>
            <w:r w:rsidR="001563F2" w:rsidRPr="0079520D">
              <w:t>misije stakleničkih plinova</w:t>
            </w:r>
            <w:r w:rsidR="000D3FF0">
              <w:t xml:space="preserve"> </w:t>
            </w:r>
            <w:r w:rsidR="003410E8">
              <w:t>za</w:t>
            </w:r>
            <w:r w:rsidR="000D3FF0">
              <w:t xml:space="preserve"> </w:t>
            </w:r>
            <w:r w:rsidR="009A1746">
              <w:t xml:space="preserve">ETS </w:t>
            </w:r>
            <w:r w:rsidR="003410E8">
              <w:t xml:space="preserve">sektor, u </w:t>
            </w:r>
            <w:r w:rsidR="000D3FF0">
              <w:t xml:space="preserve">odnosu na </w:t>
            </w:r>
            <w:r w:rsidR="0015718E">
              <w:t>2005</w:t>
            </w:r>
            <w:r w:rsidR="000D3FF0">
              <w:t>. godinu</w:t>
            </w:r>
          </w:p>
        </w:tc>
        <w:tc>
          <w:tcPr>
            <w:tcW w:w="4132" w:type="dxa"/>
            <w:shd w:val="clear" w:color="auto" w:fill="auto"/>
          </w:tcPr>
          <w:p w14:paraId="52B221D9" w14:textId="3C90DB2C" w:rsidR="009D227B" w:rsidRPr="0079520D" w:rsidRDefault="003463E7" w:rsidP="00C11F7F">
            <w:r>
              <w:t xml:space="preserve">najmanje </w:t>
            </w:r>
            <w:r w:rsidR="003410E8">
              <w:t xml:space="preserve">43 </w:t>
            </w:r>
            <w:r w:rsidR="000D3FF0">
              <w:t>%</w:t>
            </w:r>
            <w:r w:rsidR="003B2254">
              <w:rPr>
                <w:rStyle w:val="FootnoteReference"/>
              </w:rPr>
              <w:footnoteReference w:id="2"/>
            </w:r>
          </w:p>
        </w:tc>
      </w:tr>
      <w:tr w:rsidR="00F66804" w:rsidRPr="006E0BDD" w14:paraId="77C7C9A6" w14:textId="77777777" w:rsidTr="00E608D4">
        <w:tc>
          <w:tcPr>
            <w:tcW w:w="4928" w:type="dxa"/>
            <w:shd w:val="clear" w:color="auto" w:fill="auto"/>
          </w:tcPr>
          <w:p w14:paraId="0917D9B2" w14:textId="5B118070" w:rsidR="00F66804" w:rsidRDefault="003410E8" w:rsidP="00C11F7F">
            <w:r w:rsidRPr="003410E8">
              <w:t xml:space="preserve">Smanjenje emisije stakleničkih plinova </w:t>
            </w:r>
            <w:r>
              <w:t xml:space="preserve">za </w:t>
            </w:r>
            <w:r w:rsidRPr="003410E8">
              <w:t>sektor</w:t>
            </w:r>
            <w:r w:rsidR="00E2534D">
              <w:t>e</w:t>
            </w:r>
            <w:r w:rsidR="00E608D4">
              <w:t xml:space="preserve"> izvan ETS-a</w:t>
            </w:r>
            <w:r w:rsidRPr="003410E8">
              <w:t xml:space="preserve">, u odnosu na </w:t>
            </w:r>
            <w:r w:rsidR="0015718E">
              <w:t>2005</w:t>
            </w:r>
            <w:r w:rsidRPr="003410E8">
              <w:t>. godinu</w:t>
            </w:r>
          </w:p>
        </w:tc>
        <w:tc>
          <w:tcPr>
            <w:tcW w:w="4132" w:type="dxa"/>
            <w:shd w:val="clear" w:color="auto" w:fill="auto"/>
          </w:tcPr>
          <w:p w14:paraId="73073D4E" w14:textId="7B758B07" w:rsidR="00F66804" w:rsidRDefault="003463E7" w:rsidP="00C11F7F">
            <w:r>
              <w:t xml:space="preserve">najmanje </w:t>
            </w:r>
            <w:r w:rsidR="003132E2">
              <w:t>7 %</w:t>
            </w:r>
          </w:p>
        </w:tc>
      </w:tr>
      <w:tr w:rsidR="009D227B" w:rsidRPr="006E0BDD" w14:paraId="42B8FD89" w14:textId="77777777" w:rsidTr="00E608D4">
        <w:tc>
          <w:tcPr>
            <w:tcW w:w="4928" w:type="dxa"/>
            <w:shd w:val="clear" w:color="auto" w:fill="auto"/>
          </w:tcPr>
          <w:p w14:paraId="49C55981" w14:textId="3E3DB638" w:rsidR="009D227B" w:rsidRPr="0079520D" w:rsidRDefault="001563F2" w:rsidP="00C11F7F">
            <w:r w:rsidRPr="0079520D">
              <w:t xml:space="preserve">Udio OIE u </w:t>
            </w:r>
            <w:r w:rsidR="007C5EBE">
              <w:t>bruto</w:t>
            </w:r>
            <w:r w:rsidR="007C5EBE" w:rsidRPr="0079520D">
              <w:t xml:space="preserve"> </w:t>
            </w:r>
            <w:r w:rsidRPr="0079520D">
              <w:t>neposrednoj potrošnji energije</w:t>
            </w:r>
          </w:p>
        </w:tc>
        <w:tc>
          <w:tcPr>
            <w:tcW w:w="4132" w:type="dxa"/>
            <w:shd w:val="clear" w:color="auto" w:fill="auto"/>
          </w:tcPr>
          <w:p w14:paraId="33078653" w14:textId="5CE232F9" w:rsidR="009D227B" w:rsidRPr="0079520D" w:rsidRDefault="006B57EC" w:rsidP="00C11F7F">
            <w:r w:rsidRPr="0079520D">
              <w:t>36,4 %</w:t>
            </w:r>
          </w:p>
        </w:tc>
      </w:tr>
      <w:tr w:rsidR="009D227B" w:rsidRPr="006E0BDD" w14:paraId="67F1B290" w14:textId="77777777" w:rsidTr="00E608D4">
        <w:tc>
          <w:tcPr>
            <w:tcW w:w="4928" w:type="dxa"/>
            <w:shd w:val="clear" w:color="auto" w:fill="auto"/>
          </w:tcPr>
          <w:p w14:paraId="4DE35360" w14:textId="62BE9455" w:rsidR="009D227B" w:rsidRPr="0079520D" w:rsidRDefault="001563F2" w:rsidP="00C11F7F">
            <w:r w:rsidRPr="0079520D">
              <w:t>Udio OIE u neposrednoj potrošnji energije</w:t>
            </w:r>
            <w:r w:rsidR="006928FC" w:rsidRPr="0079520D">
              <w:t xml:space="preserve"> u prometu</w:t>
            </w:r>
          </w:p>
        </w:tc>
        <w:tc>
          <w:tcPr>
            <w:tcW w:w="4132" w:type="dxa"/>
            <w:shd w:val="clear" w:color="auto" w:fill="auto"/>
          </w:tcPr>
          <w:p w14:paraId="25026537" w14:textId="3306FA56" w:rsidR="009D227B" w:rsidRPr="0079520D" w:rsidRDefault="00F1274F" w:rsidP="00C11F7F">
            <w:r w:rsidRPr="0079520D">
              <w:t>13,2 %</w:t>
            </w:r>
          </w:p>
        </w:tc>
      </w:tr>
      <w:tr w:rsidR="001563F2" w:rsidRPr="006E0BDD" w14:paraId="180F059D" w14:textId="77777777" w:rsidTr="00E608D4">
        <w:tc>
          <w:tcPr>
            <w:tcW w:w="4928" w:type="dxa"/>
            <w:shd w:val="clear" w:color="auto" w:fill="auto"/>
          </w:tcPr>
          <w:p w14:paraId="62A37D3B" w14:textId="2FC90FA9" w:rsidR="001563F2" w:rsidRPr="0079520D" w:rsidRDefault="00BA79D4" w:rsidP="00C11F7F">
            <w:r w:rsidRPr="0079520D">
              <w:t>P</w:t>
            </w:r>
            <w:r w:rsidR="006928FC" w:rsidRPr="0079520D">
              <w:t xml:space="preserve">otrošnja </w:t>
            </w:r>
            <w:r w:rsidRPr="0079520D">
              <w:t xml:space="preserve">primarne </w:t>
            </w:r>
            <w:r w:rsidR="006928FC" w:rsidRPr="0079520D">
              <w:t>energije</w:t>
            </w:r>
            <w:r w:rsidRPr="0079520D">
              <w:t xml:space="preserve"> (ukupna potrošnja energije bez neenergetske potrošnje)</w:t>
            </w:r>
          </w:p>
        </w:tc>
        <w:tc>
          <w:tcPr>
            <w:tcW w:w="4132" w:type="dxa"/>
            <w:shd w:val="clear" w:color="auto" w:fill="auto"/>
          </w:tcPr>
          <w:p w14:paraId="35083CBE" w14:textId="16C94145" w:rsidR="001563F2" w:rsidRPr="0079520D" w:rsidRDefault="00BA79D4" w:rsidP="00C11F7F">
            <w:r w:rsidRPr="0079520D">
              <w:t>344,38 PJ (8,23 ktoe)</w:t>
            </w:r>
          </w:p>
        </w:tc>
      </w:tr>
      <w:tr w:rsidR="001563F2" w14:paraId="069DC023" w14:textId="77777777" w:rsidTr="00E608D4">
        <w:tc>
          <w:tcPr>
            <w:tcW w:w="4928" w:type="dxa"/>
            <w:shd w:val="clear" w:color="auto" w:fill="auto"/>
          </w:tcPr>
          <w:p w14:paraId="1346E996" w14:textId="6EF9263F" w:rsidR="001563F2" w:rsidRPr="0079520D" w:rsidRDefault="006928FC" w:rsidP="00C11F7F">
            <w:r w:rsidRPr="0079520D">
              <w:t>Neposredna potrošnja energije</w:t>
            </w:r>
          </w:p>
        </w:tc>
        <w:tc>
          <w:tcPr>
            <w:tcW w:w="4132" w:type="dxa"/>
            <w:shd w:val="clear" w:color="auto" w:fill="auto"/>
          </w:tcPr>
          <w:p w14:paraId="227BE8C6" w14:textId="329C9A27" w:rsidR="001563F2" w:rsidRPr="0079520D" w:rsidRDefault="00BA79D4" w:rsidP="00C11F7F">
            <w:r w:rsidRPr="0079520D">
              <w:t>286,91 PJ (6,85 ktoe)</w:t>
            </w:r>
          </w:p>
        </w:tc>
      </w:tr>
    </w:tbl>
    <w:p w14:paraId="7B36724B" w14:textId="77777777" w:rsidR="004E0A5B" w:rsidRDefault="004E0A5B" w:rsidP="009E4539">
      <w:bookmarkStart w:id="6" w:name="_Toc6302323"/>
    </w:p>
    <w:p w14:paraId="0BB56394" w14:textId="77777777" w:rsidR="004E0A5B" w:rsidRPr="004E0A5B" w:rsidRDefault="004E0A5B" w:rsidP="00286B4C"/>
    <w:p w14:paraId="3C5BAB2D" w14:textId="77777777" w:rsidR="00040572" w:rsidRPr="00725326" w:rsidRDefault="00040572" w:rsidP="00725326">
      <w:pPr>
        <w:pStyle w:val="Heading1"/>
        <w:rPr>
          <w:b w:val="0"/>
        </w:rPr>
      </w:pPr>
      <w:bookmarkStart w:id="7" w:name="_Toc27396096"/>
      <w:r w:rsidRPr="00725326">
        <w:lastRenderedPageBreak/>
        <w:t>ODJELJAK A: NACIONALNI PLAN</w:t>
      </w:r>
      <w:bookmarkEnd w:id="6"/>
      <w:bookmarkEnd w:id="7"/>
    </w:p>
    <w:p w14:paraId="3DFEC296" w14:textId="77777777" w:rsidR="00040572" w:rsidRPr="00725326" w:rsidRDefault="00040572" w:rsidP="00C11F7F">
      <w:pPr>
        <w:rPr>
          <w:color w:val="5B9BD5" w:themeColor="accent1"/>
        </w:rPr>
      </w:pPr>
    </w:p>
    <w:p w14:paraId="22CC0CE9" w14:textId="774DFC41" w:rsidR="000C55C1" w:rsidRPr="00B97E2C" w:rsidRDefault="000C55C1" w:rsidP="00840E2E">
      <w:pPr>
        <w:pStyle w:val="Heading1"/>
        <w:numPr>
          <w:ilvl w:val="0"/>
          <w:numId w:val="31"/>
        </w:numPr>
      </w:pPr>
      <w:bookmarkStart w:id="8" w:name="_Toc6302324"/>
      <w:bookmarkStart w:id="9" w:name="_Toc27396097"/>
      <w:r w:rsidRPr="00B97E2C">
        <w:lastRenderedPageBreak/>
        <w:t>PREGLED I PROCES DONOŠENJA PLANA</w:t>
      </w:r>
      <w:bookmarkEnd w:id="4"/>
      <w:bookmarkEnd w:id="5"/>
      <w:bookmarkEnd w:id="8"/>
      <w:bookmarkEnd w:id="9"/>
    </w:p>
    <w:p w14:paraId="5D6BE19A" w14:textId="5D6F0CF2" w:rsidR="000C55C1" w:rsidRDefault="00963D00" w:rsidP="000C55C1">
      <w:pPr>
        <w:pStyle w:val="Heading2"/>
      </w:pPr>
      <w:bookmarkStart w:id="10" w:name="_Toc531934943"/>
      <w:bookmarkStart w:id="11" w:name="_Toc531945069"/>
      <w:bookmarkStart w:id="12" w:name="_Toc6302325"/>
      <w:bookmarkStart w:id="13" w:name="_Toc27396098"/>
      <w:r>
        <w:t>1.1</w:t>
      </w:r>
      <w:r>
        <w:tab/>
      </w:r>
      <w:r w:rsidR="000C55C1">
        <w:t>Sažetak</w:t>
      </w:r>
      <w:bookmarkEnd w:id="10"/>
      <w:bookmarkEnd w:id="11"/>
      <w:bookmarkEnd w:id="12"/>
      <w:bookmarkEnd w:id="13"/>
    </w:p>
    <w:p w14:paraId="49021FB4" w14:textId="4BA83A40" w:rsidR="0061359A" w:rsidRPr="00BE1ECD" w:rsidRDefault="0061359A" w:rsidP="00840E2E">
      <w:pPr>
        <w:pStyle w:val="Heading3"/>
        <w:numPr>
          <w:ilvl w:val="0"/>
          <w:numId w:val="33"/>
        </w:numPr>
      </w:pPr>
      <w:bookmarkStart w:id="14" w:name="_Toc531934944"/>
      <w:bookmarkStart w:id="15" w:name="_Toc531945070"/>
      <w:bookmarkStart w:id="16" w:name="_Toc6302326"/>
      <w:r w:rsidRPr="00BE1ECD">
        <w:t>Politički, okolišni,</w:t>
      </w:r>
      <w:r>
        <w:t xml:space="preserve"> </w:t>
      </w:r>
      <w:r w:rsidRPr="00BE1ECD">
        <w:t>socijalni i gospodarski kontekst plana</w:t>
      </w:r>
    </w:p>
    <w:bookmarkEnd w:id="14"/>
    <w:bookmarkEnd w:id="15"/>
    <w:bookmarkEnd w:id="16"/>
    <w:p w14:paraId="783092AB" w14:textId="29D893F2" w:rsidR="000C55C1" w:rsidRDefault="000C55C1" w:rsidP="000C55C1">
      <w:r>
        <w:t>Republika Hrvatska članica je Europske unije</w:t>
      </w:r>
      <w:r w:rsidR="005965DD">
        <w:t xml:space="preserve"> (EU)</w:t>
      </w:r>
      <w:r>
        <w:t xml:space="preserve"> od</w:t>
      </w:r>
      <w:r w:rsidR="0077353E">
        <w:t xml:space="preserve"> 1. srpnja</w:t>
      </w:r>
      <w:r>
        <w:t xml:space="preserve"> 2013. godine te je njezino energetsko i klimatsko zakonodavstvo usklađeno s relevantnom pravnom stečevinom </w:t>
      </w:r>
      <w:r w:rsidR="005965DD">
        <w:t>EU</w:t>
      </w:r>
      <w:r>
        <w:t xml:space="preserve">. Također, </w:t>
      </w:r>
      <w:r w:rsidRPr="00497723">
        <w:t>Republika Hrvatska je stranka Okvirne konvencije UN-a o promjeni klime (UNFCCC)</w:t>
      </w:r>
      <w:r w:rsidR="0003775B">
        <w:t xml:space="preserve">, Kyotskog protokola i Pariškog sporazuma </w:t>
      </w:r>
      <w:r w:rsidR="00BD2AFC">
        <w:t xml:space="preserve">te </w:t>
      </w:r>
      <w:r>
        <w:t xml:space="preserve">redovito podnosi izvješća o inventaru stakleničkih plinova kao i nacionalna izvješća tajništvu Konvencije. </w:t>
      </w:r>
    </w:p>
    <w:p w14:paraId="5813AED6" w14:textId="0BE0315C" w:rsidR="000C55C1" w:rsidRDefault="00266B3F" w:rsidP="000C55C1">
      <w:r>
        <w:t xml:space="preserve">Sedmo nacionalno </w:t>
      </w:r>
      <w:r w:rsidR="002E5BD6">
        <w:t xml:space="preserve">izvješće Republike Hrvatske prema Okvirnoj konvenciji Ujedinjenih naroda o promjeni klime </w:t>
      </w:r>
      <w:r w:rsidR="000C55C1">
        <w:t xml:space="preserve">objavljeno je </w:t>
      </w:r>
      <w:r w:rsidR="00370142">
        <w:t>2018</w:t>
      </w:r>
      <w:r w:rsidR="000C55C1">
        <w:t>. godine</w:t>
      </w:r>
      <w:r w:rsidR="00D533D1">
        <w:t xml:space="preserve">. Uz informacije o emisijama stakleničkih plinova, </w:t>
      </w:r>
      <w:r w:rsidR="000C55C1">
        <w:t>sadrži</w:t>
      </w:r>
      <w:r w:rsidR="00D533D1">
        <w:t xml:space="preserve"> i</w:t>
      </w:r>
      <w:r w:rsidR="000C55C1">
        <w:t xml:space="preserve"> zaključke o stanju i trendovima u domeni zaštite okoliša, gospodarstva i društvenih kretanja, kao i preporuke za unapređenje provedbe politike zaštite okoliša i održivog </w:t>
      </w:r>
      <w:r w:rsidR="000C55C1" w:rsidRPr="00B4224E">
        <w:t>razvitka</w:t>
      </w:r>
      <w:r w:rsidR="006639F2" w:rsidRPr="00B4224E">
        <w:t xml:space="preserve"> [</w:t>
      </w:r>
      <w:r w:rsidR="000C30F2" w:rsidRPr="00520FA2">
        <w:fldChar w:fldCharType="begin"/>
      </w:r>
      <w:r w:rsidR="000C30F2" w:rsidRPr="00520FA2">
        <w:instrText xml:space="preserve"> REF _Ref531599550 \r \h </w:instrText>
      </w:r>
      <w:r w:rsidR="000C30F2">
        <w:instrText xml:space="preserve"> \* MERGEFORMAT </w:instrText>
      </w:r>
      <w:r w:rsidR="000C30F2" w:rsidRPr="00520FA2">
        <w:fldChar w:fldCharType="separate"/>
      </w:r>
      <w:r w:rsidR="00154150">
        <w:t>1</w:t>
      </w:r>
      <w:r w:rsidR="000C30F2" w:rsidRPr="00520FA2">
        <w:fldChar w:fldCharType="end"/>
      </w:r>
      <w:r w:rsidR="006639F2" w:rsidRPr="00B4224E">
        <w:t>]</w:t>
      </w:r>
      <w:r w:rsidR="000C55C1" w:rsidRPr="00B4224E">
        <w:t>. Emisije</w:t>
      </w:r>
      <w:r w:rsidR="000C55C1">
        <w:t xml:space="preserve"> glavnih onečišćujućih tvari u zrak (SO</w:t>
      </w:r>
      <w:r w:rsidR="000C55C1" w:rsidRPr="007D03FB">
        <w:rPr>
          <w:vertAlign w:val="subscript"/>
        </w:rPr>
        <w:t>2</w:t>
      </w:r>
      <w:r w:rsidR="000C55C1">
        <w:t>, NH</w:t>
      </w:r>
      <w:r w:rsidR="000C55C1" w:rsidRPr="007D03FB">
        <w:rPr>
          <w:vertAlign w:val="subscript"/>
        </w:rPr>
        <w:t>3</w:t>
      </w:r>
      <w:r w:rsidR="000C55C1">
        <w:t>, NO</w:t>
      </w:r>
      <w:r w:rsidR="000C55C1" w:rsidRPr="007D03FB">
        <w:rPr>
          <w:vertAlign w:val="subscript"/>
        </w:rPr>
        <w:t>X</w:t>
      </w:r>
      <w:r w:rsidR="000C55C1">
        <w:t xml:space="preserve">, NMHOS) u odnosu na baznu 1990. godinu pokazuju opći trend smanjenja. </w:t>
      </w:r>
      <w:r w:rsidR="000C55C1" w:rsidRPr="00015736">
        <w:t>Emisije stakleničkih plinova se smanjuju.</w:t>
      </w:r>
      <w:r w:rsidR="000C55C1">
        <w:t xml:space="preserve"> </w:t>
      </w:r>
      <w:r w:rsidR="000C55C1" w:rsidRPr="004B3398">
        <w:t>Prema brojnosti i količinama ispuštanja i prijenosa onečišćujućih tvari u vode i/ili more, najopterećenije je vodno područje sliva Save</w:t>
      </w:r>
      <w:r w:rsidR="000C55C1">
        <w:t>.</w:t>
      </w:r>
      <w:r w:rsidR="000C55C1" w:rsidRPr="00706761">
        <w:t xml:space="preserve"> </w:t>
      </w:r>
      <w:r w:rsidR="000C55C1">
        <w:t>Minski sumnjive površine su i dalje prisutne.</w:t>
      </w:r>
    </w:p>
    <w:p w14:paraId="254EADAB" w14:textId="69241760" w:rsidR="000C55C1" w:rsidRDefault="000C55C1" w:rsidP="000C55C1">
      <w:pPr>
        <w:rPr>
          <w:strike/>
        </w:rPr>
      </w:pPr>
      <w:r>
        <w:t>U pogledu socijalnog konteksta plana, razvitak regija Hrvatske i naseljavanje prostora su neravnomjerni, sa sve jačim pritiscima na veće gradove</w:t>
      </w:r>
      <w:r w:rsidR="006639F2">
        <w:t xml:space="preserve"> </w:t>
      </w:r>
      <w:r w:rsidR="000C30F2" w:rsidRPr="00765552">
        <w:t>[</w:t>
      </w:r>
      <w:r w:rsidR="000C30F2" w:rsidRPr="00765552">
        <w:fldChar w:fldCharType="begin"/>
      </w:r>
      <w:r w:rsidR="000C30F2" w:rsidRPr="00765552">
        <w:instrText xml:space="preserve"> REF _Ref531599550 \r \h </w:instrText>
      </w:r>
      <w:r w:rsidR="000C30F2">
        <w:instrText xml:space="preserve"> \* MERGEFORMAT </w:instrText>
      </w:r>
      <w:r w:rsidR="000C30F2" w:rsidRPr="00765552">
        <w:fldChar w:fldCharType="separate"/>
      </w:r>
      <w:r w:rsidR="00154150">
        <w:t>1</w:t>
      </w:r>
      <w:r w:rsidR="000C30F2" w:rsidRPr="00765552">
        <w:fldChar w:fldCharType="end"/>
      </w:r>
      <w:r w:rsidR="000C30F2" w:rsidRPr="00765552">
        <w:t>].</w:t>
      </w:r>
      <w:r>
        <w:t xml:space="preserve"> Nastavlja se trend napuštanja ruralnih područja. Z</w:t>
      </w:r>
      <w:r w:rsidRPr="00C847E4">
        <w:t xml:space="preserve">bog emigracije dijela stanovništva u radnoj dobi i oporavka gospodarstva, dinamika smanjenja stope nezaposlenosti znatno </w:t>
      </w:r>
      <w:r>
        <w:t xml:space="preserve">je </w:t>
      </w:r>
      <w:r w:rsidRPr="00C847E4">
        <w:t>brža od dinamike predviđene u europskim projekcijama</w:t>
      </w:r>
      <w:r>
        <w:t xml:space="preserve">. Broj stanovnika RH kontinuirano opada, pri čemu se povećava udio stanovništva u dobnoj skupini iznad 65 godina, </w:t>
      </w:r>
      <w:r w:rsidRPr="003F206A">
        <w:t>na račun smanjenja dobn</w:t>
      </w:r>
      <w:r w:rsidR="0083392B">
        <w:t>ih</w:t>
      </w:r>
      <w:r w:rsidRPr="003F206A">
        <w:t xml:space="preserve"> skupina s visokim stopama aktivnosti</w:t>
      </w:r>
      <w:r>
        <w:t xml:space="preserve"> </w:t>
      </w:r>
      <w:r w:rsidR="001C439C">
        <w:t>[</w:t>
      </w:r>
      <w:r w:rsidR="006F4072" w:rsidRPr="00765552">
        <w:fldChar w:fldCharType="begin"/>
      </w:r>
      <w:r w:rsidR="006F4072" w:rsidRPr="00765552">
        <w:instrText xml:space="preserve"> REF _Ref531599550 \r \h </w:instrText>
      </w:r>
      <w:r w:rsidR="006F4072">
        <w:instrText xml:space="preserve"> \* MERGEFORMAT </w:instrText>
      </w:r>
      <w:r w:rsidR="006F4072" w:rsidRPr="00765552">
        <w:fldChar w:fldCharType="separate"/>
      </w:r>
      <w:r w:rsidR="00154150">
        <w:t>1</w:t>
      </w:r>
      <w:r w:rsidR="006F4072" w:rsidRPr="00765552">
        <w:fldChar w:fldCharType="end"/>
      </w:r>
      <w:r w:rsidR="351A17E0">
        <w:t>].</w:t>
      </w:r>
    </w:p>
    <w:p w14:paraId="5A21C309" w14:textId="5E5C6A13" w:rsidR="00CB1C67" w:rsidRDefault="009553D6" w:rsidP="009553D6">
      <w:r w:rsidRPr="0050137B">
        <w:t>Hrvatska trenutno ima znatno niže stope ekonomske aktivnosti stanovništva od većine zemalja EU-a</w:t>
      </w:r>
      <w:r>
        <w:t xml:space="preserve"> [</w:t>
      </w:r>
      <w:r>
        <w:fldChar w:fldCharType="begin"/>
      </w:r>
      <w:r>
        <w:instrText xml:space="preserve"> REF _Ref531599476 \r \h </w:instrText>
      </w:r>
      <w:r>
        <w:fldChar w:fldCharType="separate"/>
      </w:r>
      <w:r w:rsidR="00154150">
        <w:t>2</w:t>
      </w:r>
      <w:r>
        <w:fldChar w:fldCharType="end"/>
      </w:r>
      <w:r>
        <w:t>]. U ukupnoj energetskoj bilanci Hrvatske značajna je ovisnost o uvozu nafte, plina i električne energije.</w:t>
      </w:r>
      <w:r w:rsidRPr="0056482C">
        <w:t xml:space="preserve"> Značajan uvoz električne energije je posljedica tržišne nekonkurentnosti i niskog stupnja djelovanja termoelektrana starije tehnologije te obvezujućih uvjeta zaštite okoliša za pojedina proizvodna postrojenja.</w:t>
      </w:r>
      <w:r>
        <w:t xml:space="preserve"> Industrijska se proizvodnja kontinuirano smanjuje, a najveći prihod postiže prerađivačka industrija.</w:t>
      </w:r>
    </w:p>
    <w:p w14:paraId="2AFFDB05" w14:textId="77777777" w:rsidR="00CB1C67" w:rsidRDefault="00CB1C67">
      <w:pPr>
        <w:suppressAutoHyphens w:val="0"/>
        <w:spacing w:before="0" w:after="0" w:line="240" w:lineRule="auto"/>
        <w:jc w:val="left"/>
      </w:pPr>
      <w:r>
        <w:br w:type="page"/>
      </w:r>
    </w:p>
    <w:p w14:paraId="56692D0C" w14:textId="2E8D5955" w:rsidR="00424126" w:rsidRDefault="00167757" w:rsidP="00840E2E">
      <w:pPr>
        <w:pStyle w:val="Heading3"/>
        <w:numPr>
          <w:ilvl w:val="0"/>
          <w:numId w:val="33"/>
        </w:numPr>
      </w:pPr>
      <w:r>
        <w:lastRenderedPageBreak/>
        <w:t xml:space="preserve">Strategije koje </w:t>
      </w:r>
      <w:r w:rsidR="00424126">
        <w:t xml:space="preserve">se </w:t>
      </w:r>
      <w:r>
        <w:t xml:space="preserve">odnose </w:t>
      </w:r>
      <w:r w:rsidR="00424126">
        <w:t>na pet dimenzija energetske unije</w:t>
      </w:r>
    </w:p>
    <w:p w14:paraId="03BDC3DA" w14:textId="745E4C37" w:rsidR="00140A62" w:rsidRDefault="000C55C1" w:rsidP="000C55C1">
      <w:r>
        <w:t xml:space="preserve">Pet dimenzija </w:t>
      </w:r>
      <w:r w:rsidR="00FF3A27">
        <w:t xml:space="preserve">energetske </w:t>
      </w:r>
      <w:r>
        <w:t xml:space="preserve">unije su dekarbonizacija, energetska učinkovitost, energetska sigurnost, unutarnje energetsko tržište te istraživanje, inovacije i konkurentnost. </w:t>
      </w:r>
    </w:p>
    <w:p w14:paraId="6A56036E" w14:textId="4D409BC1" w:rsidR="00767FE8" w:rsidRDefault="00077CBA" w:rsidP="00767FE8">
      <w:r>
        <w:t>Četi</w:t>
      </w:r>
      <w:r w:rsidR="00B83818">
        <w:t>ri</w:t>
      </w:r>
      <w:r w:rsidR="00767FE8">
        <w:t xml:space="preserve"> su ključne strategije koje se odnose na</w:t>
      </w:r>
      <w:r w:rsidR="004A722C">
        <w:t xml:space="preserve"> </w:t>
      </w:r>
      <w:r w:rsidR="00B83818" w:rsidRPr="008B7344">
        <w:rPr>
          <w:b/>
          <w:bCs/>
        </w:rPr>
        <w:t>dimenziju dekarbonizacije</w:t>
      </w:r>
      <w:r w:rsidR="00767FE8">
        <w:t xml:space="preserve">. </w:t>
      </w:r>
      <w:r w:rsidR="00767FE8" w:rsidRPr="00B83818">
        <w:rPr>
          <w:b/>
          <w:bCs/>
        </w:rPr>
        <w:t>Strategija energetskog razvoja Republike Hrvatske do 2030. godine, s pogledom na 2050. godinu</w:t>
      </w:r>
      <w:r w:rsidR="00767FE8" w:rsidRPr="00BE1ECD">
        <w:t xml:space="preserve"> (</w:t>
      </w:r>
      <w:r w:rsidR="003A3524">
        <w:t xml:space="preserve">u </w:t>
      </w:r>
      <w:r w:rsidR="00767FE8" w:rsidRPr="00BE1ECD">
        <w:t>dalj</w:t>
      </w:r>
      <w:r w:rsidR="003A3524">
        <w:t>nj</w:t>
      </w:r>
      <w:r w:rsidR="00767FE8" w:rsidRPr="00BE1ECD">
        <w:t>e</w:t>
      </w:r>
      <w:r w:rsidR="003A3524">
        <w:t>m</w:t>
      </w:r>
      <w:r w:rsidR="00767FE8" w:rsidRPr="00BE1ECD">
        <w:t xml:space="preserve"> tekstu: </w:t>
      </w:r>
      <w:r w:rsidR="003E66D9">
        <w:t>Strategija energetskog razvoja</w:t>
      </w:r>
      <w:r w:rsidR="00767FE8" w:rsidRPr="00BE1ECD">
        <w:t>)</w:t>
      </w:r>
      <w:r w:rsidR="00767FE8">
        <w:t xml:space="preserve"> </w:t>
      </w:r>
      <w:r w:rsidR="00767FE8" w:rsidRPr="00BE1ECD">
        <w:t>[</w:t>
      </w:r>
      <w:r w:rsidR="006F4072" w:rsidRPr="00223709">
        <w:fldChar w:fldCharType="begin"/>
      </w:r>
      <w:r w:rsidR="006F4072" w:rsidRPr="00223709">
        <w:instrText xml:space="preserve"> REF _Ref19783836 \r \h </w:instrText>
      </w:r>
      <w:r w:rsidR="006F4072">
        <w:instrText xml:space="preserve"> \* MERGEFORMAT </w:instrText>
      </w:r>
      <w:r w:rsidR="006F4072" w:rsidRPr="00223709">
        <w:fldChar w:fldCharType="separate"/>
      </w:r>
      <w:r w:rsidR="00154150">
        <w:t>3</w:t>
      </w:r>
      <w:r w:rsidR="006F4072" w:rsidRPr="00223709">
        <w:fldChar w:fldCharType="end"/>
      </w:r>
      <w:r w:rsidR="00767FE8" w:rsidRPr="00BE1ECD">
        <w:t>]</w:t>
      </w:r>
      <w:r w:rsidR="00767FE8">
        <w:t xml:space="preserve"> </w:t>
      </w:r>
      <w:r w:rsidR="00767FE8" w:rsidRPr="00BE1ECD">
        <w:t xml:space="preserve">obveza je koja slijedi iz Zakona o energiji (NN 120/12, 14/14, 95/15, 102/15, 68/18). Za potrebe izrade </w:t>
      </w:r>
      <w:r w:rsidR="00010C80">
        <w:t>S</w:t>
      </w:r>
      <w:r w:rsidR="00010C80" w:rsidRPr="00BE1ECD">
        <w:t xml:space="preserve">trategije </w:t>
      </w:r>
      <w:r w:rsidR="00010C80">
        <w:t>energetskog razvoja</w:t>
      </w:r>
      <w:r w:rsidR="00767FE8" w:rsidRPr="00BE1ECD">
        <w:t xml:space="preserve"> izrađene su analitičke podloge (tzv. Zelena knjiga [</w:t>
      </w:r>
      <w:r w:rsidR="00767FE8" w:rsidRPr="00BE1ECD">
        <w:fldChar w:fldCharType="begin"/>
      </w:r>
      <w:r w:rsidR="00767FE8" w:rsidRPr="00BE1ECD">
        <w:instrText xml:space="preserve"> REF _Ref531599476 \r \h  \* MERGEFORMAT </w:instrText>
      </w:r>
      <w:r w:rsidR="00767FE8" w:rsidRPr="00BE1ECD">
        <w:fldChar w:fldCharType="separate"/>
      </w:r>
      <w:r w:rsidR="00154150">
        <w:t>2</w:t>
      </w:r>
      <w:r w:rsidR="00767FE8" w:rsidRPr="00BE1ECD">
        <w:fldChar w:fldCharType="end"/>
      </w:r>
      <w:r w:rsidR="00767FE8" w:rsidRPr="00BE1ECD">
        <w:t xml:space="preserve">] </w:t>
      </w:r>
      <w:r w:rsidR="00767FE8">
        <w:t xml:space="preserve">i Bijela knjiga </w:t>
      </w:r>
      <w:r w:rsidR="00767FE8" w:rsidRPr="00BE1ECD">
        <w:t>[</w:t>
      </w:r>
      <w:r w:rsidR="001F7A02">
        <w:rPr>
          <w:highlight w:val="yellow"/>
        </w:rPr>
        <w:fldChar w:fldCharType="begin"/>
      </w:r>
      <w:r w:rsidR="001F7A02">
        <w:instrText xml:space="preserve"> REF _Ref19784013 \r \h </w:instrText>
      </w:r>
      <w:r w:rsidR="001F7A02">
        <w:rPr>
          <w:highlight w:val="yellow"/>
        </w:rPr>
      </w:r>
      <w:r w:rsidR="001F7A02">
        <w:rPr>
          <w:highlight w:val="yellow"/>
        </w:rPr>
        <w:fldChar w:fldCharType="separate"/>
      </w:r>
      <w:r w:rsidR="00154150">
        <w:t>4</w:t>
      </w:r>
      <w:r w:rsidR="001F7A02">
        <w:rPr>
          <w:highlight w:val="yellow"/>
        </w:rPr>
        <w:fldChar w:fldCharType="end"/>
      </w:r>
      <w:r w:rsidR="00767FE8" w:rsidRPr="00BE1ECD">
        <w:t>]</w:t>
      </w:r>
      <w:r w:rsidR="00767FE8">
        <w:t>)</w:t>
      </w:r>
      <w:r w:rsidR="00767FE8" w:rsidRPr="00BE1ECD">
        <w:t xml:space="preserve"> koje su predstavljene stručnoj i zainteresiranoj javnosti</w:t>
      </w:r>
      <w:r w:rsidR="00767FE8">
        <w:t xml:space="preserve"> krajem 2018. i početkom 2019. godine</w:t>
      </w:r>
      <w:r w:rsidR="00767FE8" w:rsidRPr="00BE1ECD">
        <w:t xml:space="preserve">. </w:t>
      </w:r>
      <w:r w:rsidR="00767FE8">
        <w:t xml:space="preserve">Analitičke podloge </w:t>
      </w:r>
      <w:r w:rsidR="00767FE8" w:rsidRPr="00BE1ECD">
        <w:t>sadrž</w:t>
      </w:r>
      <w:r w:rsidR="00767FE8">
        <w:t>e</w:t>
      </w:r>
      <w:r w:rsidR="00767FE8" w:rsidRPr="00BE1ECD">
        <w:t xml:space="preserve"> razrađene ciljeve za korištenje obnovljivih izvora energije (OIE), energetsku učinkovitost, unutarnje energetsko tržište i energetsku sigurnost.</w:t>
      </w:r>
      <w:r w:rsidR="00767FE8">
        <w:t xml:space="preserve"> </w:t>
      </w:r>
      <w:r w:rsidR="00505D3E">
        <w:t xml:space="preserve">Strategija energetskog razvoja </w:t>
      </w:r>
      <w:r w:rsidR="00767FE8" w:rsidRPr="002E367C">
        <w:t>definira optimalni energetski miks i razvojn</w:t>
      </w:r>
      <w:r w:rsidR="00767FE8">
        <w:t>e energetske</w:t>
      </w:r>
      <w:r w:rsidR="00767FE8" w:rsidRPr="002E367C">
        <w:t xml:space="preserve"> projekt</w:t>
      </w:r>
      <w:r w:rsidR="00767FE8">
        <w:t>e</w:t>
      </w:r>
      <w:r w:rsidR="00767FE8" w:rsidRPr="002E367C">
        <w:t xml:space="preserve"> s ciljem osiguranja energetske neovisnosti Republike Hrvatske</w:t>
      </w:r>
      <w:r w:rsidR="00767FE8">
        <w:t xml:space="preserve"> s posebnim naglaskom na jačanje proizvodnje energije iz obnovljivih izvora</w:t>
      </w:r>
      <w:r w:rsidR="00767FE8" w:rsidRPr="002E367C">
        <w:t>. Također, posebna je pozornost posvećena sigurnosti opskrbe i održivosti te konkurentnosti energetskog sustava. Navedeno je usklađeno s ciljevima iz EU direktiva po pitanjima smanjenja potrošnje, smanjenja emisija stakleničkih plinova, održivosti energetskog razvoja, konkurentnosti energetskog sustava i pozitivnog investicijskog okruženja.</w:t>
      </w:r>
      <w:r w:rsidR="00785351">
        <w:t xml:space="preserve"> </w:t>
      </w:r>
      <w:bookmarkStart w:id="17" w:name="_Hlk26358621"/>
      <w:r w:rsidR="009C768E" w:rsidRPr="009C768E">
        <w:t xml:space="preserve">Za korištenje obnovljivih izvora energije u zgradarstvu ključna je </w:t>
      </w:r>
      <w:r w:rsidR="009C768E" w:rsidRPr="009C768E">
        <w:rPr>
          <w:b/>
          <w:bCs/>
        </w:rPr>
        <w:t xml:space="preserve">Dugoročna strategija za poticanje ulaganja u obnovu nacionalnog fonda zgrada Republike </w:t>
      </w:r>
      <w:r w:rsidR="009C768E" w:rsidRPr="0075494E">
        <w:rPr>
          <w:b/>
          <w:bCs/>
        </w:rPr>
        <w:t>Hrvatske</w:t>
      </w:r>
      <w:r w:rsidR="0075494E" w:rsidRPr="0075494E">
        <w:rPr>
          <w:b/>
          <w:bCs/>
        </w:rPr>
        <w:t xml:space="preserve"> do 2050. godine</w:t>
      </w:r>
      <w:r w:rsidR="009C768E" w:rsidRPr="009C768E">
        <w:t xml:space="preserve"> koja kroz nZEB zahtjev za nove zgrade i rekonstrukciju postojećih zgrada uključuje obavezu pokrivanja znatnog dijela primarne energije za zgradu korištenjem obnovljivih izvora energije na lokaciji zgrade ili u neposrednoj blizini</w:t>
      </w:r>
      <w:bookmarkEnd w:id="17"/>
      <w:r w:rsidR="009C768E" w:rsidRPr="009C768E">
        <w:t>.</w:t>
      </w:r>
      <w:r w:rsidR="00622DB1">
        <w:t xml:space="preserve"> </w:t>
      </w:r>
    </w:p>
    <w:p w14:paraId="00CE780B" w14:textId="42A41ED8" w:rsidR="00767FE8" w:rsidRDefault="00AA6D86" w:rsidP="00767FE8">
      <w:r>
        <w:t>Treći</w:t>
      </w:r>
      <w:r w:rsidR="00B83818">
        <w:t xml:space="preserve"> </w:t>
      </w:r>
      <w:r w:rsidR="00767FE8">
        <w:t xml:space="preserve">strateški dokument </w:t>
      </w:r>
      <w:r w:rsidR="00B83818">
        <w:t xml:space="preserve">za dimenziju dekarbonizacije </w:t>
      </w:r>
      <w:r w:rsidR="00767FE8">
        <w:t xml:space="preserve">je </w:t>
      </w:r>
      <w:r w:rsidR="00767FE8" w:rsidRPr="00B83818">
        <w:rPr>
          <w:b/>
          <w:bCs/>
        </w:rPr>
        <w:t>Nacrt Strategije niskougljičnog razvoja Republike Hrvatske za razdoblje do 2030. godine, s pogledom na 2050. godinu</w:t>
      </w:r>
      <w:r w:rsidR="00767FE8" w:rsidRPr="00BE1ECD">
        <w:t xml:space="preserve"> [</w:t>
      </w:r>
      <w:r w:rsidR="00767FE8" w:rsidRPr="00BE1ECD">
        <w:fldChar w:fldCharType="begin"/>
      </w:r>
      <w:r w:rsidR="00767FE8" w:rsidRPr="00BE1ECD">
        <w:instrText xml:space="preserve"> REF _Ref531599957 \r \h </w:instrText>
      </w:r>
      <w:r w:rsidR="00767FE8">
        <w:instrText xml:space="preserve"> \* MERGEFORMAT </w:instrText>
      </w:r>
      <w:r w:rsidR="00767FE8" w:rsidRPr="00BE1ECD">
        <w:fldChar w:fldCharType="separate"/>
      </w:r>
      <w:r w:rsidR="00154150">
        <w:t>5</w:t>
      </w:r>
      <w:r w:rsidR="00767FE8" w:rsidRPr="00BE1ECD">
        <w:fldChar w:fldCharType="end"/>
      </w:r>
      <w:r w:rsidR="00767FE8" w:rsidRPr="00BE1ECD">
        <w:t>] (</w:t>
      </w:r>
      <w:r w:rsidR="004A032A">
        <w:t xml:space="preserve">u </w:t>
      </w:r>
      <w:r w:rsidR="00767FE8" w:rsidRPr="00BE1ECD">
        <w:t>dalj</w:t>
      </w:r>
      <w:r w:rsidR="004A032A">
        <w:t>nj</w:t>
      </w:r>
      <w:r w:rsidR="00767FE8" w:rsidRPr="00BE1ECD">
        <w:t>e</w:t>
      </w:r>
      <w:r w:rsidR="004A032A">
        <w:t>m</w:t>
      </w:r>
      <w:r w:rsidR="00767FE8" w:rsidRPr="00BE1ECD">
        <w:t xml:space="preserve"> tekstu: </w:t>
      </w:r>
      <w:r w:rsidR="007510C6" w:rsidRPr="002126E9">
        <w:t>S</w:t>
      </w:r>
      <w:r w:rsidR="007510C6">
        <w:t>trategija niskougljičnog razvoja</w:t>
      </w:r>
      <w:r w:rsidR="00767FE8" w:rsidRPr="00BE1ECD">
        <w:t xml:space="preserve">). Izrada </w:t>
      </w:r>
      <w:r w:rsidR="007510C6" w:rsidRPr="002126E9">
        <w:t>S</w:t>
      </w:r>
      <w:r w:rsidR="007510C6">
        <w:t xml:space="preserve">trategije niskougljičnog razvoja </w:t>
      </w:r>
      <w:r w:rsidR="00767FE8" w:rsidRPr="00BE1ECD">
        <w:t xml:space="preserve">i Akcijskog plana za provedbu </w:t>
      </w:r>
      <w:r w:rsidR="007E5C01" w:rsidRPr="002126E9">
        <w:t>S</w:t>
      </w:r>
      <w:r w:rsidR="007E5C01">
        <w:t xml:space="preserve">trategije niskougljičnog razvoja </w:t>
      </w:r>
      <w:r w:rsidR="00767FE8" w:rsidRPr="00BE1ECD">
        <w:t>za razdoblje od pet godina obveza je koja slijedi iz Zakona o zaštiti zraka (NN 130/11, 47/14, 61/17</w:t>
      </w:r>
      <w:r w:rsidR="00E92189">
        <w:t xml:space="preserve"> i 118/18</w:t>
      </w:r>
      <w:r w:rsidR="00767FE8" w:rsidRPr="00BE1ECD">
        <w:t xml:space="preserve">). Nacrt </w:t>
      </w:r>
      <w:r w:rsidR="004B09E7" w:rsidRPr="002126E9">
        <w:t>S</w:t>
      </w:r>
      <w:r w:rsidR="004B09E7">
        <w:t>trategije niskougljičnog razvoja</w:t>
      </w:r>
      <w:r w:rsidR="00767FE8" w:rsidRPr="00BE1ECD">
        <w:t xml:space="preserve"> izrađen je tijekom 2017. godine, kad je prošao i javnu raspravu, a odnosi se na sektore energetike, industrije, prometa, opće potrošnje, poljoprivrede, otpada i korištenja zemljišta.</w:t>
      </w:r>
      <w:r w:rsidR="00767FE8">
        <w:t xml:space="preserve"> </w:t>
      </w:r>
      <w:r w:rsidR="00767FE8" w:rsidRPr="00BE1ECD">
        <w:t xml:space="preserve">Konačno usvajanje Nacrta Strategije niskougljičnog razvoja odgođeno je kako bi se uskladila sa </w:t>
      </w:r>
      <w:r w:rsidR="00EC16EB">
        <w:t>Strategijom energetskog razvoja</w:t>
      </w:r>
      <w:r w:rsidR="00767FE8">
        <w:t>.</w:t>
      </w:r>
    </w:p>
    <w:p w14:paraId="0BDFF2C0" w14:textId="2D40153E" w:rsidR="00767FE8" w:rsidRDefault="00767FE8" w:rsidP="00767FE8">
      <w:r w:rsidRPr="00BE1ECD">
        <w:t xml:space="preserve">Jedan od ciljeva u okviru dimenzije dekarbonizacije je i prilagodba klimatskim promjenama, koju razrađuje </w:t>
      </w:r>
      <w:r w:rsidRPr="00B83818">
        <w:rPr>
          <w:b/>
          <w:bCs/>
        </w:rPr>
        <w:t xml:space="preserve">Nacrt Strategije prilagodbe klimatskim promjenama </w:t>
      </w:r>
      <w:r w:rsidR="00545B70" w:rsidRPr="00B83818">
        <w:rPr>
          <w:b/>
          <w:bCs/>
        </w:rPr>
        <w:t>u Republici Hrv</w:t>
      </w:r>
      <w:r w:rsidR="003368D1" w:rsidRPr="00B83818">
        <w:rPr>
          <w:b/>
          <w:bCs/>
        </w:rPr>
        <w:t>a</w:t>
      </w:r>
      <w:r w:rsidR="00545B70" w:rsidRPr="00B83818">
        <w:rPr>
          <w:b/>
          <w:bCs/>
        </w:rPr>
        <w:t>tskoj za razdoblje do 2040. godine s pogledom na 2070. godinu</w:t>
      </w:r>
      <w:r w:rsidR="00545B70">
        <w:t xml:space="preserve"> </w:t>
      </w:r>
      <w:r w:rsidRPr="00BE1ECD">
        <w:t>s akcijskim planom</w:t>
      </w:r>
      <w:r w:rsidR="00485CF3">
        <w:t xml:space="preserve"> (</w:t>
      </w:r>
      <w:r w:rsidR="009E3A9E">
        <w:t xml:space="preserve">u </w:t>
      </w:r>
      <w:r w:rsidR="00485CF3">
        <w:t>dalj</w:t>
      </w:r>
      <w:r w:rsidR="009E3A9E">
        <w:t>nj</w:t>
      </w:r>
      <w:r w:rsidR="00485CF3">
        <w:t>e</w:t>
      </w:r>
      <w:r w:rsidR="009E3A9E">
        <w:t>m</w:t>
      </w:r>
      <w:r w:rsidR="00485CF3">
        <w:t xml:space="preserve"> tekstu: Strategija pril</w:t>
      </w:r>
      <w:r w:rsidR="009E4B05">
        <w:t>a</w:t>
      </w:r>
      <w:r w:rsidR="00485CF3">
        <w:t>godbe</w:t>
      </w:r>
      <w:r w:rsidRPr="00BE1ECD">
        <w:t xml:space="preserve"> [</w:t>
      </w:r>
      <w:r w:rsidRPr="00BE1ECD">
        <w:fldChar w:fldCharType="begin"/>
      </w:r>
      <w:r w:rsidRPr="00BE1ECD">
        <w:instrText xml:space="preserve"> REF _Ref531802168 \r \h </w:instrText>
      </w:r>
      <w:r>
        <w:instrText xml:space="preserve"> \* MERGEFORMAT </w:instrText>
      </w:r>
      <w:r w:rsidRPr="00BE1ECD">
        <w:fldChar w:fldCharType="separate"/>
      </w:r>
      <w:r w:rsidR="00154150">
        <w:t>6</w:t>
      </w:r>
      <w:r w:rsidRPr="00BE1ECD">
        <w:fldChar w:fldCharType="end"/>
      </w:r>
      <w:r w:rsidRPr="00BE1ECD">
        <w:t>]. Nacrt Strategije prošao je savjetovanje s nadležnim tijelima i institucijama te sa zainteresiranom javnošću, a usvajanje dokumenta očekuje se po usvajanju Strategije niskougljičnog razvoja.</w:t>
      </w:r>
    </w:p>
    <w:p w14:paraId="3118FD77" w14:textId="7BA8D965" w:rsidR="003718B5" w:rsidRDefault="003718B5" w:rsidP="00767FE8">
      <w:r>
        <w:t>Potrebno je napomenuti kako u trenutku usvajanja ovog dokumenta</w:t>
      </w:r>
      <w:r w:rsidR="00485CF3">
        <w:t xml:space="preserve"> </w:t>
      </w:r>
      <w:r w:rsidR="00326EE0" w:rsidRPr="00455A26">
        <w:t>Strategij</w:t>
      </w:r>
      <w:r w:rsidR="00326EE0">
        <w:t>a</w:t>
      </w:r>
      <w:r w:rsidR="00326EE0" w:rsidRPr="00455A26">
        <w:t xml:space="preserve"> niskougljičnog razvoja</w:t>
      </w:r>
      <w:r w:rsidR="00326EE0" w:rsidRPr="00455A26" w:rsidDel="00455A26">
        <w:t xml:space="preserve"> </w:t>
      </w:r>
      <w:r w:rsidR="00485CF3">
        <w:t xml:space="preserve">i Strategija prilagodbe nisu </w:t>
      </w:r>
      <w:r w:rsidR="001C49CA">
        <w:t xml:space="preserve">bile formalno usvojene. Ako će konačan tekst tih dokumenata biti različit od </w:t>
      </w:r>
      <w:r w:rsidR="00BB4F45">
        <w:t xml:space="preserve">nacrta koji su uzeti u obzir prilikom izrade ovog dokumenta, to će </w:t>
      </w:r>
      <w:r w:rsidR="00BB4F45">
        <w:lastRenderedPageBreak/>
        <w:t xml:space="preserve">se </w:t>
      </w:r>
      <w:r w:rsidR="00DE675A">
        <w:t xml:space="preserve">uvažiti u okviru izvještavanja o provedbi Integriranog plana, kao i u </w:t>
      </w:r>
      <w:r w:rsidR="006D406E">
        <w:t>okviru ažuriranja</w:t>
      </w:r>
      <w:r w:rsidR="002645AA">
        <w:t xml:space="preserve"> plana koj</w:t>
      </w:r>
      <w:r w:rsidR="006D406E">
        <w:t>e</w:t>
      </w:r>
      <w:r w:rsidR="002645AA">
        <w:t xml:space="preserve"> se očekuje 2024. godine.</w:t>
      </w:r>
    </w:p>
    <w:p w14:paraId="17A8E4F1" w14:textId="4B27151D" w:rsidR="00B83818" w:rsidRPr="00BE1ECD" w:rsidRDefault="00B83818" w:rsidP="00767FE8">
      <w:r>
        <w:t xml:space="preserve">Ključan dokument za </w:t>
      </w:r>
      <w:r w:rsidRPr="008B7344">
        <w:rPr>
          <w:b/>
          <w:bCs/>
        </w:rPr>
        <w:t>dimenziju energetske učinkovitosti</w:t>
      </w:r>
      <w:r>
        <w:t xml:space="preserve"> je </w:t>
      </w:r>
      <w:r w:rsidR="00E2237B" w:rsidRPr="008B7344">
        <w:rPr>
          <w:b/>
          <w:bCs/>
        </w:rPr>
        <w:t>Dugoročna strategija za poticanje ulaganja u obnovu nacionalnog fonda zgrada Republike Hrvatske do 2050. godine</w:t>
      </w:r>
      <w:r w:rsidR="0005799F">
        <w:t>, kojom</w:t>
      </w:r>
      <w:r w:rsidR="0005799F" w:rsidRPr="0005799F">
        <w:t xml:space="preserve"> se promiče potreba ulaganja u fond zgrada. Revizijom strategije usklađuju se ciljevi obnove s NECP u svjetlu demografskih trendova i aktivnosti građevinskog sektora pri čemu su primjetni trendovi ubrzanog napuštanja postojećeg fonda zgrada lošijih svojstava, uz postupni rast novogradnje. Trenutna stopa energetske obnove zgrade koja iznosi 0,7% godišnje, postupno se kroz razdoblje 2021 – 2030 podiže na 3%, s desetogodišnjom prosječnom stopom od 1,6%. Bitan element je uvođenje dodatnih mjerljivih indikatora energetske obnove zgrade čime će se osnažiti proces konverzije građevinskog fonda u zgrade gotov</w:t>
      </w:r>
      <w:r w:rsidR="0005799F">
        <w:t>o</w:t>
      </w:r>
      <w:r w:rsidR="0005799F" w:rsidRPr="0005799F">
        <w:t xml:space="preserve"> nulte energije, odnosno klimatski neutralne.</w:t>
      </w:r>
    </w:p>
    <w:p w14:paraId="29705E6F" w14:textId="6890D1E4" w:rsidR="00767FE8" w:rsidRDefault="00767FE8" w:rsidP="00767FE8">
      <w:r>
        <w:t xml:space="preserve">Dimenzije </w:t>
      </w:r>
      <w:r w:rsidRPr="00BB594B">
        <w:rPr>
          <w:b/>
          <w:bCs/>
        </w:rPr>
        <w:t>energetska sigurnost</w:t>
      </w:r>
      <w:r>
        <w:t xml:space="preserve"> i</w:t>
      </w:r>
      <w:r w:rsidRPr="002E367C">
        <w:t xml:space="preserve"> </w:t>
      </w:r>
      <w:r w:rsidRPr="00BB594B">
        <w:rPr>
          <w:b/>
          <w:bCs/>
        </w:rPr>
        <w:t>unutarnje energetsko tržište</w:t>
      </w:r>
      <w:r w:rsidRPr="002E367C">
        <w:t xml:space="preserve"> </w:t>
      </w:r>
      <w:r w:rsidR="00353BFC">
        <w:t xml:space="preserve">obrađene su u okviru </w:t>
      </w:r>
      <w:r w:rsidR="002316A3" w:rsidRPr="00BB594B">
        <w:rPr>
          <w:b/>
          <w:bCs/>
        </w:rPr>
        <w:t>Strategije energetskog razvoja</w:t>
      </w:r>
      <w:r>
        <w:t>.</w:t>
      </w:r>
    </w:p>
    <w:p w14:paraId="74DE2C16" w14:textId="47252059" w:rsidR="000C55C1" w:rsidRDefault="000C55C1" w:rsidP="000C55C1">
      <w:r>
        <w:t xml:space="preserve">Nacionalne strategije koje su relevantne za dimenziju </w:t>
      </w:r>
      <w:r w:rsidRPr="00BB594B">
        <w:rPr>
          <w:b/>
          <w:bCs/>
        </w:rPr>
        <w:t>istraživanje, inovacije i konkurentnost</w:t>
      </w:r>
      <w:r>
        <w:t xml:space="preserve"> su</w:t>
      </w:r>
      <w:r w:rsidR="00791A49">
        <w:t xml:space="preserve"> </w:t>
      </w:r>
      <w:r w:rsidR="00791A49" w:rsidRPr="00BB594B">
        <w:rPr>
          <w:b/>
          <w:bCs/>
        </w:rPr>
        <w:t>Strategija obrazovanja, znanosti i tehnologije</w:t>
      </w:r>
      <w:r w:rsidR="00791A49">
        <w:t xml:space="preserve"> [</w:t>
      </w:r>
      <w:r w:rsidR="00527BAF">
        <w:fldChar w:fldCharType="begin"/>
      </w:r>
      <w:r w:rsidR="00527BAF">
        <w:instrText xml:space="preserve"> REF _Ref533752217 \r \h </w:instrText>
      </w:r>
      <w:r w:rsidR="00527BAF">
        <w:fldChar w:fldCharType="separate"/>
      </w:r>
      <w:r w:rsidR="00154150">
        <w:t>7</w:t>
      </w:r>
      <w:r w:rsidR="00527BAF">
        <w:fldChar w:fldCharType="end"/>
      </w:r>
      <w:r w:rsidR="00791A49">
        <w:t>]</w:t>
      </w:r>
      <w:r w:rsidR="00527BAF">
        <w:t>,</w:t>
      </w:r>
      <w:r>
        <w:t xml:space="preserve"> </w:t>
      </w:r>
      <w:r w:rsidRPr="00BB594B">
        <w:rPr>
          <w:b/>
          <w:bCs/>
        </w:rPr>
        <w:t>Strategija pametne specijalizacije Republike Hrvatske za razdoblje od 2016. do 2020. godine</w:t>
      </w:r>
      <w:r w:rsidR="006639F2">
        <w:t xml:space="preserve"> </w:t>
      </w:r>
      <w:r w:rsidR="006639F2" w:rsidRPr="00B4224E">
        <w:t>[</w:t>
      </w:r>
      <w:r w:rsidR="00455DE5" w:rsidRPr="00977626">
        <w:fldChar w:fldCharType="begin"/>
      </w:r>
      <w:r w:rsidR="00455DE5" w:rsidRPr="00977626">
        <w:instrText xml:space="preserve"> REF _Ref531600731 \r \h </w:instrText>
      </w:r>
      <w:r w:rsidR="0090031F">
        <w:instrText xml:space="preserve"> \* MERGEFORMAT </w:instrText>
      </w:r>
      <w:r w:rsidR="00455DE5" w:rsidRPr="00977626">
        <w:fldChar w:fldCharType="separate"/>
      </w:r>
      <w:r w:rsidR="00154150">
        <w:t>8</w:t>
      </w:r>
      <w:r w:rsidR="00455DE5" w:rsidRPr="00977626">
        <w:fldChar w:fldCharType="end"/>
      </w:r>
      <w:r w:rsidR="006639F2" w:rsidRPr="00B4224E">
        <w:t>]</w:t>
      </w:r>
      <w:r w:rsidRPr="00B4224E">
        <w:t xml:space="preserve"> i</w:t>
      </w:r>
      <w:r>
        <w:t xml:space="preserve"> </w:t>
      </w:r>
      <w:r w:rsidRPr="00BB594B">
        <w:rPr>
          <w:b/>
          <w:bCs/>
        </w:rPr>
        <w:t>Strategija poticanja inovacija Republike Hrvatske 2014. -</w:t>
      </w:r>
      <w:r w:rsidR="000E745B" w:rsidRPr="00BB594B">
        <w:rPr>
          <w:b/>
          <w:bCs/>
        </w:rPr>
        <w:t xml:space="preserve"> </w:t>
      </w:r>
      <w:r w:rsidRPr="00BB594B">
        <w:rPr>
          <w:b/>
          <w:bCs/>
        </w:rPr>
        <w:t>2020. godine</w:t>
      </w:r>
      <w:r w:rsidR="006639F2">
        <w:t xml:space="preserve"> [</w:t>
      </w:r>
      <w:r w:rsidR="0090031F">
        <w:fldChar w:fldCharType="begin"/>
      </w:r>
      <w:r w:rsidR="0090031F">
        <w:instrText xml:space="preserve"> REF _Ref531600795 \r \h </w:instrText>
      </w:r>
      <w:r w:rsidR="0090031F">
        <w:fldChar w:fldCharType="separate"/>
      </w:r>
      <w:r w:rsidR="00154150">
        <w:t>9</w:t>
      </w:r>
      <w:r w:rsidR="0090031F">
        <w:fldChar w:fldCharType="end"/>
      </w:r>
      <w:r w:rsidR="006639F2">
        <w:t>]</w:t>
      </w:r>
      <w:r>
        <w:t xml:space="preserve">. </w:t>
      </w:r>
      <w:r w:rsidR="00386698">
        <w:t>Nastavno na te strategije, u</w:t>
      </w:r>
      <w:r>
        <w:t xml:space="preserve"> ovom su dokumentu istaknute i sistematizirane mjere za koje se očekuj</w:t>
      </w:r>
      <w:r w:rsidR="00077080">
        <w:t>e</w:t>
      </w:r>
      <w:r>
        <w:t xml:space="preserve"> da </w:t>
      </w:r>
      <w:r w:rsidR="00077080">
        <w:t xml:space="preserve">će </w:t>
      </w:r>
      <w:r>
        <w:t>doprinijeti istraživanju, inovacijama i konkurentnosti hrvatskog gospodarstva u sektorima relevant</w:t>
      </w:r>
      <w:r w:rsidR="00F947B4">
        <w:t>n</w:t>
      </w:r>
      <w:r>
        <w:t>ima za energetsku tranziciju.</w:t>
      </w:r>
    </w:p>
    <w:p w14:paraId="2E218599" w14:textId="77777777" w:rsidR="00CB1C67" w:rsidRPr="007C208A" w:rsidRDefault="00CB1C67" w:rsidP="000C55C1"/>
    <w:p w14:paraId="545AE06B" w14:textId="446D6A88" w:rsidR="007202FF" w:rsidRPr="00D749F6" w:rsidRDefault="007202FF" w:rsidP="00840E2E">
      <w:pPr>
        <w:pStyle w:val="Heading3"/>
        <w:numPr>
          <w:ilvl w:val="0"/>
          <w:numId w:val="33"/>
        </w:numPr>
      </w:pPr>
      <w:bookmarkStart w:id="18" w:name="_Toc531934946"/>
      <w:bookmarkStart w:id="19" w:name="_Toc531945072"/>
      <w:bookmarkStart w:id="20" w:name="_Toc6302328"/>
      <w:r w:rsidRPr="007202FF">
        <w:t>Tablični prikaz ključnih ciljeva, politika i mjera plana</w:t>
      </w:r>
    </w:p>
    <w:bookmarkEnd w:id="18"/>
    <w:bookmarkEnd w:id="19"/>
    <w:bookmarkEnd w:id="20"/>
    <w:p w14:paraId="36C837F7" w14:textId="2E198849" w:rsidR="000A11E8" w:rsidRDefault="000A11E8" w:rsidP="000A11E8">
      <w:r>
        <w:t xml:space="preserve">Ključni ciljevi prikazani u Integriranom energetskom i klimatskom planu su </w:t>
      </w:r>
      <w:r w:rsidRPr="00D51A4E">
        <w:rPr>
          <w:b/>
        </w:rPr>
        <w:t>cilj smanjenja emisija stakleničkih plinova za Republiku Hrvatsku za 2030. godinu</w:t>
      </w:r>
      <w:r>
        <w:rPr>
          <w:b/>
        </w:rPr>
        <w:t>,</w:t>
      </w:r>
      <w:r w:rsidRPr="00BE1ECD">
        <w:t xml:space="preserve"> </w:t>
      </w:r>
      <w:r>
        <w:rPr>
          <w:b/>
        </w:rPr>
        <w:t>u</w:t>
      </w:r>
      <w:r w:rsidRPr="00D51A4E">
        <w:rPr>
          <w:b/>
        </w:rPr>
        <w:t>dio OIE u bruto neposrednoj potrošnji energije</w:t>
      </w:r>
      <w:r>
        <w:rPr>
          <w:b/>
        </w:rPr>
        <w:t xml:space="preserve"> i</w:t>
      </w:r>
      <w:r w:rsidRPr="00D51A4E">
        <w:rPr>
          <w:b/>
        </w:rPr>
        <w:t xml:space="preserve"> </w:t>
      </w:r>
      <w:r>
        <w:rPr>
          <w:b/>
        </w:rPr>
        <w:t>e</w:t>
      </w:r>
      <w:r w:rsidRPr="00D51A4E">
        <w:rPr>
          <w:b/>
        </w:rPr>
        <w:t xml:space="preserve">nergetska učinkovitost, </w:t>
      </w:r>
      <w:r w:rsidR="00EB1599">
        <w:rPr>
          <w:b/>
        </w:rPr>
        <w:t>i to iskazana kao p</w:t>
      </w:r>
      <w:r w:rsidRPr="00D51A4E">
        <w:rPr>
          <w:b/>
        </w:rPr>
        <w:t xml:space="preserve">otrošnja primarne energije i </w:t>
      </w:r>
      <w:r w:rsidR="00EB1599">
        <w:rPr>
          <w:b/>
        </w:rPr>
        <w:t>n</w:t>
      </w:r>
      <w:r w:rsidRPr="00D51A4E">
        <w:rPr>
          <w:b/>
        </w:rPr>
        <w:t>eposredna potrošnja energije</w:t>
      </w:r>
      <w:r>
        <w:t>.</w:t>
      </w:r>
    </w:p>
    <w:p w14:paraId="249B629C" w14:textId="07B6F95A" w:rsidR="00386698" w:rsidRDefault="00E36E50" w:rsidP="00386698">
      <w:r>
        <w:t xml:space="preserve">Cilj smanjenja emisija stakleničkih plinova za Republiku Hrvatsku za 2030. godinu zadan je </w:t>
      </w:r>
      <w:r w:rsidR="00D96F0E" w:rsidRPr="00D11B75">
        <w:t>Direktivom (EU) 2018/410</w:t>
      </w:r>
      <w:r w:rsidRPr="005B0F25">
        <w:t xml:space="preserve"> </w:t>
      </w:r>
      <w:r w:rsidR="00B4213C">
        <w:t>Europskog Parlamenta i Vijeća od 14. ožujka 2018.</w:t>
      </w:r>
      <w:r w:rsidR="00251DFC">
        <w:t xml:space="preserve"> o </w:t>
      </w:r>
      <w:r w:rsidR="00B4213C">
        <w:t>izmjeni Direktive 2003/87/EZ radi poboljšanja troškovno učinkovitih smanjenja emisija</w:t>
      </w:r>
      <w:r w:rsidR="00251DFC">
        <w:t xml:space="preserve"> </w:t>
      </w:r>
      <w:r w:rsidR="00B4213C">
        <w:t xml:space="preserve">i ulaganja za niske emisije ugljika </w:t>
      </w:r>
      <w:r w:rsidR="005C3D7E">
        <w:t>i</w:t>
      </w:r>
      <w:r w:rsidR="00B4213C">
        <w:t xml:space="preserve"> Odluke (EU) 2015/1814</w:t>
      </w:r>
      <w:r w:rsidR="005C3D7E">
        <w:t xml:space="preserve"> te</w:t>
      </w:r>
      <w:r w:rsidR="00547A23">
        <w:t xml:space="preserve"> </w:t>
      </w:r>
      <w:r w:rsidR="00547A23" w:rsidRPr="00547A23">
        <w:t>Uredb</w:t>
      </w:r>
      <w:r w:rsidR="00547A23">
        <w:t>om</w:t>
      </w:r>
      <w:r w:rsidR="00547A23" w:rsidRPr="00547A23">
        <w:t xml:space="preserve"> (EU) 2018/842</w:t>
      </w:r>
      <w:r w:rsidR="00436CC0">
        <w:t xml:space="preserve"> </w:t>
      </w:r>
      <w:r w:rsidR="00436CC0" w:rsidRPr="00436CC0">
        <w:t xml:space="preserve">Europskog Parlamenta </w:t>
      </w:r>
      <w:r w:rsidR="00436CC0">
        <w:t>i</w:t>
      </w:r>
      <w:r w:rsidR="00436CC0" w:rsidRPr="00436CC0">
        <w:t xml:space="preserve"> Vijeća od 30. svibnja 2018. o obvezujućem godišnjem smanjenju emisija stakleničkih plinova u državama članicama od 2021. do 2030. kojim se doprinosi mjerama u području klime za ispunjenje obveza u okviru Pariškog sporazuma i izmjeni Uredbe (EU) 525/2013</w:t>
      </w:r>
      <w:r>
        <w:t xml:space="preserve">, zasebno za </w:t>
      </w:r>
      <w:r w:rsidR="00547A23">
        <w:t xml:space="preserve">sudionike </w:t>
      </w:r>
      <w:r w:rsidR="00D44F38">
        <w:t xml:space="preserve">sustava </w:t>
      </w:r>
      <w:r>
        <w:t>trgovanj</w:t>
      </w:r>
      <w:r w:rsidR="00D44F38">
        <w:t>a</w:t>
      </w:r>
      <w:r>
        <w:t xml:space="preserve"> emisijskim jedinicama</w:t>
      </w:r>
      <w:r w:rsidR="00D44F38">
        <w:t xml:space="preserve"> (ETS sektor)</w:t>
      </w:r>
      <w:r>
        <w:t xml:space="preserve"> i za sektore koji ne sudjeluju u trgovanju</w:t>
      </w:r>
      <w:r w:rsidR="00D44F38">
        <w:t xml:space="preserve"> (sektori</w:t>
      </w:r>
      <w:r w:rsidR="002C24A7">
        <w:t xml:space="preserve"> izvan ETS-a</w:t>
      </w:r>
      <w:r w:rsidR="00D44F38">
        <w:t>)</w:t>
      </w:r>
      <w:r>
        <w:t xml:space="preserve">. Prikazuje ih </w:t>
      </w:r>
      <w:r>
        <w:fldChar w:fldCharType="begin"/>
      </w:r>
      <w:r>
        <w:instrText xml:space="preserve"> REF _Ref531506675 \h </w:instrText>
      </w:r>
      <w:r>
        <w:fldChar w:fldCharType="separate"/>
      </w:r>
      <w:r w:rsidR="00154150">
        <w:t xml:space="preserve">Tablica </w:t>
      </w:r>
      <w:r w:rsidR="00154150">
        <w:rPr>
          <w:noProof/>
        </w:rPr>
        <w:t>1</w:t>
      </w:r>
      <w:r w:rsidR="00154150">
        <w:t>–</w:t>
      </w:r>
      <w:r w:rsidR="00154150">
        <w:rPr>
          <w:noProof/>
        </w:rPr>
        <w:t>1</w:t>
      </w:r>
      <w:r>
        <w:fldChar w:fldCharType="end"/>
      </w:r>
      <w:r>
        <w:t>.</w:t>
      </w:r>
    </w:p>
    <w:p w14:paraId="7745CEA1" w14:textId="77777777" w:rsidR="00CB1C67" w:rsidRPr="00386698" w:rsidRDefault="00CB1C67" w:rsidP="00386698"/>
    <w:p w14:paraId="74F2B70B" w14:textId="6A22E3B8" w:rsidR="00E36E50" w:rsidRDefault="00E36E50" w:rsidP="00B23FAC">
      <w:pPr>
        <w:pStyle w:val="Caption"/>
      </w:pPr>
      <w:bookmarkStart w:id="21" w:name="_Ref531506675"/>
      <w:bookmarkStart w:id="22" w:name="_Toc27396193"/>
      <w:r>
        <w:lastRenderedPageBreak/>
        <w:t xml:space="preserve">Tablica </w:t>
      </w:r>
      <w:fldSimple w:instr=" STYLEREF 1 \s ">
        <w:r w:rsidR="00154150">
          <w:rPr>
            <w:noProof/>
          </w:rPr>
          <w:t>1</w:t>
        </w:r>
      </w:fldSimple>
      <w:r w:rsidR="00562DF0">
        <w:t>–</w:t>
      </w:r>
      <w:fldSimple w:instr=" SEQ Tablica \* ARABIC \s 1 ">
        <w:r w:rsidR="00154150">
          <w:rPr>
            <w:noProof/>
          </w:rPr>
          <w:t>1</w:t>
        </w:r>
      </w:fldSimple>
      <w:bookmarkEnd w:id="21"/>
      <w:r w:rsidR="00F458D6">
        <w:rPr>
          <w:noProof/>
        </w:rPr>
        <w:t>.:</w:t>
      </w:r>
      <w:r w:rsidR="00A87274">
        <w:rPr>
          <w:noProof/>
        </w:rPr>
        <w:t xml:space="preserve"> </w:t>
      </w:r>
      <w:r w:rsidR="00920AC3" w:rsidRPr="00920AC3">
        <w:t>Ostvaren</w:t>
      </w:r>
      <w:r w:rsidR="00091D3B">
        <w:t>a</w:t>
      </w:r>
      <w:r w:rsidR="00920AC3" w:rsidRPr="00920AC3">
        <w:t xml:space="preserve"> smanjenj</w:t>
      </w:r>
      <w:r w:rsidR="00091D3B">
        <w:t>a</w:t>
      </w:r>
      <w:r w:rsidR="00920AC3" w:rsidRPr="00920AC3">
        <w:t xml:space="preserve"> emisije 2017. i ciljevi do 2030. </w:t>
      </w:r>
      <w:r w:rsidR="00752E2D">
        <w:t>godine</w:t>
      </w:r>
      <w:bookmarkEnd w:id="2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1878"/>
        <w:gridCol w:w="1878"/>
        <w:gridCol w:w="1878"/>
        <w:gridCol w:w="1878"/>
      </w:tblGrid>
      <w:tr w:rsidR="00E94AA5" w:rsidRPr="0019382B" w14:paraId="6CACDCCB" w14:textId="77777777" w:rsidTr="00764DB5">
        <w:trPr>
          <w:trHeight w:val="807"/>
        </w:trPr>
        <w:tc>
          <w:tcPr>
            <w:tcW w:w="1555" w:type="dxa"/>
            <w:shd w:val="clear" w:color="auto" w:fill="D9E2F3"/>
            <w:tcMar>
              <w:top w:w="15" w:type="dxa"/>
              <w:left w:w="108" w:type="dxa"/>
              <w:bottom w:w="0" w:type="dxa"/>
              <w:right w:w="108" w:type="dxa"/>
            </w:tcMar>
            <w:vAlign w:val="center"/>
            <w:hideMark/>
          </w:tcPr>
          <w:p w14:paraId="0BF33128" w14:textId="77777777" w:rsidR="00C628CD" w:rsidRPr="0019382B" w:rsidRDefault="00C628CD" w:rsidP="00286B4C">
            <w:pPr>
              <w:spacing w:before="0" w:after="0" w:line="240" w:lineRule="auto"/>
              <w:jc w:val="center"/>
              <w:rPr>
                <w:rFonts w:eastAsia="Calibri" w:cs="Arial"/>
              </w:rPr>
            </w:pPr>
            <w:r w:rsidRPr="0019382B">
              <w:rPr>
                <w:rFonts w:eastAsia="Calibri" w:cs="Arial"/>
                <w:b/>
                <w:bCs/>
              </w:rPr>
              <w:t>Opseg</w:t>
            </w:r>
          </w:p>
        </w:tc>
        <w:tc>
          <w:tcPr>
            <w:tcW w:w="1878" w:type="dxa"/>
            <w:shd w:val="clear" w:color="auto" w:fill="D9E2F3"/>
            <w:tcMar>
              <w:top w:w="15" w:type="dxa"/>
              <w:left w:w="108" w:type="dxa"/>
              <w:bottom w:w="0" w:type="dxa"/>
              <w:right w:w="108" w:type="dxa"/>
            </w:tcMar>
            <w:vAlign w:val="center"/>
            <w:hideMark/>
          </w:tcPr>
          <w:p w14:paraId="0BB16FE0" w14:textId="258692E6" w:rsidR="00C628CD" w:rsidRPr="0019382B" w:rsidRDefault="00C628CD" w:rsidP="00286B4C">
            <w:pPr>
              <w:spacing w:before="0" w:after="0" w:line="240" w:lineRule="auto"/>
              <w:jc w:val="center"/>
              <w:rPr>
                <w:rFonts w:eastAsia="Calibri" w:cs="Arial"/>
              </w:rPr>
            </w:pPr>
            <w:r w:rsidRPr="0019382B">
              <w:rPr>
                <w:rFonts w:eastAsia="Calibri" w:cs="Arial"/>
                <w:b/>
                <w:bCs/>
              </w:rPr>
              <w:t xml:space="preserve">Emisije </w:t>
            </w:r>
            <w:r w:rsidR="006F2FE5">
              <w:rPr>
                <w:rFonts w:eastAsia="Calibri" w:cs="Arial"/>
                <w:b/>
                <w:bCs/>
              </w:rPr>
              <w:t xml:space="preserve">stakleničkih plinova </w:t>
            </w:r>
            <w:r w:rsidRPr="0019382B">
              <w:rPr>
                <w:rFonts w:eastAsia="Calibri" w:cs="Arial"/>
                <w:b/>
                <w:bCs/>
              </w:rPr>
              <w:t>u 2005. (kt CO</w:t>
            </w:r>
            <w:r w:rsidRPr="0019382B">
              <w:rPr>
                <w:rFonts w:eastAsia="Calibri" w:cs="Arial"/>
                <w:b/>
                <w:bCs/>
                <w:vertAlign w:val="subscript"/>
              </w:rPr>
              <w:t>2</w:t>
            </w:r>
            <w:r w:rsidRPr="0019382B">
              <w:rPr>
                <w:rFonts w:eastAsia="Calibri" w:cs="Arial"/>
                <w:b/>
                <w:bCs/>
              </w:rPr>
              <w:t>e)</w:t>
            </w:r>
          </w:p>
        </w:tc>
        <w:tc>
          <w:tcPr>
            <w:tcW w:w="1878" w:type="dxa"/>
            <w:shd w:val="clear" w:color="auto" w:fill="D9E2F3"/>
            <w:vAlign w:val="center"/>
            <w:hideMark/>
          </w:tcPr>
          <w:p w14:paraId="311D9B86" w14:textId="77777777" w:rsidR="00C628CD" w:rsidRPr="0019382B" w:rsidRDefault="00C628CD" w:rsidP="00286B4C">
            <w:pPr>
              <w:spacing w:before="0" w:after="0" w:line="240" w:lineRule="auto"/>
              <w:jc w:val="center"/>
              <w:rPr>
                <w:rFonts w:eastAsia="Calibri" w:cs="Arial"/>
              </w:rPr>
            </w:pPr>
            <w:r w:rsidRPr="0019382B">
              <w:rPr>
                <w:rFonts w:eastAsia="Calibri" w:cs="Arial"/>
                <w:b/>
                <w:bCs/>
              </w:rPr>
              <w:t>Ostvareno smanjenje emisija 2017. u odnosu na 2005.</w:t>
            </w:r>
          </w:p>
        </w:tc>
        <w:tc>
          <w:tcPr>
            <w:tcW w:w="1878" w:type="dxa"/>
            <w:shd w:val="clear" w:color="auto" w:fill="D9E2F3"/>
            <w:tcMar>
              <w:top w:w="15" w:type="dxa"/>
              <w:left w:w="108" w:type="dxa"/>
              <w:bottom w:w="0" w:type="dxa"/>
              <w:right w:w="108" w:type="dxa"/>
            </w:tcMar>
            <w:vAlign w:val="center"/>
            <w:hideMark/>
          </w:tcPr>
          <w:p w14:paraId="57E43187" w14:textId="3F85C635" w:rsidR="00C628CD" w:rsidRPr="0019382B" w:rsidRDefault="00C628CD" w:rsidP="00286B4C">
            <w:pPr>
              <w:spacing w:before="0" w:after="0" w:line="240" w:lineRule="auto"/>
              <w:jc w:val="center"/>
              <w:rPr>
                <w:rFonts w:eastAsia="Calibri" w:cs="Arial"/>
                <w:b/>
                <w:bCs/>
              </w:rPr>
            </w:pPr>
            <w:r w:rsidRPr="0019382B">
              <w:rPr>
                <w:rFonts w:eastAsia="Calibri" w:cs="Arial"/>
                <w:b/>
                <w:bCs/>
              </w:rPr>
              <w:t xml:space="preserve">Cilj za </w:t>
            </w:r>
            <w:r w:rsidR="00A560B9">
              <w:rPr>
                <w:rFonts w:eastAsia="Calibri" w:cs="Arial"/>
                <w:b/>
                <w:bCs/>
              </w:rPr>
              <w:t>razdoblje</w:t>
            </w:r>
            <w:r w:rsidRPr="0019382B">
              <w:rPr>
                <w:rFonts w:eastAsia="Calibri" w:cs="Arial"/>
                <w:b/>
                <w:bCs/>
              </w:rPr>
              <w:t xml:space="preserve"> od 2013.-2020.</w:t>
            </w:r>
            <w:r>
              <w:rPr>
                <w:rFonts w:eastAsia="Calibri" w:cs="Arial"/>
                <w:b/>
                <w:bCs/>
              </w:rPr>
              <w:t xml:space="preserve"> u odnosu na 2005.</w:t>
            </w:r>
          </w:p>
        </w:tc>
        <w:tc>
          <w:tcPr>
            <w:tcW w:w="1878" w:type="dxa"/>
            <w:shd w:val="clear" w:color="auto" w:fill="D9E2F3"/>
            <w:vAlign w:val="center"/>
          </w:tcPr>
          <w:p w14:paraId="684CFDAE" w14:textId="0731401B" w:rsidR="00C628CD" w:rsidRPr="0019382B" w:rsidRDefault="00C628CD" w:rsidP="00286B4C">
            <w:pPr>
              <w:spacing w:before="0" w:after="0" w:line="240" w:lineRule="auto"/>
              <w:ind w:left="40" w:right="125"/>
              <w:jc w:val="center"/>
              <w:rPr>
                <w:rFonts w:eastAsia="Calibri" w:cs="Arial"/>
                <w:b/>
                <w:bCs/>
              </w:rPr>
            </w:pPr>
            <w:r w:rsidRPr="0019382B">
              <w:rPr>
                <w:rFonts w:eastAsia="Calibri" w:cs="Arial"/>
                <w:b/>
                <w:bCs/>
              </w:rPr>
              <w:t xml:space="preserve">Cilj za </w:t>
            </w:r>
            <w:r w:rsidR="00A560B9">
              <w:rPr>
                <w:rFonts w:eastAsia="Calibri" w:cs="Arial"/>
                <w:b/>
                <w:bCs/>
              </w:rPr>
              <w:t>razdoblje</w:t>
            </w:r>
            <w:r w:rsidR="00622DB1">
              <w:rPr>
                <w:rFonts w:eastAsia="Calibri" w:cs="Arial"/>
                <w:b/>
                <w:bCs/>
              </w:rPr>
              <w:t xml:space="preserve"> </w:t>
            </w:r>
            <w:r w:rsidRPr="0019382B">
              <w:rPr>
                <w:rFonts w:eastAsia="Calibri" w:cs="Arial"/>
                <w:b/>
                <w:bCs/>
              </w:rPr>
              <w:t>od 2021.-2030.</w:t>
            </w:r>
            <w:r w:rsidR="00622DB1">
              <w:rPr>
                <w:rFonts w:eastAsia="Calibri" w:cs="Arial"/>
                <w:b/>
                <w:bCs/>
              </w:rPr>
              <w:t xml:space="preserve"> </w:t>
            </w:r>
            <w:r w:rsidRPr="0019382B">
              <w:rPr>
                <w:rFonts w:eastAsia="Calibri" w:cs="Arial"/>
                <w:b/>
                <w:bCs/>
              </w:rPr>
              <w:t>u odnosu na 2005.</w:t>
            </w:r>
          </w:p>
        </w:tc>
      </w:tr>
      <w:tr w:rsidR="00CD2372" w:rsidRPr="0019382B" w14:paraId="36C7D325" w14:textId="77777777" w:rsidTr="00764DB5">
        <w:trPr>
          <w:trHeight w:val="682"/>
        </w:trPr>
        <w:tc>
          <w:tcPr>
            <w:tcW w:w="1555" w:type="dxa"/>
            <w:tcMar>
              <w:top w:w="15" w:type="dxa"/>
              <w:left w:w="108" w:type="dxa"/>
              <w:bottom w:w="0" w:type="dxa"/>
              <w:right w:w="108" w:type="dxa"/>
            </w:tcMar>
            <w:vAlign w:val="center"/>
            <w:hideMark/>
          </w:tcPr>
          <w:p w14:paraId="3E9F36C1" w14:textId="77777777" w:rsidR="00C628CD" w:rsidRPr="0019382B" w:rsidRDefault="00C628CD" w:rsidP="00286B4C">
            <w:pPr>
              <w:spacing w:before="0" w:after="0" w:line="240" w:lineRule="auto"/>
              <w:jc w:val="center"/>
              <w:rPr>
                <w:rFonts w:eastAsia="Calibri" w:cs="Arial"/>
              </w:rPr>
            </w:pPr>
            <w:r w:rsidRPr="0019382B">
              <w:rPr>
                <w:rFonts w:eastAsia="Calibri" w:cs="Arial"/>
              </w:rPr>
              <w:t>ETS sektor</w:t>
            </w:r>
          </w:p>
        </w:tc>
        <w:tc>
          <w:tcPr>
            <w:tcW w:w="1878" w:type="dxa"/>
            <w:tcMar>
              <w:top w:w="15" w:type="dxa"/>
              <w:left w:w="108" w:type="dxa"/>
              <w:bottom w:w="0" w:type="dxa"/>
              <w:right w:w="108" w:type="dxa"/>
            </w:tcMar>
            <w:vAlign w:val="center"/>
            <w:hideMark/>
          </w:tcPr>
          <w:p w14:paraId="7D04703D" w14:textId="77777777" w:rsidR="00C628CD" w:rsidRPr="0019382B" w:rsidRDefault="00C628CD" w:rsidP="00286B4C">
            <w:pPr>
              <w:spacing w:before="0" w:after="0" w:line="240" w:lineRule="auto"/>
              <w:jc w:val="center"/>
              <w:rPr>
                <w:rFonts w:eastAsia="Calibri" w:cs="Arial"/>
                <w:strike/>
              </w:rPr>
            </w:pPr>
            <w:r w:rsidRPr="0019382B">
              <w:rPr>
                <w:rFonts w:eastAsia="Calibri" w:cs="Arial"/>
              </w:rPr>
              <w:t>10 649</w:t>
            </w:r>
          </w:p>
        </w:tc>
        <w:tc>
          <w:tcPr>
            <w:tcW w:w="1878" w:type="dxa"/>
            <w:vAlign w:val="center"/>
            <w:hideMark/>
          </w:tcPr>
          <w:p w14:paraId="2E52C41B" w14:textId="77777777" w:rsidR="00C628CD" w:rsidRPr="0019382B" w:rsidRDefault="00C628CD" w:rsidP="00286B4C">
            <w:pPr>
              <w:spacing w:before="0" w:after="0" w:line="240" w:lineRule="auto"/>
              <w:jc w:val="center"/>
              <w:rPr>
                <w:rFonts w:eastAsia="Calibri" w:cs="Arial"/>
                <w:strike/>
              </w:rPr>
            </w:pPr>
            <w:r w:rsidRPr="0019382B">
              <w:rPr>
                <w:rFonts w:eastAsia="Calibri" w:cs="Arial"/>
              </w:rPr>
              <w:t>-21,4 %</w:t>
            </w:r>
            <w:r w:rsidRPr="0019382B">
              <w:rPr>
                <w:rFonts w:eastAsia="Calibri" w:cs="Arial"/>
                <w:strike/>
              </w:rPr>
              <w:t xml:space="preserve"> </w:t>
            </w:r>
          </w:p>
        </w:tc>
        <w:tc>
          <w:tcPr>
            <w:tcW w:w="1878" w:type="dxa"/>
            <w:tcMar>
              <w:top w:w="15" w:type="dxa"/>
              <w:left w:w="108" w:type="dxa"/>
              <w:bottom w:w="0" w:type="dxa"/>
              <w:right w:w="108" w:type="dxa"/>
            </w:tcMar>
            <w:vAlign w:val="center"/>
            <w:hideMark/>
          </w:tcPr>
          <w:p w14:paraId="383A01AC" w14:textId="77777777" w:rsidR="00C628CD" w:rsidRPr="0019382B" w:rsidRDefault="00C628CD" w:rsidP="00286B4C">
            <w:pPr>
              <w:spacing w:before="0" w:after="0" w:line="240" w:lineRule="auto"/>
              <w:jc w:val="center"/>
              <w:rPr>
                <w:rFonts w:eastAsia="Calibri" w:cs="Arial"/>
              </w:rPr>
            </w:pPr>
            <w:r w:rsidRPr="0019382B">
              <w:rPr>
                <w:rFonts w:eastAsia="Calibri" w:cs="Arial"/>
              </w:rPr>
              <w:t>-21 %</w:t>
            </w:r>
          </w:p>
          <w:p w14:paraId="245EF05D" w14:textId="77777777" w:rsidR="00C628CD" w:rsidRPr="0019382B" w:rsidRDefault="00C628CD" w:rsidP="00286B4C">
            <w:pPr>
              <w:spacing w:before="0" w:after="0" w:line="240" w:lineRule="auto"/>
              <w:jc w:val="center"/>
              <w:rPr>
                <w:rFonts w:eastAsia="Calibri" w:cs="Arial"/>
              </w:rPr>
            </w:pPr>
            <w:r w:rsidRPr="0019382B">
              <w:rPr>
                <w:rFonts w:eastAsia="Calibri" w:cs="Arial"/>
              </w:rPr>
              <w:t>(cilj za cijelu EU)</w:t>
            </w:r>
          </w:p>
        </w:tc>
        <w:tc>
          <w:tcPr>
            <w:tcW w:w="1878" w:type="dxa"/>
            <w:vAlign w:val="center"/>
            <w:hideMark/>
          </w:tcPr>
          <w:p w14:paraId="6937E132" w14:textId="77777777" w:rsidR="00C628CD" w:rsidRPr="0019382B" w:rsidRDefault="00C628CD" w:rsidP="00286B4C">
            <w:pPr>
              <w:spacing w:before="0" w:after="0" w:line="240" w:lineRule="auto"/>
              <w:ind w:left="40" w:right="139"/>
              <w:jc w:val="center"/>
              <w:rPr>
                <w:rFonts w:eastAsia="Calibri" w:cs="Arial"/>
                <w:color w:val="1F497D"/>
              </w:rPr>
            </w:pPr>
            <w:r w:rsidRPr="0019382B">
              <w:rPr>
                <w:rFonts w:eastAsia="Calibri" w:cs="Arial"/>
              </w:rPr>
              <w:t>-43 %</w:t>
            </w:r>
          </w:p>
          <w:p w14:paraId="1FC72AF6" w14:textId="77777777" w:rsidR="00C628CD" w:rsidRPr="0019382B" w:rsidRDefault="00C628CD" w:rsidP="00286B4C">
            <w:pPr>
              <w:spacing w:before="0" w:after="0" w:line="240" w:lineRule="auto"/>
              <w:ind w:left="40" w:right="139"/>
              <w:jc w:val="center"/>
              <w:rPr>
                <w:rFonts w:eastAsia="Calibri" w:cs="Arial"/>
              </w:rPr>
            </w:pPr>
            <w:r w:rsidRPr="0019382B">
              <w:rPr>
                <w:rFonts w:eastAsia="Calibri" w:cs="Arial"/>
              </w:rPr>
              <w:t>(cilj za cijelu EU)</w:t>
            </w:r>
          </w:p>
        </w:tc>
      </w:tr>
      <w:tr w:rsidR="00CD2372" w:rsidRPr="0019382B" w14:paraId="740F44D8" w14:textId="77777777" w:rsidTr="00764DB5">
        <w:trPr>
          <w:trHeight w:val="1268"/>
        </w:trPr>
        <w:tc>
          <w:tcPr>
            <w:tcW w:w="1555" w:type="dxa"/>
            <w:tcMar>
              <w:top w:w="15" w:type="dxa"/>
              <w:left w:w="108" w:type="dxa"/>
              <w:bottom w:w="0" w:type="dxa"/>
              <w:right w:w="108" w:type="dxa"/>
            </w:tcMar>
            <w:vAlign w:val="center"/>
            <w:hideMark/>
          </w:tcPr>
          <w:p w14:paraId="2AFBF9A0" w14:textId="77777777" w:rsidR="00C628CD" w:rsidRPr="0019382B" w:rsidRDefault="00C628CD" w:rsidP="00286B4C">
            <w:pPr>
              <w:spacing w:before="0" w:after="0" w:line="240" w:lineRule="auto"/>
              <w:jc w:val="center"/>
              <w:rPr>
                <w:rFonts w:eastAsia="Calibri" w:cs="Arial"/>
              </w:rPr>
            </w:pPr>
            <w:r w:rsidRPr="0019382B">
              <w:rPr>
                <w:rFonts w:eastAsia="Calibri" w:cs="Arial"/>
              </w:rPr>
              <w:t>Sektori izvan ETS-a</w:t>
            </w:r>
          </w:p>
        </w:tc>
        <w:tc>
          <w:tcPr>
            <w:tcW w:w="1878" w:type="dxa"/>
            <w:tcMar>
              <w:top w:w="15" w:type="dxa"/>
              <w:left w:w="108" w:type="dxa"/>
              <w:bottom w:w="0" w:type="dxa"/>
              <w:right w:w="108" w:type="dxa"/>
            </w:tcMar>
            <w:vAlign w:val="center"/>
          </w:tcPr>
          <w:p w14:paraId="1FA43808" w14:textId="77777777" w:rsidR="00C628CD" w:rsidRPr="0019382B" w:rsidRDefault="00C628CD" w:rsidP="00B209F4">
            <w:pPr>
              <w:spacing w:before="0" w:after="0" w:line="240" w:lineRule="auto"/>
              <w:jc w:val="center"/>
              <w:rPr>
                <w:rFonts w:eastAsia="Calibri" w:cs="Arial"/>
                <w:strike/>
              </w:rPr>
            </w:pPr>
            <w:r w:rsidRPr="0019382B">
              <w:rPr>
                <w:rFonts w:eastAsia="Calibri" w:cs="Arial"/>
              </w:rPr>
              <w:t>17 404</w:t>
            </w:r>
          </w:p>
        </w:tc>
        <w:tc>
          <w:tcPr>
            <w:tcW w:w="1878" w:type="dxa"/>
            <w:vAlign w:val="center"/>
          </w:tcPr>
          <w:p w14:paraId="7A065AA0" w14:textId="77777777" w:rsidR="00C628CD" w:rsidRPr="0019382B" w:rsidRDefault="00C628CD" w:rsidP="00B209F4">
            <w:pPr>
              <w:spacing w:before="0" w:after="0" w:line="240" w:lineRule="auto"/>
              <w:jc w:val="center"/>
              <w:rPr>
                <w:rFonts w:eastAsia="Calibri" w:cs="Arial"/>
                <w:strike/>
              </w:rPr>
            </w:pPr>
            <w:r w:rsidRPr="0019382B">
              <w:rPr>
                <w:rFonts w:eastAsia="Calibri" w:cs="Arial"/>
              </w:rPr>
              <w:t>-4,2 %</w:t>
            </w:r>
          </w:p>
        </w:tc>
        <w:tc>
          <w:tcPr>
            <w:tcW w:w="1878" w:type="dxa"/>
            <w:tcMar>
              <w:top w:w="15" w:type="dxa"/>
              <w:left w:w="108" w:type="dxa"/>
              <w:bottom w:w="0" w:type="dxa"/>
              <w:right w:w="108" w:type="dxa"/>
            </w:tcMar>
            <w:vAlign w:val="center"/>
          </w:tcPr>
          <w:p w14:paraId="60CFB684" w14:textId="2A4ABA23" w:rsidR="00C628CD" w:rsidRPr="0019382B" w:rsidRDefault="00C628CD" w:rsidP="00286B4C">
            <w:pPr>
              <w:spacing w:before="0" w:after="0" w:line="240" w:lineRule="auto"/>
              <w:jc w:val="center"/>
              <w:rPr>
                <w:rFonts w:eastAsia="Calibri" w:cs="Arial"/>
              </w:rPr>
            </w:pPr>
            <w:r w:rsidRPr="0019382B">
              <w:rPr>
                <w:rFonts w:eastAsia="Calibri" w:cs="Arial"/>
              </w:rPr>
              <w:t>-</w:t>
            </w:r>
            <w:r w:rsidR="003773FF">
              <w:rPr>
                <w:rFonts w:eastAsia="Calibri" w:cs="Arial"/>
              </w:rPr>
              <w:t>1</w:t>
            </w:r>
            <w:r w:rsidRPr="0019382B">
              <w:rPr>
                <w:rFonts w:eastAsia="Calibri" w:cs="Arial"/>
              </w:rPr>
              <w:t>0 %</w:t>
            </w:r>
          </w:p>
          <w:p w14:paraId="1B99D2AD" w14:textId="77777777" w:rsidR="00C628CD" w:rsidRPr="0019382B" w:rsidRDefault="00C628CD" w:rsidP="00286B4C">
            <w:pPr>
              <w:spacing w:before="0" w:after="0" w:line="240" w:lineRule="auto"/>
              <w:jc w:val="center"/>
              <w:rPr>
                <w:rFonts w:eastAsia="Calibri" w:cs="Arial"/>
              </w:rPr>
            </w:pPr>
            <w:r w:rsidRPr="0019382B">
              <w:rPr>
                <w:rFonts w:eastAsia="Calibri" w:cs="Arial"/>
              </w:rPr>
              <w:t>(cilj za cijelu EU)</w:t>
            </w:r>
          </w:p>
          <w:p w14:paraId="7733FFD3" w14:textId="77777777" w:rsidR="00C628CD" w:rsidRPr="0019382B" w:rsidRDefault="00C628CD" w:rsidP="00286B4C">
            <w:pPr>
              <w:spacing w:before="0" w:after="0" w:line="240" w:lineRule="auto"/>
              <w:jc w:val="center"/>
              <w:rPr>
                <w:rFonts w:eastAsia="Calibri" w:cs="Arial"/>
                <w:color w:val="1F497D"/>
                <w:sz w:val="8"/>
                <w:szCs w:val="8"/>
              </w:rPr>
            </w:pPr>
          </w:p>
          <w:p w14:paraId="20EA3EB6" w14:textId="77777777" w:rsidR="00C628CD" w:rsidRPr="0019382B" w:rsidRDefault="00C628CD" w:rsidP="00286B4C">
            <w:pPr>
              <w:spacing w:before="0" w:after="0" w:line="240" w:lineRule="auto"/>
              <w:jc w:val="center"/>
              <w:rPr>
                <w:rFonts w:eastAsia="Calibri" w:cs="Arial"/>
              </w:rPr>
            </w:pPr>
            <w:r w:rsidRPr="0019382B">
              <w:rPr>
                <w:rFonts w:eastAsia="Calibri" w:cs="Arial"/>
              </w:rPr>
              <w:t>+11 %</w:t>
            </w:r>
          </w:p>
          <w:p w14:paraId="557485BC" w14:textId="77777777" w:rsidR="00C628CD" w:rsidRPr="0019382B" w:rsidRDefault="00C628CD" w:rsidP="00B209F4">
            <w:pPr>
              <w:spacing w:before="0" w:after="0" w:line="240" w:lineRule="auto"/>
              <w:jc w:val="center"/>
              <w:rPr>
                <w:rFonts w:eastAsia="Calibri" w:cs="Arial"/>
                <w:strike/>
              </w:rPr>
            </w:pPr>
            <w:r w:rsidRPr="0019382B">
              <w:rPr>
                <w:rFonts w:eastAsia="Calibri" w:cs="Arial"/>
              </w:rPr>
              <w:t>(cilj za RH)</w:t>
            </w:r>
          </w:p>
        </w:tc>
        <w:tc>
          <w:tcPr>
            <w:tcW w:w="1878" w:type="dxa"/>
            <w:vAlign w:val="center"/>
          </w:tcPr>
          <w:p w14:paraId="723B7148" w14:textId="77777777" w:rsidR="00C628CD" w:rsidRPr="0019382B" w:rsidRDefault="00C628CD" w:rsidP="00286B4C">
            <w:pPr>
              <w:spacing w:before="0" w:after="0" w:line="240" w:lineRule="auto"/>
              <w:ind w:left="40" w:right="139"/>
              <w:jc w:val="center"/>
              <w:rPr>
                <w:rFonts w:eastAsia="Calibri" w:cs="Arial"/>
              </w:rPr>
            </w:pPr>
            <w:r w:rsidRPr="0019382B">
              <w:rPr>
                <w:rFonts w:eastAsia="Calibri" w:cs="Arial"/>
              </w:rPr>
              <w:t>-30 %</w:t>
            </w:r>
          </w:p>
          <w:p w14:paraId="6D75DE40" w14:textId="77777777" w:rsidR="00C628CD" w:rsidRPr="0019382B" w:rsidRDefault="00C628CD" w:rsidP="00286B4C">
            <w:pPr>
              <w:spacing w:before="0" w:after="0" w:line="240" w:lineRule="auto"/>
              <w:ind w:left="40" w:right="139"/>
              <w:jc w:val="center"/>
              <w:rPr>
                <w:rFonts w:eastAsia="Calibri" w:cs="Arial"/>
              </w:rPr>
            </w:pPr>
            <w:r w:rsidRPr="0019382B">
              <w:rPr>
                <w:rFonts w:eastAsia="Calibri" w:cs="Arial"/>
              </w:rPr>
              <w:t>(cilj za cijelu EU)</w:t>
            </w:r>
          </w:p>
          <w:p w14:paraId="5DDC2A45" w14:textId="77777777" w:rsidR="00C628CD" w:rsidRPr="0019382B" w:rsidRDefault="00C628CD" w:rsidP="00286B4C">
            <w:pPr>
              <w:spacing w:before="0" w:after="0" w:line="240" w:lineRule="auto"/>
              <w:ind w:left="40" w:right="139"/>
              <w:jc w:val="center"/>
              <w:rPr>
                <w:rFonts w:eastAsia="Calibri" w:cs="Arial"/>
                <w:color w:val="1F497D"/>
                <w:sz w:val="8"/>
                <w:szCs w:val="8"/>
              </w:rPr>
            </w:pPr>
          </w:p>
          <w:p w14:paraId="624E7DFE" w14:textId="77777777" w:rsidR="00C628CD" w:rsidRPr="0019382B" w:rsidRDefault="00C628CD" w:rsidP="00286B4C">
            <w:pPr>
              <w:spacing w:before="0" w:after="0" w:line="240" w:lineRule="auto"/>
              <w:ind w:left="40" w:right="139"/>
              <w:jc w:val="center"/>
              <w:rPr>
                <w:rFonts w:eastAsia="Calibri" w:cs="Arial"/>
              </w:rPr>
            </w:pPr>
            <w:r w:rsidRPr="0019382B">
              <w:rPr>
                <w:rFonts w:eastAsia="Calibri" w:cs="Arial"/>
              </w:rPr>
              <w:t>-7 %</w:t>
            </w:r>
          </w:p>
          <w:p w14:paraId="78446CCF" w14:textId="77777777" w:rsidR="00C628CD" w:rsidRPr="0019382B" w:rsidRDefault="00C628CD" w:rsidP="00286B4C">
            <w:pPr>
              <w:spacing w:before="0" w:after="0" w:line="240" w:lineRule="auto"/>
              <w:ind w:left="40" w:right="139"/>
              <w:jc w:val="center"/>
              <w:rPr>
                <w:rFonts w:eastAsia="Calibri" w:cs="Arial"/>
                <w:strike/>
              </w:rPr>
            </w:pPr>
            <w:r w:rsidRPr="0019382B">
              <w:rPr>
                <w:rFonts w:eastAsia="Calibri" w:cs="Arial"/>
              </w:rPr>
              <w:t>(cilj za RH)</w:t>
            </w:r>
          </w:p>
        </w:tc>
      </w:tr>
    </w:tbl>
    <w:p w14:paraId="6B5906A9" w14:textId="765CD1D9" w:rsidR="00527A29" w:rsidRDefault="00527A29" w:rsidP="00350841">
      <w:pPr>
        <w:spacing w:before="60"/>
        <w:rPr>
          <w:sz w:val="20"/>
          <w:highlight w:val="yellow"/>
        </w:rPr>
      </w:pPr>
    </w:p>
    <w:p w14:paraId="61EB6897" w14:textId="77777777" w:rsidR="00A90A7C" w:rsidRPr="00350841" w:rsidRDefault="00A90A7C" w:rsidP="00350841">
      <w:pPr>
        <w:spacing w:before="60"/>
        <w:rPr>
          <w:sz w:val="20"/>
          <w:highlight w:val="yellow"/>
        </w:rPr>
      </w:pPr>
    </w:p>
    <w:p w14:paraId="52E9CCAB" w14:textId="2857283E" w:rsidR="000527F4" w:rsidRDefault="000F4301" w:rsidP="000C55C1">
      <w:r>
        <w:t xml:space="preserve">Ciljeve u </w:t>
      </w:r>
      <w:r w:rsidR="00FB0B28">
        <w:t>2030. godini</w:t>
      </w:r>
      <w:r w:rsidR="005E1921">
        <w:t xml:space="preserve"> </w:t>
      </w:r>
      <w:r w:rsidR="00FB0B28">
        <w:t xml:space="preserve">prikazuje </w:t>
      </w:r>
      <w:r w:rsidR="00E36E50">
        <w:fldChar w:fldCharType="begin"/>
      </w:r>
      <w:r w:rsidR="00E36E50">
        <w:instrText xml:space="preserve"> REF _Ref531506783 \h </w:instrText>
      </w:r>
      <w:r w:rsidR="00E36E50">
        <w:fldChar w:fldCharType="separate"/>
      </w:r>
      <w:r w:rsidR="00154150">
        <w:t xml:space="preserve">Tablica </w:t>
      </w:r>
      <w:r w:rsidR="00154150">
        <w:rPr>
          <w:noProof/>
        </w:rPr>
        <w:t>1</w:t>
      </w:r>
      <w:r w:rsidR="00154150">
        <w:t>–</w:t>
      </w:r>
      <w:r w:rsidR="00154150">
        <w:rPr>
          <w:noProof/>
        </w:rPr>
        <w:t>2</w:t>
      </w:r>
      <w:r w:rsidR="00E36E50">
        <w:fldChar w:fldCharType="end"/>
      </w:r>
      <w:r w:rsidR="00FB0B28">
        <w:t>.</w:t>
      </w:r>
    </w:p>
    <w:p w14:paraId="173C01DB" w14:textId="2D4B97AE" w:rsidR="004E0694" w:rsidRDefault="00E36E50" w:rsidP="00977626">
      <w:pPr>
        <w:pStyle w:val="Caption"/>
      </w:pPr>
      <w:bookmarkStart w:id="23" w:name="_Ref531506783"/>
      <w:bookmarkStart w:id="24" w:name="_Toc27396194"/>
      <w:r>
        <w:t xml:space="preserve">Tablica </w:t>
      </w:r>
      <w:fldSimple w:instr=" STYLEREF 1 \s ">
        <w:r w:rsidR="00154150">
          <w:rPr>
            <w:noProof/>
          </w:rPr>
          <w:t>1</w:t>
        </w:r>
      </w:fldSimple>
      <w:r w:rsidR="00562DF0">
        <w:t>–</w:t>
      </w:r>
      <w:fldSimple w:instr=" SEQ Tablica \* ARABIC \s 1 ">
        <w:r w:rsidR="00154150">
          <w:rPr>
            <w:noProof/>
          </w:rPr>
          <w:t>2</w:t>
        </w:r>
      </w:fldSimple>
      <w:bookmarkEnd w:id="23"/>
      <w:r w:rsidR="00F458D6">
        <w:t>.:</w:t>
      </w:r>
      <w:r w:rsidR="00A87274">
        <w:rPr>
          <w:noProof/>
        </w:rPr>
        <w:t xml:space="preserve"> </w:t>
      </w:r>
      <w:r>
        <w:t>Projekcije vrijednosti ključnih indikatora, Zelena knjiga</w:t>
      </w:r>
      <w:bookmarkEnd w:id="24"/>
    </w:p>
    <w:tbl>
      <w:tblPr>
        <w:tblStyle w:val="TableGrid"/>
        <w:tblW w:w="3333" w:type="pct"/>
        <w:tblLook w:val="04A0" w:firstRow="1" w:lastRow="0" w:firstColumn="1" w:lastColumn="0" w:noHBand="0" w:noVBand="1"/>
      </w:tblPr>
      <w:tblGrid>
        <w:gridCol w:w="3019"/>
        <w:gridCol w:w="3020"/>
      </w:tblGrid>
      <w:tr w:rsidR="00FD2288" w14:paraId="1E8563C9" w14:textId="77777777" w:rsidTr="00725326">
        <w:tc>
          <w:tcPr>
            <w:tcW w:w="2500" w:type="pct"/>
            <w:shd w:val="clear" w:color="auto" w:fill="DEEAF6" w:themeFill="accent1" w:themeFillTint="33"/>
          </w:tcPr>
          <w:p w14:paraId="741FDE6F" w14:textId="77777777" w:rsidR="00FD2288" w:rsidRDefault="00FD2288" w:rsidP="00574ADC">
            <w:bookmarkStart w:id="25" w:name="_Hlk531807782"/>
          </w:p>
        </w:tc>
        <w:tc>
          <w:tcPr>
            <w:tcW w:w="2500" w:type="pct"/>
            <w:shd w:val="clear" w:color="auto" w:fill="DEEAF6" w:themeFill="accent1" w:themeFillTint="33"/>
          </w:tcPr>
          <w:p w14:paraId="3140D057" w14:textId="0A194972" w:rsidR="00FD2288" w:rsidRPr="00725326" w:rsidRDefault="00FD2288" w:rsidP="00725326">
            <w:pPr>
              <w:jc w:val="center"/>
              <w:rPr>
                <w:b/>
              </w:rPr>
            </w:pPr>
            <w:r w:rsidRPr="00725326">
              <w:rPr>
                <w:b/>
              </w:rPr>
              <w:t>Cilj za 2030.</w:t>
            </w:r>
          </w:p>
        </w:tc>
      </w:tr>
      <w:tr w:rsidR="00FD2288" w14:paraId="056A1BD3" w14:textId="77777777" w:rsidTr="00FD2288">
        <w:tc>
          <w:tcPr>
            <w:tcW w:w="2500" w:type="pct"/>
            <w:shd w:val="clear" w:color="auto" w:fill="FFFFFF" w:themeFill="background1"/>
          </w:tcPr>
          <w:p w14:paraId="7AEE5B6B" w14:textId="7495E747" w:rsidR="00FD2288" w:rsidRDefault="00FD2288" w:rsidP="00791586">
            <w:r>
              <w:t xml:space="preserve">Udio OIE u </w:t>
            </w:r>
            <w:r w:rsidR="0086726A">
              <w:t>bruto neposrednoj</w:t>
            </w:r>
            <w:r>
              <w:t xml:space="preserve"> potrošnji energije</w:t>
            </w:r>
          </w:p>
        </w:tc>
        <w:tc>
          <w:tcPr>
            <w:tcW w:w="2500" w:type="pct"/>
            <w:shd w:val="clear" w:color="auto" w:fill="FFFFFF" w:themeFill="background1"/>
            <w:vAlign w:val="top"/>
          </w:tcPr>
          <w:p w14:paraId="27911F4A" w14:textId="45555D85" w:rsidR="00FD2288" w:rsidRDefault="00FD2288" w:rsidP="00791586">
            <w:r w:rsidRPr="00027DAA">
              <w:t>3</w:t>
            </w:r>
            <w:r>
              <w:t>6</w:t>
            </w:r>
            <w:r w:rsidRPr="00027DAA">
              <w:t>,</w:t>
            </w:r>
            <w:r w:rsidR="00043934">
              <w:t>4</w:t>
            </w:r>
            <w:r>
              <w:t xml:space="preserve"> %</w:t>
            </w:r>
          </w:p>
        </w:tc>
      </w:tr>
      <w:tr w:rsidR="00251DFC" w14:paraId="300B9906" w14:textId="77777777" w:rsidTr="00251DFC">
        <w:trPr>
          <w:trHeight w:val="405"/>
        </w:trPr>
        <w:tc>
          <w:tcPr>
            <w:tcW w:w="2500" w:type="pct"/>
            <w:shd w:val="clear" w:color="auto" w:fill="FFFFFF" w:themeFill="background1"/>
          </w:tcPr>
          <w:p w14:paraId="52BA1B22" w14:textId="59062E29" w:rsidR="00251DFC" w:rsidRDefault="00251DFC" w:rsidP="00574ADC">
            <w:r>
              <w:t>Energetska učinkovitost</w:t>
            </w:r>
          </w:p>
        </w:tc>
        <w:tc>
          <w:tcPr>
            <w:tcW w:w="2500" w:type="pct"/>
            <w:shd w:val="clear" w:color="auto" w:fill="FFFFFF" w:themeFill="background1"/>
          </w:tcPr>
          <w:p w14:paraId="1B0BD589" w14:textId="3BD91103" w:rsidR="00251DFC" w:rsidRDefault="00251DFC" w:rsidP="0090031F"/>
        </w:tc>
      </w:tr>
      <w:tr w:rsidR="00251DFC" w14:paraId="7B934DCC" w14:textId="77777777" w:rsidTr="00FD2288">
        <w:trPr>
          <w:trHeight w:val="405"/>
        </w:trPr>
        <w:tc>
          <w:tcPr>
            <w:tcW w:w="2500" w:type="pct"/>
            <w:shd w:val="clear" w:color="auto" w:fill="FFFFFF" w:themeFill="background1"/>
          </w:tcPr>
          <w:p w14:paraId="044046B9" w14:textId="3577E282" w:rsidR="00251DFC" w:rsidRDefault="00251DFC" w:rsidP="00574ADC">
            <w:r>
              <w:t>Potrošnja primarne energije</w:t>
            </w:r>
            <w:r>
              <w:rPr>
                <w:rStyle w:val="FootnoteReference"/>
              </w:rPr>
              <w:footnoteReference w:id="3"/>
            </w:r>
          </w:p>
        </w:tc>
        <w:tc>
          <w:tcPr>
            <w:tcW w:w="2500" w:type="pct"/>
            <w:shd w:val="clear" w:color="auto" w:fill="FFFFFF" w:themeFill="background1"/>
          </w:tcPr>
          <w:p w14:paraId="30E5D118" w14:textId="35360BD6" w:rsidR="00251DFC" w:rsidRDefault="00251DFC" w:rsidP="0090031F">
            <w:r>
              <w:t>344,</w:t>
            </w:r>
            <w:r w:rsidR="008C5A02">
              <w:t>38</w:t>
            </w:r>
            <w:r>
              <w:t xml:space="preserve"> PJ</w:t>
            </w:r>
          </w:p>
        </w:tc>
      </w:tr>
      <w:tr w:rsidR="00251DFC" w14:paraId="4BEF7135" w14:textId="77777777" w:rsidTr="00FD2288">
        <w:trPr>
          <w:trHeight w:val="405"/>
        </w:trPr>
        <w:tc>
          <w:tcPr>
            <w:tcW w:w="2500" w:type="pct"/>
            <w:shd w:val="clear" w:color="auto" w:fill="FFFFFF" w:themeFill="background1"/>
          </w:tcPr>
          <w:p w14:paraId="5D1C8145" w14:textId="369C0CCF" w:rsidR="00251DFC" w:rsidRDefault="00251DFC" w:rsidP="00574ADC">
            <w:r>
              <w:t>Neposredna potrošnja energije</w:t>
            </w:r>
          </w:p>
        </w:tc>
        <w:tc>
          <w:tcPr>
            <w:tcW w:w="2500" w:type="pct"/>
            <w:shd w:val="clear" w:color="auto" w:fill="FFFFFF" w:themeFill="background1"/>
          </w:tcPr>
          <w:p w14:paraId="29981F24" w14:textId="0D6B5EC6" w:rsidR="00251DFC" w:rsidRDefault="00251DFC" w:rsidP="0090031F">
            <w:r>
              <w:t>286,91 PJ</w:t>
            </w:r>
          </w:p>
        </w:tc>
      </w:tr>
    </w:tbl>
    <w:bookmarkEnd w:id="25"/>
    <w:p w14:paraId="78080A43" w14:textId="0C374DA9" w:rsidR="004E0694" w:rsidRDefault="00791586" w:rsidP="004E0694">
      <w:r>
        <w:t>M</w:t>
      </w:r>
      <w:r w:rsidR="004E0694">
        <w:t xml:space="preserve">jere </w:t>
      </w:r>
      <w:r w:rsidR="0090031F">
        <w:t>relevantne za pojedine dimenzije energetske unije</w:t>
      </w:r>
      <w:r w:rsidR="004E0694">
        <w:t xml:space="preserve"> prikazuje </w:t>
      </w:r>
      <w:r w:rsidR="006639F2">
        <w:fldChar w:fldCharType="begin"/>
      </w:r>
      <w:r w:rsidR="006639F2">
        <w:instrText xml:space="preserve"> REF _Ref531506913 \h </w:instrText>
      </w:r>
      <w:r w:rsidR="006639F2">
        <w:fldChar w:fldCharType="separate"/>
      </w:r>
      <w:r w:rsidR="00154150">
        <w:t xml:space="preserve">Tablica </w:t>
      </w:r>
      <w:r w:rsidR="00154150">
        <w:rPr>
          <w:noProof/>
        </w:rPr>
        <w:t>1</w:t>
      </w:r>
      <w:r w:rsidR="00154150">
        <w:t>–</w:t>
      </w:r>
      <w:r w:rsidR="00154150">
        <w:rPr>
          <w:noProof/>
        </w:rPr>
        <w:t>3</w:t>
      </w:r>
      <w:r w:rsidR="006639F2">
        <w:fldChar w:fldCharType="end"/>
      </w:r>
      <w:r w:rsidR="004E0694">
        <w:t>.</w:t>
      </w:r>
      <w:r w:rsidR="007F02D6">
        <w:t xml:space="preserve"> </w:t>
      </w:r>
      <w:r w:rsidR="00166381" w:rsidRPr="00166381">
        <w:t xml:space="preserve">Većina mjera relevantna je i za izvještavanje o politikama i mjerama za smanjenje emisija i o projekcijama stakleničkih plinova prema Europskoj </w:t>
      </w:r>
      <w:r w:rsidR="007A7028">
        <w:t>k</w:t>
      </w:r>
      <w:r w:rsidR="00166381" w:rsidRPr="00166381">
        <w:t xml:space="preserve">omisiji u okviru Uredbe (EU) 2018/1999 o upravljanju energetskom unijom te prema Okvirnoj konvenciji Ujedinjenih naroda o promjeni klime (UNFCCC) u okviru izrade nacionalnih izvješća i dvogodišnjih izvješća Republike Hrvatske prema UNFCCC pa tablica uz kraticu koja ukazuje na dimenziju energetske unije na koju se mjera primarno odnosi, sadrži i kraticu koja se koristi u okviru </w:t>
      </w:r>
      <w:r w:rsidR="00166381">
        <w:t xml:space="preserve">navedenog </w:t>
      </w:r>
      <w:r w:rsidR="00166381" w:rsidRPr="00166381">
        <w:t>izvještavanja.</w:t>
      </w:r>
      <w:r w:rsidR="00166381">
        <w:t xml:space="preserve"> </w:t>
      </w:r>
      <w:r w:rsidR="00E14C3D">
        <w:t xml:space="preserve">Utjecaji na druge dimenzije energetske unije, prilagodbu klimatskim promjenama i kružno gospodarstvo </w:t>
      </w:r>
      <w:r w:rsidR="008B3D5C">
        <w:t>navedeni su uz opis pojedine mjere.</w:t>
      </w:r>
    </w:p>
    <w:p w14:paraId="3D6C52F0" w14:textId="77777777" w:rsidR="00EA074C" w:rsidRDefault="00EA074C" w:rsidP="004E0694"/>
    <w:p w14:paraId="18BB3479" w14:textId="71004886" w:rsidR="004E0694" w:rsidRDefault="006639F2" w:rsidP="00B23FAC">
      <w:pPr>
        <w:pStyle w:val="Caption"/>
      </w:pPr>
      <w:bookmarkStart w:id="26" w:name="_Ref531506913"/>
      <w:bookmarkStart w:id="27" w:name="_Toc27396195"/>
      <w:r>
        <w:lastRenderedPageBreak/>
        <w:t xml:space="preserve">Tablica </w:t>
      </w:r>
      <w:fldSimple w:instr=" STYLEREF 1 \s ">
        <w:r w:rsidR="00154150">
          <w:rPr>
            <w:noProof/>
          </w:rPr>
          <w:t>1</w:t>
        </w:r>
      </w:fldSimple>
      <w:r w:rsidR="00562DF0">
        <w:t>–</w:t>
      </w:r>
      <w:fldSimple w:instr=" SEQ Tablica \* ARABIC \s 1 ">
        <w:r w:rsidR="00154150">
          <w:rPr>
            <w:noProof/>
          </w:rPr>
          <w:t>3</w:t>
        </w:r>
      </w:fldSimple>
      <w:bookmarkEnd w:id="26"/>
      <w:r w:rsidR="00F458D6">
        <w:t>.:</w:t>
      </w:r>
      <w:r w:rsidR="00A87274">
        <w:rPr>
          <w:noProof/>
        </w:rPr>
        <w:t xml:space="preserve"> </w:t>
      </w:r>
      <w:r>
        <w:t>Pregled mjera</w:t>
      </w:r>
      <w:bookmarkEnd w:id="27"/>
    </w:p>
    <w:tbl>
      <w:tblPr>
        <w:tblStyle w:val="TableGrid"/>
        <w:tblW w:w="9286" w:type="dxa"/>
        <w:tblLook w:val="04A0" w:firstRow="1" w:lastRow="0" w:firstColumn="1" w:lastColumn="0" w:noHBand="0" w:noVBand="1"/>
      </w:tblPr>
      <w:tblGrid>
        <w:gridCol w:w="1101"/>
        <w:gridCol w:w="1134"/>
        <w:gridCol w:w="5811"/>
        <w:gridCol w:w="1240"/>
      </w:tblGrid>
      <w:tr w:rsidR="00532D3D" w14:paraId="57A4A150" w14:textId="14C9465B" w:rsidTr="005E4458">
        <w:tc>
          <w:tcPr>
            <w:tcW w:w="1101" w:type="dxa"/>
            <w:shd w:val="clear" w:color="auto" w:fill="DEEAF6" w:themeFill="accent1" w:themeFillTint="33"/>
          </w:tcPr>
          <w:p w14:paraId="10C0B5C2" w14:textId="48DF8649" w:rsidR="00532D3D" w:rsidRPr="007145ED" w:rsidRDefault="00532D3D" w:rsidP="007145ED">
            <w:pPr>
              <w:spacing w:after="0"/>
              <w:rPr>
                <w:sz w:val="20"/>
              </w:rPr>
            </w:pPr>
            <w:bookmarkStart w:id="28" w:name="_Hlk26361237"/>
            <w:r>
              <w:t>Kratica 1</w:t>
            </w:r>
            <w:r>
              <w:rPr>
                <w:rStyle w:val="FootnoteReference"/>
              </w:rPr>
              <w:footnoteReference w:id="4"/>
            </w:r>
          </w:p>
          <w:p w14:paraId="03CE84A0" w14:textId="44411B4A" w:rsidR="00532D3D" w:rsidRDefault="00532D3D" w:rsidP="007145ED">
            <w:pPr>
              <w:spacing w:after="240"/>
            </w:pPr>
          </w:p>
        </w:tc>
        <w:tc>
          <w:tcPr>
            <w:tcW w:w="1134" w:type="dxa"/>
            <w:shd w:val="clear" w:color="auto" w:fill="DEEAF6" w:themeFill="accent1" w:themeFillTint="33"/>
          </w:tcPr>
          <w:p w14:paraId="3B65BC6C" w14:textId="64383508" w:rsidR="00532D3D" w:rsidRDefault="00532D3D" w:rsidP="007145ED">
            <w:r>
              <w:t>Kratica 2</w:t>
            </w:r>
            <w:r>
              <w:rPr>
                <w:rStyle w:val="FootnoteReference"/>
              </w:rPr>
              <w:footnoteReference w:id="5"/>
            </w:r>
          </w:p>
        </w:tc>
        <w:tc>
          <w:tcPr>
            <w:tcW w:w="5811" w:type="dxa"/>
            <w:shd w:val="clear" w:color="auto" w:fill="DEEAF6" w:themeFill="accent1" w:themeFillTint="33"/>
          </w:tcPr>
          <w:p w14:paraId="24C29396" w14:textId="359F4D50" w:rsidR="00532D3D" w:rsidRDefault="00532D3D" w:rsidP="007145ED">
            <w:r>
              <w:t>Naziv</w:t>
            </w:r>
          </w:p>
        </w:tc>
        <w:tc>
          <w:tcPr>
            <w:tcW w:w="1240" w:type="dxa"/>
            <w:shd w:val="clear" w:color="auto" w:fill="DEEAF6" w:themeFill="accent1" w:themeFillTint="33"/>
          </w:tcPr>
          <w:p w14:paraId="5BE7A8AE" w14:textId="27B8E39C" w:rsidR="00532D3D" w:rsidRDefault="00532D3D" w:rsidP="007145ED">
            <w:r>
              <w:t xml:space="preserve">Utjecaj na ostale dimenzije </w:t>
            </w:r>
          </w:p>
        </w:tc>
      </w:tr>
      <w:tr w:rsidR="00532D3D" w14:paraId="241C1C53" w14:textId="3ADEE807" w:rsidTr="00333519">
        <w:tc>
          <w:tcPr>
            <w:tcW w:w="9286" w:type="dxa"/>
            <w:gridSpan w:val="4"/>
            <w:shd w:val="clear" w:color="auto" w:fill="FFFFFF" w:themeFill="background1"/>
          </w:tcPr>
          <w:p w14:paraId="48DFA180" w14:textId="6111DE78" w:rsidR="00532D3D" w:rsidRPr="00725326" w:rsidRDefault="00532D3D" w:rsidP="007145ED">
            <w:pPr>
              <w:rPr>
                <w:b/>
              </w:rPr>
            </w:pPr>
            <w:r w:rsidRPr="00725326">
              <w:rPr>
                <w:b/>
              </w:rPr>
              <w:t>Dekarbonizacija</w:t>
            </w:r>
          </w:p>
        </w:tc>
      </w:tr>
      <w:tr w:rsidR="00532D3D" w14:paraId="28C78396" w14:textId="3AABEF7F" w:rsidTr="005E4458">
        <w:tc>
          <w:tcPr>
            <w:tcW w:w="1101" w:type="dxa"/>
            <w:shd w:val="clear" w:color="auto" w:fill="FFFFFF" w:themeFill="background1"/>
          </w:tcPr>
          <w:p w14:paraId="007B4EA4" w14:textId="36AB0168" w:rsidR="00532D3D" w:rsidRPr="007145ED" w:rsidRDefault="00532D3D" w:rsidP="007145ED">
            <w:r w:rsidRPr="007145ED">
              <w:t>MS-1</w:t>
            </w:r>
          </w:p>
        </w:tc>
        <w:tc>
          <w:tcPr>
            <w:tcW w:w="1134" w:type="dxa"/>
            <w:shd w:val="clear" w:color="auto" w:fill="FFFFFF" w:themeFill="background1"/>
          </w:tcPr>
          <w:p w14:paraId="0EFFDD0D" w14:textId="1CA4C8A3" w:rsidR="00532D3D" w:rsidRPr="007145ED" w:rsidRDefault="00F11D7C" w:rsidP="007145ED">
            <w:r>
              <w:t>MCC-</w:t>
            </w:r>
            <w:r w:rsidR="000A6082">
              <w:t>1</w:t>
            </w:r>
          </w:p>
        </w:tc>
        <w:tc>
          <w:tcPr>
            <w:tcW w:w="5811" w:type="dxa"/>
            <w:shd w:val="clear" w:color="auto" w:fill="FFFFFF" w:themeFill="background1"/>
          </w:tcPr>
          <w:p w14:paraId="04616E0C" w14:textId="5B0CA417" w:rsidR="00532D3D" w:rsidRPr="007145ED" w:rsidRDefault="00532D3D" w:rsidP="007145ED">
            <w:r w:rsidRPr="007145ED">
              <w:t>Povjerenstvo za međusektorsku koordinaciju za politiku i mjer</w:t>
            </w:r>
            <w:r>
              <w:t>e</w:t>
            </w:r>
            <w:r w:rsidRPr="007145ED">
              <w:t xml:space="preserve"> za ublaživanje i prilagodbu klimatskim promjenama</w:t>
            </w:r>
          </w:p>
        </w:tc>
        <w:tc>
          <w:tcPr>
            <w:tcW w:w="1240" w:type="dxa"/>
            <w:shd w:val="clear" w:color="auto" w:fill="FFFFFF" w:themeFill="background1"/>
          </w:tcPr>
          <w:p w14:paraId="71CB76C7" w14:textId="6B86BF0D" w:rsidR="00532D3D" w:rsidRPr="007145ED" w:rsidRDefault="00532D3D" w:rsidP="007145ED">
            <w:r>
              <w:t>2,3,4,5</w:t>
            </w:r>
          </w:p>
        </w:tc>
      </w:tr>
      <w:tr w:rsidR="00532D3D" w14:paraId="5F977B12" w14:textId="77777777" w:rsidTr="005E4458">
        <w:tc>
          <w:tcPr>
            <w:tcW w:w="1101" w:type="dxa"/>
            <w:shd w:val="clear" w:color="auto" w:fill="FFFFFF" w:themeFill="background1"/>
          </w:tcPr>
          <w:p w14:paraId="4D0929BF" w14:textId="70544F9E" w:rsidR="00532D3D" w:rsidRPr="007145ED" w:rsidRDefault="00532D3D" w:rsidP="007050CB">
            <w:r w:rsidRPr="007145ED">
              <w:t>MS-2</w:t>
            </w:r>
          </w:p>
        </w:tc>
        <w:tc>
          <w:tcPr>
            <w:tcW w:w="1134" w:type="dxa"/>
            <w:shd w:val="clear" w:color="auto" w:fill="FFFFFF" w:themeFill="background1"/>
          </w:tcPr>
          <w:p w14:paraId="0B4B2006" w14:textId="78B1E29D" w:rsidR="00532D3D" w:rsidRPr="007050CB" w:rsidRDefault="00F11D7C" w:rsidP="007050CB">
            <w:r>
              <w:t>MCC-</w:t>
            </w:r>
            <w:r w:rsidR="000A6082">
              <w:t>2</w:t>
            </w:r>
          </w:p>
        </w:tc>
        <w:tc>
          <w:tcPr>
            <w:tcW w:w="5811" w:type="dxa"/>
            <w:shd w:val="clear" w:color="auto" w:fill="FFFFFF" w:themeFill="background1"/>
          </w:tcPr>
          <w:p w14:paraId="739373CD" w14:textId="1F048410" w:rsidR="00532D3D" w:rsidRPr="007145ED" w:rsidRDefault="00532D3D" w:rsidP="007050CB">
            <w:r w:rsidRPr="007050CB">
              <w:t>Poticanje osnivanja regionalnih energetskih i klimatskih agencija i iz</w:t>
            </w:r>
            <w:r>
              <w:t>g</w:t>
            </w:r>
            <w:r w:rsidRPr="007050CB">
              <w:t>radnja kapaciteta</w:t>
            </w:r>
          </w:p>
        </w:tc>
        <w:tc>
          <w:tcPr>
            <w:tcW w:w="1240" w:type="dxa"/>
            <w:shd w:val="clear" w:color="auto" w:fill="FFFFFF" w:themeFill="background1"/>
          </w:tcPr>
          <w:p w14:paraId="7ACE837E" w14:textId="6DC6EF20" w:rsidR="00532D3D" w:rsidRDefault="00532D3D" w:rsidP="007050CB">
            <w:r>
              <w:t>2,3,4,5</w:t>
            </w:r>
          </w:p>
        </w:tc>
      </w:tr>
      <w:tr w:rsidR="00532D3D" w14:paraId="6005ECE5" w14:textId="778F70D5" w:rsidTr="005E4458">
        <w:tc>
          <w:tcPr>
            <w:tcW w:w="1101" w:type="dxa"/>
            <w:shd w:val="clear" w:color="auto" w:fill="FFFFFF" w:themeFill="background1"/>
          </w:tcPr>
          <w:p w14:paraId="1B7813E6" w14:textId="6A359F66" w:rsidR="00532D3D" w:rsidRPr="007145ED" w:rsidRDefault="00532D3D" w:rsidP="007050CB">
            <w:r w:rsidRPr="007145ED">
              <w:t>MS-3</w:t>
            </w:r>
          </w:p>
        </w:tc>
        <w:tc>
          <w:tcPr>
            <w:tcW w:w="1134" w:type="dxa"/>
            <w:shd w:val="clear" w:color="auto" w:fill="FFFFFF" w:themeFill="background1"/>
          </w:tcPr>
          <w:p w14:paraId="4245405C" w14:textId="5B4F9339" w:rsidR="00532D3D" w:rsidRPr="007145ED" w:rsidRDefault="00F11D7C" w:rsidP="007050CB">
            <w:r>
              <w:t>MCC-</w:t>
            </w:r>
            <w:r w:rsidR="000A6082">
              <w:t>3</w:t>
            </w:r>
          </w:p>
        </w:tc>
        <w:tc>
          <w:tcPr>
            <w:tcW w:w="5811" w:type="dxa"/>
            <w:shd w:val="clear" w:color="auto" w:fill="FFFFFF" w:themeFill="background1"/>
          </w:tcPr>
          <w:p w14:paraId="68A01301" w14:textId="558AA0BC" w:rsidR="00532D3D" w:rsidRPr="007145ED" w:rsidRDefault="00532D3D" w:rsidP="007050CB">
            <w:r w:rsidRPr="007145ED">
              <w:t>Promicanje korištenja inovativnih informacijskih i komunikacijskih tehnologija (ICT) radi smanjenja emisija stakleničkih plinova</w:t>
            </w:r>
          </w:p>
        </w:tc>
        <w:tc>
          <w:tcPr>
            <w:tcW w:w="1240" w:type="dxa"/>
            <w:shd w:val="clear" w:color="auto" w:fill="FFFFFF" w:themeFill="background1"/>
          </w:tcPr>
          <w:p w14:paraId="794C055A" w14:textId="0BE12A52" w:rsidR="00532D3D" w:rsidRPr="007145ED" w:rsidRDefault="00532D3D" w:rsidP="007050CB">
            <w:r>
              <w:t>2,3,4,5</w:t>
            </w:r>
          </w:p>
        </w:tc>
      </w:tr>
      <w:tr w:rsidR="00532D3D" w14:paraId="70510D08" w14:textId="2D7D31B3" w:rsidTr="005E4458">
        <w:tc>
          <w:tcPr>
            <w:tcW w:w="1101" w:type="dxa"/>
            <w:shd w:val="clear" w:color="auto" w:fill="FFFFFF" w:themeFill="background1"/>
          </w:tcPr>
          <w:p w14:paraId="4D6F2F07" w14:textId="2630F508" w:rsidR="00532D3D" w:rsidRPr="007145ED" w:rsidRDefault="00532D3D" w:rsidP="007050CB">
            <w:r w:rsidRPr="007145ED">
              <w:t>MS-</w:t>
            </w:r>
            <w:r>
              <w:t>4</w:t>
            </w:r>
          </w:p>
        </w:tc>
        <w:tc>
          <w:tcPr>
            <w:tcW w:w="1134" w:type="dxa"/>
            <w:shd w:val="clear" w:color="auto" w:fill="FFFFFF" w:themeFill="background1"/>
          </w:tcPr>
          <w:p w14:paraId="3AE9D94B" w14:textId="16CFEB05" w:rsidR="00532D3D" w:rsidRPr="007145ED" w:rsidRDefault="00F11D7C" w:rsidP="007050CB">
            <w:r>
              <w:t>MCC-</w:t>
            </w:r>
            <w:r w:rsidR="000A6082">
              <w:t>4</w:t>
            </w:r>
          </w:p>
        </w:tc>
        <w:tc>
          <w:tcPr>
            <w:tcW w:w="5811" w:type="dxa"/>
            <w:shd w:val="clear" w:color="auto" w:fill="FFFFFF" w:themeFill="background1"/>
          </w:tcPr>
          <w:p w14:paraId="3D6BEC32" w14:textId="3C80F954" w:rsidR="00532D3D" w:rsidRPr="007145ED" w:rsidRDefault="00532D3D" w:rsidP="007050CB">
            <w:r w:rsidRPr="007145ED">
              <w:t>Europski sustav trgovanja emisijskim jedinicama</w:t>
            </w:r>
          </w:p>
        </w:tc>
        <w:tc>
          <w:tcPr>
            <w:tcW w:w="1240" w:type="dxa"/>
            <w:shd w:val="clear" w:color="auto" w:fill="FFFFFF" w:themeFill="background1"/>
          </w:tcPr>
          <w:p w14:paraId="38FCE539" w14:textId="0E14CA6C" w:rsidR="00532D3D" w:rsidRPr="007145ED" w:rsidRDefault="00532D3D" w:rsidP="007050CB">
            <w:r>
              <w:t>2,4</w:t>
            </w:r>
          </w:p>
        </w:tc>
      </w:tr>
      <w:tr w:rsidR="00532D3D" w14:paraId="213EAF79" w14:textId="012CBFE8" w:rsidTr="005E4458">
        <w:tc>
          <w:tcPr>
            <w:tcW w:w="1101" w:type="dxa"/>
            <w:shd w:val="clear" w:color="auto" w:fill="FFFFFF" w:themeFill="background1"/>
          </w:tcPr>
          <w:p w14:paraId="76FDB8EA" w14:textId="6E5DAC96" w:rsidR="00532D3D" w:rsidRPr="007145ED" w:rsidRDefault="00532D3D" w:rsidP="007050CB">
            <w:r w:rsidRPr="007145ED">
              <w:t>MS-</w:t>
            </w:r>
            <w:r>
              <w:t>5</w:t>
            </w:r>
          </w:p>
        </w:tc>
        <w:tc>
          <w:tcPr>
            <w:tcW w:w="1134" w:type="dxa"/>
            <w:shd w:val="clear" w:color="auto" w:fill="FFFFFF" w:themeFill="background1"/>
          </w:tcPr>
          <w:p w14:paraId="0A48B896" w14:textId="4177D537" w:rsidR="00532D3D" w:rsidRPr="007145ED" w:rsidRDefault="00F11D7C" w:rsidP="007050CB">
            <w:r>
              <w:t>MCC-</w:t>
            </w:r>
            <w:r w:rsidR="000A6082">
              <w:t>5</w:t>
            </w:r>
          </w:p>
        </w:tc>
        <w:tc>
          <w:tcPr>
            <w:tcW w:w="5811" w:type="dxa"/>
            <w:shd w:val="clear" w:color="auto" w:fill="FFFFFF" w:themeFill="background1"/>
          </w:tcPr>
          <w:p w14:paraId="7EABD606" w14:textId="72F05DBB" w:rsidR="00532D3D" w:rsidRPr="007145ED" w:rsidRDefault="00532D3D" w:rsidP="007050CB">
            <w:r w:rsidRPr="007145ED">
              <w:t>Porez na emisiju CO</w:t>
            </w:r>
            <w:r w:rsidRPr="007145ED">
              <w:rPr>
                <w:vertAlign w:val="subscript"/>
              </w:rPr>
              <w:t>2</w:t>
            </w:r>
            <w:r w:rsidRPr="007145ED">
              <w:t xml:space="preserve"> za stacionarne izvore koji nisu u EU ETS-u</w:t>
            </w:r>
          </w:p>
        </w:tc>
        <w:tc>
          <w:tcPr>
            <w:tcW w:w="1240" w:type="dxa"/>
            <w:shd w:val="clear" w:color="auto" w:fill="FFFFFF" w:themeFill="background1"/>
          </w:tcPr>
          <w:p w14:paraId="02A5613D" w14:textId="79051C50" w:rsidR="00532D3D" w:rsidRPr="007145ED" w:rsidRDefault="00532D3D" w:rsidP="007050CB">
            <w:r>
              <w:t>2,4,5</w:t>
            </w:r>
          </w:p>
        </w:tc>
      </w:tr>
      <w:tr w:rsidR="00532D3D" w14:paraId="0C63DD25" w14:textId="55E898F3" w:rsidTr="005E4458">
        <w:tc>
          <w:tcPr>
            <w:tcW w:w="1101" w:type="dxa"/>
            <w:shd w:val="clear" w:color="auto" w:fill="FFFFFF" w:themeFill="background1"/>
          </w:tcPr>
          <w:p w14:paraId="5A22F50F" w14:textId="5CC91257" w:rsidR="00532D3D" w:rsidRPr="007145ED" w:rsidRDefault="00532D3D" w:rsidP="007050CB">
            <w:r w:rsidRPr="007145ED">
              <w:t>MS-</w:t>
            </w:r>
            <w:r>
              <w:t>6</w:t>
            </w:r>
          </w:p>
        </w:tc>
        <w:tc>
          <w:tcPr>
            <w:tcW w:w="1134" w:type="dxa"/>
            <w:shd w:val="clear" w:color="auto" w:fill="FFFFFF" w:themeFill="background1"/>
          </w:tcPr>
          <w:p w14:paraId="4A77E59C" w14:textId="2D3B73E0" w:rsidR="00532D3D" w:rsidRPr="007145ED" w:rsidRDefault="00F11D7C" w:rsidP="007050CB">
            <w:r>
              <w:t>MCC-</w:t>
            </w:r>
            <w:r w:rsidR="000A6082">
              <w:t>6</w:t>
            </w:r>
          </w:p>
        </w:tc>
        <w:tc>
          <w:tcPr>
            <w:tcW w:w="5811" w:type="dxa"/>
            <w:shd w:val="clear" w:color="auto" w:fill="FFFFFF" w:themeFill="background1"/>
          </w:tcPr>
          <w:p w14:paraId="0A2018CB" w14:textId="45182608" w:rsidR="00532D3D" w:rsidRPr="007145ED" w:rsidRDefault="00532D3D" w:rsidP="007050CB">
            <w:r w:rsidRPr="007145ED">
              <w:t>Sporazum gradonačelnika za klimu i energiju u Republici Hrvatskoj</w:t>
            </w:r>
          </w:p>
        </w:tc>
        <w:tc>
          <w:tcPr>
            <w:tcW w:w="1240" w:type="dxa"/>
            <w:shd w:val="clear" w:color="auto" w:fill="FFFFFF" w:themeFill="background1"/>
          </w:tcPr>
          <w:p w14:paraId="41C27D92" w14:textId="04676BE0" w:rsidR="00532D3D" w:rsidRPr="007145ED" w:rsidRDefault="00532D3D" w:rsidP="007050CB">
            <w:r>
              <w:t>2,3,4,5</w:t>
            </w:r>
          </w:p>
        </w:tc>
      </w:tr>
      <w:tr w:rsidR="00FE1A9F" w14:paraId="2F8F8339" w14:textId="77777777" w:rsidTr="005E4458">
        <w:tc>
          <w:tcPr>
            <w:tcW w:w="1101" w:type="dxa"/>
            <w:shd w:val="clear" w:color="auto" w:fill="FFFFFF" w:themeFill="background1"/>
          </w:tcPr>
          <w:p w14:paraId="28195FA6" w14:textId="227FB106" w:rsidR="00FE1A9F" w:rsidRDefault="00FE1A9F" w:rsidP="00FE1A9F">
            <w:r>
              <w:t>MS-7</w:t>
            </w:r>
          </w:p>
        </w:tc>
        <w:tc>
          <w:tcPr>
            <w:tcW w:w="1134" w:type="dxa"/>
            <w:shd w:val="clear" w:color="auto" w:fill="FFFFFF" w:themeFill="background1"/>
          </w:tcPr>
          <w:p w14:paraId="7077368C" w14:textId="52DEDB33" w:rsidR="00FE1A9F" w:rsidRDefault="00FE1A9F" w:rsidP="00FE1A9F">
            <w:r>
              <w:t>MCC-7</w:t>
            </w:r>
          </w:p>
        </w:tc>
        <w:tc>
          <w:tcPr>
            <w:tcW w:w="5811" w:type="dxa"/>
            <w:shd w:val="clear" w:color="auto" w:fill="FFFFFF" w:themeFill="background1"/>
          </w:tcPr>
          <w:p w14:paraId="2874917F" w14:textId="65D7BF4E" w:rsidR="00FE1A9F" w:rsidRPr="00500FC4" w:rsidRDefault="00FE1A9F" w:rsidP="00FE1A9F">
            <w:r>
              <w:t>Povelja o suradnji u cilju dekarbonizacije zgrada do 2050.</w:t>
            </w:r>
          </w:p>
        </w:tc>
        <w:tc>
          <w:tcPr>
            <w:tcW w:w="1240" w:type="dxa"/>
            <w:shd w:val="clear" w:color="auto" w:fill="FFFFFF" w:themeFill="background1"/>
          </w:tcPr>
          <w:p w14:paraId="1AFE79B3" w14:textId="3D4A47E1" w:rsidR="00FE1A9F" w:rsidRDefault="00792636" w:rsidP="00FE1A9F">
            <w:r>
              <w:t>2,3</w:t>
            </w:r>
          </w:p>
        </w:tc>
      </w:tr>
      <w:tr w:rsidR="00FE1A9F" w14:paraId="41279641" w14:textId="184807F8" w:rsidTr="005E4458">
        <w:tc>
          <w:tcPr>
            <w:tcW w:w="1101" w:type="dxa"/>
            <w:shd w:val="clear" w:color="auto" w:fill="FFFFFF" w:themeFill="background1"/>
          </w:tcPr>
          <w:p w14:paraId="28CCB7BC" w14:textId="4638B7EB" w:rsidR="00FE1A9F" w:rsidRPr="007145ED" w:rsidRDefault="00FE1A9F" w:rsidP="00FE1A9F">
            <w:r>
              <w:t>MS-8</w:t>
            </w:r>
          </w:p>
        </w:tc>
        <w:tc>
          <w:tcPr>
            <w:tcW w:w="1134" w:type="dxa"/>
            <w:shd w:val="clear" w:color="auto" w:fill="FFFFFF" w:themeFill="background1"/>
          </w:tcPr>
          <w:p w14:paraId="05B079E2" w14:textId="4A8C0DBE" w:rsidR="00FE1A9F" w:rsidRPr="007145ED" w:rsidRDefault="00FE1A9F" w:rsidP="00FE1A9F">
            <w:r>
              <w:t>MCC-8</w:t>
            </w:r>
          </w:p>
        </w:tc>
        <w:tc>
          <w:tcPr>
            <w:tcW w:w="5811" w:type="dxa"/>
            <w:shd w:val="clear" w:color="auto" w:fill="FFFFFF" w:themeFill="background1"/>
          </w:tcPr>
          <w:p w14:paraId="50B16975" w14:textId="3147C416" w:rsidR="00FE1A9F" w:rsidRPr="007145ED" w:rsidRDefault="00FE1A9F" w:rsidP="00FE1A9F">
            <w:r w:rsidRPr="00500FC4">
              <w:t>Uspostava platforme za prikupljanje, uporabu i skladištenje CO</w:t>
            </w:r>
            <w:r w:rsidRPr="004506FD">
              <w:rPr>
                <w:vertAlign w:val="subscript"/>
              </w:rPr>
              <w:t>2</w:t>
            </w:r>
          </w:p>
        </w:tc>
        <w:tc>
          <w:tcPr>
            <w:tcW w:w="1240" w:type="dxa"/>
            <w:shd w:val="clear" w:color="auto" w:fill="FFFFFF" w:themeFill="background1"/>
          </w:tcPr>
          <w:p w14:paraId="3DEE7148" w14:textId="0EA213AB" w:rsidR="00FE1A9F" w:rsidRPr="007145ED" w:rsidRDefault="00FE1A9F" w:rsidP="00FE1A9F">
            <w:r>
              <w:t>5</w:t>
            </w:r>
          </w:p>
        </w:tc>
      </w:tr>
      <w:tr w:rsidR="00FE1A9F" w14:paraId="458DADF8" w14:textId="50A19405" w:rsidTr="005E4458">
        <w:tc>
          <w:tcPr>
            <w:tcW w:w="1101" w:type="dxa"/>
            <w:shd w:val="clear" w:color="auto" w:fill="FFFFFF" w:themeFill="background1"/>
          </w:tcPr>
          <w:p w14:paraId="7965085B" w14:textId="35AABF26" w:rsidR="00FE1A9F" w:rsidRPr="007145ED" w:rsidRDefault="00FE1A9F" w:rsidP="00FE1A9F">
            <w:r>
              <w:t>MS-9</w:t>
            </w:r>
          </w:p>
        </w:tc>
        <w:tc>
          <w:tcPr>
            <w:tcW w:w="1134" w:type="dxa"/>
            <w:shd w:val="clear" w:color="auto" w:fill="FFFFFF" w:themeFill="background1"/>
          </w:tcPr>
          <w:p w14:paraId="6ECE2D0A" w14:textId="79F8002C" w:rsidR="00FE1A9F" w:rsidRDefault="00FE1A9F" w:rsidP="00FE1A9F">
            <w:r>
              <w:t>MCC-9</w:t>
            </w:r>
          </w:p>
        </w:tc>
        <w:tc>
          <w:tcPr>
            <w:tcW w:w="5811" w:type="dxa"/>
            <w:shd w:val="clear" w:color="auto" w:fill="FFFFFF" w:themeFill="background1"/>
          </w:tcPr>
          <w:p w14:paraId="33FE8053" w14:textId="79E8B0A9" w:rsidR="00FE1A9F" w:rsidRPr="007145ED" w:rsidRDefault="00FE1A9F" w:rsidP="00FE1A9F">
            <w:r>
              <w:t>Unaprjeđenje održivosti urbanih sredina</w:t>
            </w:r>
          </w:p>
        </w:tc>
        <w:tc>
          <w:tcPr>
            <w:tcW w:w="1240" w:type="dxa"/>
            <w:shd w:val="clear" w:color="auto" w:fill="FFFFFF" w:themeFill="background1"/>
          </w:tcPr>
          <w:p w14:paraId="2559EA3E" w14:textId="1C4A214E" w:rsidR="00FE1A9F" w:rsidRDefault="00FE1A9F" w:rsidP="00FE1A9F">
            <w:r>
              <w:t>2,3,5</w:t>
            </w:r>
          </w:p>
        </w:tc>
      </w:tr>
      <w:tr w:rsidR="00FE1A9F" w14:paraId="0A0D800F" w14:textId="77777777" w:rsidTr="005E4458">
        <w:tc>
          <w:tcPr>
            <w:tcW w:w="1101" w:type="dxa"/>
            <w:shd w:val="clear" w:color="auto" w:fill="FFFFFF" w:themeFill="background1"/>
          </w:tcPr>
          <w:p w14:paraId="1D228846" w14:textId="606B0DF2" w:rsidR="00FE1A9F" w:rsidRDefault="00FE1A9F" w:rsidP="00FE1A9F">
            <w:r>
              <w:rPr>
                <w:rFonts w:cs="Arial"/>
              </w:rPr>
              <w:t>MS-10</w:t>
            </w:r>
          </w:p>
        </w:tc>
        <w:tc>
          <w:tcPr>
            <w:tcW w:w="1134" w:type="dxa"/>
            <w:shd w:val="clear" w:color="auto" w:fill="FFFFFF" w:themeFill="background1"/>
          </w:tcPr>
          <w:p w14:paraId="5550BDB5" w14:textId="3A2B8322" w:rsidR="00FE1A9F" w:rsidRPr="00AB0396" w:rsidRDefault="00FE1A9F" w:rsidP="00FE1A9F">
            <w:r>
              <w:t>MCC-10</w:t>
            </w:r>
          </w:p>
        </w:tc>
        <w:tc>
          <w:tcPr>
            <w:tcW w:w="5811" w:type="dxa"/>
            <w:shd w:val="clear" w:color="auto" w:fill="FFFFFF" w:themeFill="background1"/>
          </w:tcPr>
          <w:p w14:paraId="50D2ACC3" w14:textId="03F47C49" w:rsidR="00FE1A9F" w:rsidRDefault="00FE1A9F" w:rsidP="00FE1A9F">
            <w:r w:rsidRPr="00AB0396">
              <w:t xml:space="preserve">Uspostava Programa za izračun i smanjenje ugljikova otiska poslovnih subjekata </w:t>
            </w:r>
          </w:p>
        </w:tc>
        <w:tc>
          <w:tcPr>
            <w:tcW w:w="1240" w:type="dxa"/>
            <w:shd w:val="clear" w:color="auto" w:fill="FFFFFF" w:themeFill="background1"/>
          </w:tcPr>
          <w:p w14:paraId="3D3A8BAF" w14:textId="62F335A1" w:rsidR="00FE1A9F" w:rsidRDefault="00FE1A9F" w:rsidP="00FE1A9F">
            <w:r>
              <w:t>2,3,4,5</w:t>
            </w:r>
          </w:p>
        </w:tc>
      </w:tr>
      <w:tr w:rsidR="00FE1A9F" w14:paraId="2BDE71C9" w14:textId="77777777" w:rsidTr="005E4458">
        <w:tc>
          <w:tcPr>
            <w:tcW w:w="1101" w:type="dxa"/>
            <w:shd w:val="clear" w:color="auto" w:fill="FFFFFF" w:themeFill="background1"/>
          </w:tcPr>
          <w:p w14:paraId="5B8EC95D" w14:textId="482C7704" w:rsidR="00FE1A9F" w:rsidRPr="0052456E" w:rsidRDefault="00FE1A9F" w:rsidP="00FE1A9F">
            <w:pPr>
              <w:rPr>
                <w:rFonts w:cs="Arial"/>
              </w:rPr>
            </w:pPr>
            <w:r>
              <w:rPr>
                <w:rFonts w:cs="Arial"/>
              </w:rPr>
              <w:t>MS-11</w:t>
            </w:r>
          </w:p>
        </w:tc>
        <w:tc>
          <w:tcPr>
            <w:tcW w:w="1134" w:type="dxa"/>
            <w:shd w:val="clear" w:color="auto" w:fill="FFFFFF" w:themeFill="background1"/>
          </w:tcPr>
          <w:p w14:paraId="625D8B68" w14:textId="32527F9A" w:rsidR="00FE1A9F" w:rsidRPr="00C2484D" w:rsidRDefault="00FE1A9F" w:rsidP="00FE1A9F">
            <w:pPr>
              <w:rPr>
                <w:rFonts w:cs="Arial"/>
              </w:rPr>
            </w:pPr>
            <w:r>
              <w:t>MCC-11</w:t>
            </w:r>
          </w:p>
        </w:tc>
        <w:tc>
          <w:tcPr>
            <w:tcW w:w="5811" w:type="dxa"/>
            <w:shd w:val="clear" w:color="auto" w:fill="FFFFFF" w:themeFill="background1"/>
          </w:tcPr>
          <w:p w14:paraId="0FCFD5F8" w14:textId="68FA38AF" w:rsidR="00FE1A9F" w:rsidRPr="0052456E" w:rsidRDefault="00FE1A9F" w:rsidP="00FE1A9F">
            <w:pPr>
              <w:rPr>
                <w:rFonts w:cs="Arial"/>
              </w:rPr>
            </w:pPr>
            <w:r w:rsidRPr="00C2484D">
              <w:rPr>
                <w:rFonts w:cs="Arial"/>
              </w:rPr>
              <w:t>Uspostava platforme za kružno gospodarstvo</w:t>
            </w:r>
          </w:p>
        </w:tc>
        <w:tc>
          <w:tcPr>
            <w:tcW w:w="1240" w:type="dxa"/>
            <w:shd w:val="clear" w:color="auto" w:fill="FFFFFF" w:themeFill="background1"/>
          </w:tcPr>
          <w:p w14:paraId="33505520" w14:textId="77777777" w:rsidR="00FE1A9F" w:rsidRPr="007145ED" w:rsidRDefault="00FE1A9F" w:rsidP="00FE1A9F">
            <w:pPr>
              <w:rPr>
                <w:rFonts w:cs="Arial"/>
              </w:rPr>
            </w:pPr>
            <w:r>
              <w:rPr>
                <w:rFonts w:cs="Arial"/>
              </w:rPr>
              <w:t>2,3,4,5</w:t>
            </w:r>
          </w:p>
        </w:tc>
      </w:tr>
      <w:tr w:rsidR="00FE1A9F" w14:paraId="3AF51330" w14:textId="77777777" w:rsidTr="005E4458">
        <w:tc>
          <w:tcPr>
            <w:tcW w:w="1101" w:type="dxa"/>
            <w:shd w:val="clear" w:color="auto" w:fill="FFFFFF" w:themeFill="background1"/>
          </w:tcPr>
          <w:p w14:paraId="1AAA88DF" w14:textId="08F842DE" w:rsidR="00FE1A9F" w:rsidRPr="007145ED" w:rsidRDefault="00FE1A9F" w:rsidP="00FE1A9F">
            <w:pPr>
              <w:rPr>
                <w:rFonts w:cs="Arial"/>
              </w:rPr>
            </w:pPr>
            <w:r>
              <w:rPr>
                <w:rFonts w:cs="Arial"/>
              </w:rPr>
              <w:t>MS-12</w:t>
            </w:r>
          </w:p>
        </w:tc>
        <w:tc>
          <w:tcPr>
            <w:tcW w:w="1134" w:type="dxa"/>
            <w:shd w:val="clear" w:color="auto" w:fill="FFFFFF" w:themeFill="background1"/>
          </w:tcPr>
          <w:p w14:paraId="19DC0F0D" w14:textId="21F5FF07" w:rsidR="00FE1A9F" w:rsidRPr="00C2484D" w:rsidRDefault="00FE1A9F" w:rsidP="00FE1A9F">
            <w:pPr>
              <w:rPr>
                <w:rFonts w:cs="Arial"/>
              </w:rPr>
            </w:pPr>
            <w:r>
              <w:t>MCC-12</w:t>
            </w:r>
          </w:p>
        </w:tc>
        <w:tc>
          <w:tcPr>
            <w:tcW w:w="5811" w:type="dxa"/>
            <w:shd w:val="clear" w:color="auto" w:fill="FFFFFF" w:themeFill="background1"/>
          </w:tcPr>
          <w:p w14:paraId="1B519B9F" w14:textId="7D03E7AF" w:rsidR="00FE1A9F" w:rsidRPr="007145ED" w:rsidRDefault="00FE1A9F" w:rsidP="00FE1A9F">
            <w:pPr>
              <w:rPr>
                <w:rFonts w:cs="Arial"/>
              </w:rPr>
            </w:pPr>
            <w:r w:rsidRPr="00C2484D">
              <w:rPr>
                <w:rFonts w:cs="Arial"/>
              </w:rPr>
              <w:t>Uspostava platforme za biogospodarstvo</w:t>
            </w:r>
          </w:p>
        </w:tc>
        <w:tc>
          <w:tcPr>
            <w:tcW w:w="1240" w:type="dxa"/>
            <w:shd w:val="clear" w:color="auto" w:fill="FFFFFF" w:themeFill="background1"/>
          </w:tcPr>
          <w:p w14:paraId="24CBD69D" w14:textId="641261E9" w:rsidR="00FE1A9F" w:rsidRPr="007145ED" w:rsidRDefault="00FE1A9F" w:rsidP="00FE1A9F">
            <w:pPr>
              <w:rPr>
                <w:rFonts w:cs="Arial"/>
              </w:rPr>
            </w:pPr>
            <w:r>
              <w:rPr>
                <w:rFonts w:cs="Arial"/>
              </w:rPr>
              <w:t>2,3,5</w:t>
            </w:r>
          </w:p>
        </w:tc>
      </w:tr>
      <w:tr w:rsidR="00FE1A9F" w14:paraId="25F26A8A" w14:textId="77777777" w:rsidTr="005E4458">
        <w:tc>
          <w:tcPr>
            <w:tcW w:w="1101" w:type="dxa"/>
            <w:shd w:val="clear" w:color="auto" w:fill="FFFFFF" w:themeFill="background1"/>
          </w:tcPr>
          <w:p w14:paraId="68705069" w14:textId="0D58BC7C" w:rsidR="00FE1A9F" w:rsidRDefault="00FE1A9F" w:rsidP="00FE1A9F">
            <w:pPr>
              <w:rPr>
                <w:rFonts w:cs="Arial"/>
              </w:rPr>
            </w:pPr>
            <w:r>
              <w:rPr>
                <w:rFonts w:cs="Arial"/>
              </w:rPr>
              <w:t>MS-13</w:t>
            </w:r>
          </w:p>
        </w:tc>
        <w:tc>
          <w:tcPr>
            <w:tcW w:w="1134" w:type="dxa"/>
            <w:shd w:val="clear" w:color="auto" w:fill="FFFFFF" w:themeFill="background1"/>
          </w:tcPr>
          <w:p w14:paraId="7552BD5B" w14:textId="01EAE6C0" w:rsidR="00FE1A9F" w:rsidRPr="00D41983" w:rsidRDefault="00FE1A9F" w:rsidP="00FE1A9F">
            <w:pPr>
              <w:rPr>
                <w:rFonts w:cs="Arial"/>
              </w:rPr>
            </w:pPr>
            <w:r>
              <w:rPr>
                <w:rFonts w:cs="Arial"/>
              </w:rPr>
              <w:t>MCC-13</w:t>
            </w:r>
          </w:p>
        </w:tc>
        <w:tc>
          <w:tcPr>
            <w:tcW w:w="5811" w:type="dxa"/>
            <w:shd w:val="clear" w:color="auto" w:fill="FFFFFF" w:themeFill="background1"/>
          </w:tcPr>
          <w:p w14:paraId="37C9B066" w14:textId="2A0DFA94" w:rsidR="00FE1A9F" w:rsidRPr="00C2484D" w:rsidRDefault="00FE1A9F" w:rsidP="00FE1A9F">
            <w:pPr>
              <w:rPr>
                <w:rFonts w:cs="Arial"/>
              </w:rPr>
            </w:pPr>
            <w:r w:rsidRPr="00D41983">
              <w:rPr>
                <w:rFonts w:cs="Arial"/>
              </w:rPr>
              <w:t>Uspostava platforme za tehnologiju vodika</w:t>
            </w:r>
          </w:p>
        </w:tc>
        <w:tc>
          <w:tcPr>
            <w:tcW w:w="1240" w:type="dxa"/>
            <w:shd w:val="clear" w:color="auto" w:fill="FFFFFF" w:themeFill="background1"/>
          </w:tcPr>
          <w:p w14:paraId="4F81143E" w14:textId="4DCB550A" w:rsidR="00FE1A9F" w:rsidRDefault="00FE1A9F" w:rsidP="00FE1A9F">
            <w:pPr>
              <w:rPr>
                <w:rFonts w:cs="Arial"/>
              </w:rPr>
            </w:pPr>
            <w:r>
              <w:rPr>
                <w:rFonts w:cs="Arial"/>
              </w:rPr>
              <w:t>3,5</w:t>
            </w:r>
          </w:p>
        </w:tc>
      </w:tr>
      <w:tr w:rsidR="00FE1A9F" w14:paraId="53A6E3DB" w14:textId="5750B0BD" w:rsidTr="005E4458">
        <w:tc>
          <w:tcPr>
            <w:tcW w:w="1101" w:type="dxa"/>
            <w:shd w:val="clear" w:color="auto" w:fill="FFFFFF" w:themeFill="background1"/>
          </w:tcPr>
          <w:p w14:paraId="3B89F8AC" w14:textId="6C95E005" w:rsidR="00FE1A9F" w:rsidRPr="007145ED" w:rsidRDefault="00FE1A9F" w:rsidP="00FE1A9F">
            <w:r w:rsidRPr="007145ED">
              <w:rPr>
                <w:rFonts w:cs="Arial"/>
              </w:rPr>
              <w:t>IP-1</w:t>
            </w:r>
          </w:p>
        </w:tc>
        <w:tc>
          <w:tcPr>
            <w:tcW w:w="1134" w:type="dxa"/>
            <w:shd w:val="clear" w:color="auto" w:fill="FFFFFF" w:themeFill="background1"/>
          </w:tcPr>
          <w:p w14:paraId="72CEAA05" w14:textId="036896CC" w:rsidR="00FE1A9F" w:rsidRPr="003C6088" w:rsidRDefault="00FE1A9F" w:rsidP="00FE1A9F">
            <w:pPr>
              <w:rPr>
                <w:rFonts w:cs="Arial"/>
              </w:rPr>
            </w:pPr>
            <w:r w:rsidRPr="00C6228A">
              <w:rPr>
                <w:rFonts w:cs="Arial"/>
              </w:rPr>
              <w:t>MIP-1</w:t>
            </w:r>
          </w:p>
        </w:tc>
        <w:tc>
          <w:tcPr>
            <w:tcW w:w="5811" w:type="dxa"/>
            <w:shd w:val="clear" w:color="auto" w:fill="FFFFFF" w:themeFill="background1"/>
            <w:vAlign w:val="top"/>
          </w:tcPr>
          <w:p w14:paraId="37159FF9" w14:textId="79C85870" w:rsidR="00FE1A9F" w:rsidRPr="007145ED" w:rsidRDefault="00FE1A9F" w:rsidP="00FE1A9F">
            <w:r w:rsidRPr="00C33CFA">
              <w:t>Smanjenje udjela klinkera u proizvodnji cementa</w:t>
            </w:r>
          </w:p>
        </w:tc>
        <w:tc>
          <w:tcPr>
            <w:tcW w:w="1240" w:type="dxa"/>
            <w:shd w:val="clear" w:color="auto" w:fill="FFFFFF" w:themeFill="background1"/>
          </w:tcPr>
          <w:p w14:paraId="2BBAE83B" w14:textId="77777777" w:rsidR="00FE1A9F" w:rsidRPr="007145ED" w:rsidRDefault="00FE1A9F" w:rsidP="00FE1A9F">
            <w:pPr>
              <w:rPr>
                <w:rFonts w:cs="Arial"/>
              </w:rPr>
            </w:pPr>
          </w:p>
        </w:tc>
      </w:tr>
      <w:tr w:rsidR="00FE1A9F" w14:paraId="587C9D27" w14:textId="38854610" w:rsidTr="005E4458">
        <w:tc>
          <w:tcPr>
            <w:tcW w:w="1101" w:type="dxa"/>
            <w:shd w:val="clear" w:color="auto" w:fill="FFFFFF" w:themeFill="background1"/>
          </w:tcPr>
          <w:p w14:paraId="67E7C489" w14:textId="429EB53A" w:rsidR="00FE1A9F" w:rsidRPr="00C6228A" w:rsidRDefault="00FE1A9F" w:rsidP="00FE1A9F">
            <w:r w:rsidRPr="00C6228A">
              <w:rPr>
                <w:rFonts w:cs="Arial"/>
              </w:rPr>
              <w:t>IP-2</w:t>
            </w:r>
          </w:p>
        </w:tc>
        <w:tc>
          <w:tcPr>
            <w:tcW w:w="1134" w:type="dxa"/>
            <w:shd w:val="clear" w:color="auto" w:fill="FFFFFF" w:themeFill="background1"/>
          </w:tcPr>
          <w:p w14:paraId="06154D53" w14:textId="2FE2DB22" w:rsidR="00FE1A9F" w:rsidRPr="00840E2E" w:rsidRDefault="00FE1A9F" w:rsidP="00FE1A9F">
            <w:pPr>
              <w:rPr>
                <w:rFonts w:cs="Arial"/>
              </w:rPr>
            </w:pPr>
            <w:r w:rsidRPr="00840E2E">
              <w:rPr>
                <w:rFonts w:cs="Arial"/>
              </w:rPr>
              <w:t>MIP</w:t>
            </w:r>
            <w:r>
              <w:rPr>
                <w:rFonts w:cs="Arial"/>
              </w:rPr>
              <w:t>-2</w:t>
            </w:r>
          </w:p>
        </w:tc>
        <w:tc>
          <w:tcPr>
            <w:tcW w:w="5811" w:type="dxa"/>
            <w:shd w:val="clear" w:color="auto" w:fill="FFFFFF" w:themeFill="background1"/>
            <w:vAlign w:val="top"/>
          </w:tcPr>
          <w:p w14:paraId="416B9D41" w14:textId="3A1674C5" w:rsidR="00FE1A9F" w:rsidRPr="00840E2E" w:rsidRDefault="00FE1A9F" w:rsidP="00FE1A9F">
            <w:pPr>
              <w:rPr>
                <w:highlight w:val="yellow"/>
              </w:rPr>
            </w:pPr>
            <w:r w:rsidRPr="00C33CFA">
              <w:t>Ograničavanje emisija fl</w:t>
            </w:r>
            <w:r>
              <w:t>uo</w:t>
            </w:r>
            <w:r w:rsidRPr="00C33CFA">
              <w:t xml:space="preserve">riranih stakleničkih plinova </w:t>
            </w:r>
          </w:p>
        </w:tc>
        <w:tc>
          <w:tcPr>
            <w:tcW w:w="1240" w:type="dxa"/>
            <w:shd w:val="clear" w:color="auto" w:fill="FFFFFF" w:themeFill="background1"/>
          </w:tcPr>
          <w:p w14:paraId="3FB7759E" w14:textId="1AECB09D" w:rsidR="00FE1A9F" w:rsidRPr="007145ED" w:rsidRDefault="00FE1A9F" w:rsidP="00FE1A9F">
            <w:pPr>
              <w:rPr>
                <w:rFonts w:cs="Arial"/>
              </w:rPr>
            </w:pPr>
          </w:p>
        </w:tc>
      </w:tr>
      <w:tr w:rsidR="00FE1A9F" w14:paraId="5FD63083" w14:textId="0739EE51" w:rsidTr="005E4458">
        <w:tc>
          <w:tcPr>
            <w:tcW w:w="1101" w:type="dxa"/>
            <w:shd w:val="clear" w:color="auto" w:fill="FFFFFF" w:themeFill="background1"/>
          </w:tcPr>
          <w:p w14:paraId="0C7534F3" w14:textId="07AC4BFE" w:rsidR="00FE1A9F" w:rsidRPr="00C6228A" w:rsidRDefault="00FE1A9F" w:rsidP="00FE1A9F">
            <w:r w:rsidRPr="00C6228A">
              <w:rPr>
                <w:rFonts w:cs="Arial"/>
              </w:rPr>
              <w:t>IP-3</w:t>
            </w:r>
          </w:p>
        </w:tc>
        <w:tc>
          <w:tcPr>
            <w:tcW w:w="1134" w:type="dxa"/>
            <w:shd w:val="clear" w:color="auto" w:fill="FFFFFF" w:themeFill="background1"/>
          </w:tcPr>
          <w:p w14:paraId="67AC5F76" w14:textId="0D60EB2B" w:rsidR="00FE1A9F" w:rsidRPr="00840E2E" w:rsidRDefault="00FE1A9F" w:rsidP="00FE1A9F">
            <w:pPr>
              <w:rPr>
                <w:rFonts w:cs="Arial"/>
              </w:rPr>
            </w:pPr>
            <w:r>
              <w:rPr>
                <w:rFonts w:cs="Arial"/>
              </w:rPr>
              <w:t>MIP-3</w:t>
            </w:r>
          </w:p>
        </w:tc>
        <w:tc>
          <w:tcPr>
            <w:tcW w:w="5811" w:type="dxa"/>
            <w:shd w:val="clear" w:color="auto" w:fill="FFFFFF" w:themeFill="background1"/>
            <w:vAlign w:val="top"/>
          </w:tcPr>
          <w:p w14:paraId="077CF52B" w14:textId="58995AEC" w:rsidR="00FE1A9F" w:rsidRPr="00840E2E" w:rsidRDefault="00FE1A9F" w:rsidP="00FE1A9F">
            <w:pPr>
              <w:rPr>
                <w:highlight w:val="yellow"/>
              </w:rPr>
            </w:pPr>
            <w:r w:rsidRPr="00C33CFA">
              <w:t>Postupno smanjenje količine fluorougljikovodika koj</w:t>
            </w:r>
            <w:r>
              <w:t>a</w:t>
            </w:r>
            <w:r w:rsidRPr="00C33CFA">
              <w:t xml:space="preserve"> se mo</w:t>
            </w:r>
            <w:r>
              <w:t>že</w:t>
            </w:r>
            <w:r w:rsidRPr="00C33CFA">
              <w:t xml:space="preserve"> stavljati na tržište</w:t>
            </w:r>
          </w:p>
        </w:tc>
        <w:tc>
          <w:tcPr>
            <w:tcW w:w="1240" w:type="dxa"/>
            <w:shd w:val="clear" w:color="auto" w:fill="FFFFFF" w:themeFill="background1"/>
          </w:tcPr>
          <w:p w14:paraId="0044F9E2" w14:textId="77777777" w:rsidR="00FE1A9F" w:rsidRPr="007145ED" w:rsidRDefault="00FE1A9F" w:rsidP="00FE1A9F">
            <w:pPr>
              <w:rPr>
                <w:rFonts w:cs="Arial"/>
              </w:rPr>
            </w:pPr>
          </w:p>
        </w:tc>
      </w:tr>
      <w:tr w:rsidR="00FE1A9F" w14:paraId="681ECA03" w14:textId="15DE224F" w:rsidTr="005E4458">
        <w:tc>
          <w:tcPr>
            <w:tcW w:w="1101" w:type="dxa"/>
            <w:shd w:val="clear" w:color="auto" w:fill="FFFFFF" w:themeFill="background1"/>
          </w:tcPr>
          <w:p w14:paraId="602A0E45" w14:textId="2F6C2ED9" w:rsidR="00FE1A9F" w:rsidRPr="00C6228A" w:rsidRDefault="00FE1A9F" w:rsidP="00FE1A9F">
            <w:r w:rsidRPr="00C6228A">
              <w:rPr>
                <w:rFonts w:cs="Arial"/>
              </w:rPr>
              <w:t>IP-4</w:t>
            </w:r>
          </w:p>
        </w:tc>
        <w:tc>
          <w:tcPr>
            <w:tcW w:w="1134" w:type="dxa"/>
            <w:shd w:val="clear" w:color="auto" w:fill="FFFFFF" w:themeFill="background1"/>
          </w:tcPr>
          <w:p w14:paraId="5493F681" w14:textId="253403E3" w:rsidR="00FE1A9F" w:rsidRPr="00840E2E" w:rsidRDefault="00FE1A9F" w:rsidP="00FE1A9F">
            <w:pPr>
              <w:rPr>
                <w:rFonts w:cs="Arial"/>
              </w:rPr>
            </w:pPr>
            <w:r>
              <w:rPr>
                <w:rFonts w:cs="Arial"/>
              </w:rPr>
              <w:t>MIP-4</w:t>
            </w:r>
          </w:p>
        </w:tc>
        <w:tc>
          <w:tcPr>
            <w:tcW w:w="5811" w:type="dxa"/>
            <w:shd w:val="clear" w:color="auto" w:fill="FFFFFF" w:themeFill="background1"/>
            <w:vAlign w:val="top"/>
          </w:tcPr>
          <w:p w14:paraId="48726879" w14:textId="154254B1" w:rsidR="00FE1A9F" w:rsidRPr="00840E2E" w:rsidRDefault="00FE1A9F" w:rsidP="00FE1A9F">
            <w:pPr>
              <w:rPr>
                <w:highlight w:val="yellow"/>
              </w:rPr>
            </w:pPr>
            <w:r w:rsidRPr="00C33CFA">
              <w:t>Ograničenja i zabrana stavljanja na tržište određenih proizvoda i opreme</w:t>
            </w:r>
          </w:p>
        </w:tc>
        <w:tc>
          <w:tcPr>
            <w:tcW w:w="1240" w:type="dxa"/>
            <w:shd w:val="clear" w:color="auto" w:fill="FFFFFF" w:themeFill="background1"/>
          </w:tcPr>
          <w:p w14:paraId="6095F577" w14:textId="77777777" w:rsidR="00FE1A9F" w:rsidRPr="007145ED" w:rsidRDefault="00FE1A9F" w:rsidP="00FE1A9F">
            <w:pPr>
              <w:rPr>
                <w:rFonts w:cs="Arial"/>
              </w:rPr>
            </w:pPr>
          </w:p>
        </w:tc>
      </w:tr>
      <w:tr w:rsidR="00FE1A9F" w14:paraId="3598A145" w14:textId="60530DF8" w:rsidTr="005E4458">
        <w:tc>
          <w:tcPr>
            <w:tcW w:w="1101" w:type="dxa"/>
            <w:shd w:val="clear" w:color="auto" w:fill="FFFFFF" w:themeFill="background1"/>
          </w:tcPr>
          <w:p w14:paraId="6AA06F6A" w14:textId="24F866D5" w:rsidR="00FE1A9F" w:rsidRPr="00C6228A" w:rsidRDefault="00FE1A9F" w:rsidP="00FE1A9F">
            <w:r w:rsidRPr="00C6228A">
              <w:rPr>
                <w:rFonts w:cs="Arial"/>
              </w:rPr>
              <w:t>IP-5</w:t>
            </w:r>
          </w:p>
        </w:tc>
        <w:tc>
          <w:tcPr>
            <w:tcW w:w="1134" w:type="dxa"/>
            <w:shd w:val="clear" w:color="auto" w:fill="FFFFFF" w:themeFill="background1"/>
          </w:tcPr>
          <w:p w14:paraId="0B4F675C" w14:textId="1BCD11E3" w:rsidR="00FE1A9F" w:rsidRPr="00840E2E" w:rsidRDefault="00FE1A9F" w:rsidP="00FE1A9F">
            <w:pPr>
              <w:rPr>
                <w:rFonts w:cs="Arial"/>
              </w:rPr>
            </w:pPr>
            <w:r>
              <w:rPr>
                <w:rFonts w:cs="Arial"/>
              </w:rPr>
              <w:t>MIP-5</w:t>
            </w:r>
          </w:p>
        </w:tc>
        <w:tc>
          <w:tcPr>
            <w:tcW w:w="5811" w:type="dxa"/>
            <w:shd w:val="clear" w:color="auto" w:fill="FFFFFF" w:themeFill="background1"/>
            <w:vAlign w:val="top"/>
          </w:tcPr>
          <w:p w14:paraId="27DF1E42" w14:textId="2CB7D54E" w:rsidR="00FE1A9F" w:rsidRPr="00840E2E" w:rsidRDefault="00FE1A9F" w:rsidP="00FE1A9F">
            <w:pPr>
              <w:rPr>
                <w:highlight w:val="yellow"/>
              </w:rPr>
            </w:pPr>
            <w:r w:rsidRPr="00C33CFA">
              <w:t>Smanjenje emisija fluoriranih stakleničkih plinova iz mobilnih sustava za klimatiziranje</w:t>
            </w:r>
          </w:p>
        </w:tc>
        <w:tc>
          <w:tcPr>
            <w:tcW w:w="1240" w:type="dxa"/>
            <w:shd w:val="clear" w:color="auto" w:fill="FFFFFF" w:themeFill="background1"/>
          </w:tcPr>
          <w:p w14:paraId="269048F8" w14:textId="77777777" w:rsidR="00FE1A9F" w:rsidRPr="007145ED" w:rsidRDefault="00FE1A9F" w:rsidP="00FE1A9F">
            <w:pPr>
              <w:rPr>
                <w:rFonts w:cs="Arial"/>
              </w:rPr>
            </w:pPr>
          </w:p>
        </w:tc>
      </w:tr>
      <w:tr w:rsidR="00FE1A9F" w14:paraId="24E652A2" w14:textId="653E808F" w:rsidTr="005E4458">
        <w:tc>
          <w:tcPr>
            <w:tcW w:w="1101" w:type="dxa"/>
            <w:shd w:val="clear" w:color="auto" w:fill="FFFFFF" w:themeFill="background1"/>
          </w:tcPr>
          <w:p w14:paraId="32059A2D" w14:textId="6F2DC462" w:rsidR="00FE1A9F" w:rsidRPr="007145ED" w:rsidRDefault="00FE1A9F" w:rsidP="00FE1A9F">
            <w:r w:rsidRPr="007145ED">
              <w:rPr>
                <w:rFonts w:cs="Arial"/>
              </w:rPr>
              <w:t>GO-1</w:t>
            </w:r>
          </w:p>
        </w:tc>
        <w:tc>
          <w:tcPr>
            <w:tcW w:w="1134" w:type="dxa"/>
            <w:shd w:val="clear" w:color="auto" w:fill="FFFFFF" w:themeFill="background1"/>
          </w:tcPr>
          <w:p w14:paraId="74BDC132" w14:textId="32299253" w:rsidR="00FE1A9F" w:rsidRPr="007145ED" w:rsidRDefault="00FE1A9F" w:rsidP="00FE1A9F">
            <w:pPr>
              <w:rPr>
                <w:rFonts w:cs="Arial"/>
              </w:rPr>
            </w:pPr>
            <w:r>
              <w:rPr>
                <w:rFonts w:cs="Arial"/>
              </w:rPr>
              <w:t>MWM-1</w:t>
            </w:r>
          </w:p>
        </w:tc>
        <w:tc>
          <w:tcPr>
            <w:tcW w:w="5811" w:type="dxa"/>
            <w:shd w:val="clear" w:color="auto" w:fill="FFFFFF" w:themeFill="background1"/>
          </w:tcPr>
          <w:p w14:paraId="1BF86FD0" w14:textId="0364AE21" w:rsidR="00FE1A9F" w:rsidRPr="007145ED" w:rsidRDefault="00FE1A9F" w:rsidP="00FE1A9F">
            <w:r w:rsidRPr="007145ED">
              <w:rPr>
                <w:rFonts w:cs="Arial"/>
              </w:rPr>
              <w:t>Sprječavanje nastajanja i smanjivanje količine krutog otpada</w:t>
            </w:r>
          </w:p>
        </w:tc>
        <w:tc>
          <w:tcPr>
            <w:tcW w:w="1240" w:type="dxa"/>
            <w:shd w:val="clear" w:color="auto" w:fill="FFFFFF" w:themeFill="background1"/>
          </w:tcPr>
          <w:p w14:paraId="4F9A7E04" w14:textId="77777777" w:rsidR="00FE1A9F" w:rsidRPr="007145ED" w:rsidRDefault="00FE1A9F" w:rsidP="00FE1A9F">
            <w:pPr>
              <w:rPr>
                <w:rFonts w:cs="Arial"/>
              </w:rPr>
            </w:pPr>
          </w:p>
        </w:tc>
      </w:tr>
      <w:tr w:rsidR="00FE1A9F" w14:paraId="25C75091" w14:textId="654F06D7" w:rsidTr="005E4458">
        <w:tc>
          <w:tcPr>
            <w:tcW w:w="1101" w:type="dxa"/>
            <w:shd w:val="clear" w:color="auto" w:fill="FFFFFF" w:themeFill="background1"/>
          </w:tcPr>
          <w:p w14:paraId="36AE4E00" w14:textId="77CC9CC1" w:rsidR="00FE1A9F" w:rsidRPr="007145ED" w:rsidRDefault="00FE1A9F" w:rsidP="00FE1A9F">
            <w:r w:rsidRPr="007145ED">
              <w:rPr>
                <w:rFonts w:cs="Arial"/>
              </w:rPr>
              <w:t>GO-2</w:t>
            </w:r>
          </w:p>
        </w:tc>
        <w:tc>
          <w:tcPr>
            <w:tcW w:w="1134" w:type="dxa"/>
            <w:shd w:val="clear" w:color="auto" w:fill="FFFFFF" w:themeFill="background1"/>
          </w:tcPr>
          <w:p w14:paraId="4449041B" w14:textId="0365C473" w:rsidR="00FE1A9F" w:rsidRPr="007145ED" w:rsidRDefault="00FE1A9F" w:rsidP="00FE1A9F">
            <w:pPr>
              <w:rPr>
                <w:rFonts w:cs="Arial"/>
              </w:rPr>
            </w:pPr>
            <w:r>
              <w:rPr>
                <w:rFonts w:cs="Arial"/>
              </w:rPr>
              <w:t>MWM-2</w:t>
            </w:r>
          </w:p>
        </w:tc>
        <w:tc>
          <w:tcPr>
            <w:tcW w:w="5811" w:type="dxa"/>
            <w:shd w:val="clear" w:color="auto" w:fill="FFFFFF" w:themeFill="background1"/>
          </w:tcPr>
          <w:p w14:paraId="57F32460" w14:textId="5594817F" w:rsidR="00FE1A9F" w:rsidRPr="007145ED" w:rsidRDefault="00FE1A9F" w:rsidP="00FE1A9F">
            <w:r w:rsidRPr="007145ED">
              <w:rPr>
                <w:rFonts w:cs="Arial"/>
              </w:rPr>
              <w:t>Povećanje količine odvojeno skupljenog i recikliranog krutog otpada</w:t>
            </w:r>
          </w:p>
        </w:tc>
        <w:tc>
          <w:tcPr>
            <w:tcW w:w="1240" w:type="dxa"/>
            <w:shd w:val="clear" w:color="auto" w:fill="FFFFFF" w:themeFill="background1"/>
          </w:tcPr>
          <w:p w14:paraId="02B7BC23" w14:textId="77777777" w:rsidR="00FE1A9F" w:rsidRPr="007145ED" w:rsidRDefault="00FE1A9F" w:rsidP="00FE1A9F">
            <w:pPr>
              <w:rPr>
                <w:rFonts w:cs="Arial"/>
              </w:rPr>
            </w:pPr>
          </w:p>
        </w:tc>
      </w:tr>
      <w:tr w:rsidR="00FE1A9F" w14:paraId="4B47E17E" w14:textId="4B2BD036" w:rsidTr="005E4458">
        <w:tc>
          <w:tcPr>
            <w:tcW w:w="1101" w:type="dxa"/>
            <w:shd w:val="clear" w:color="auto" w:fill="FFFFFF" w:themeFill="background1"/>
          </w:tcPr>
          <w:p w14:paraId="1C3ADABB" w14:textId="4A649169" w:rsidR="00FE1A9F" w:rsidRPr="007145ED" w:rsidRDefault="00FE1A9F" w:rsidP="00FE1A9F">
            <w:pPr>
              <w:rPr>
                <w:rFonts w:cs="Arial"/>
              </w:rPr>
            </w:pPr>
            <w:r w:rsidRPr="007145ED">
              <w:rPr>
                <w:rFonts w:cs="Arial"/>
              </w:rPr>
              <w:lastRenderedPageBreak/>
              <w:t>GO-3</w:t>
            </w:r>
          </w:p>
        </w:tc>
        <w:tc>
          <w:tcPr>
            <w:tcW w:w="1134" w:type="dxa"/>
            <w:shd w:val="clear" w:color="auto" w:fill="FFFFFF" w:themeFill="background1"/>
          </w:tcPr>
          <w:p w14:paraId="5D38D556" w14:textId="4BB21D54" w:rsidR="00FE1A9F" w:rsidRPr="007145ED" w:rsidRDefault="00FE1A9F" w:rsidP="00FE1A9F">
            <w:pPr>
              <w:rPr>
                <w:rFonts w:cs="Arial"/>
              </w:rPr>
            </w:pPr>
            <w:r>
              <w:rPr>
                <w:rFonts w:cs="Arial"/>
              </w:rPr>
              <w:t>MWM-3</w:t>
            </w:r>
          </w:p>
        </w:tc>
        <w:tc>
          <w:tcPr>
            <w:tcW w:w="5811" w:type="dxa"/>
            <w:shd w:val="clear" w:color="auto" w:fill="FFFFFF" w:themeFill="background1"/>
          </w:tcPr>
          <w:p w14:paraId="18E60483" w14:textId="49FD7424" w:rsidR="00FE1A9F" w:rsidRPr="007145ED" w:rsidRDefault="00FE1A9F" w:rsidP="00FE1A9F">
            <w:pPr>
              <w:rPr>
                <w:rFonts w:cs="Arial"/>
              </w:rPr>
            </w:pPr>
            <w:r w:rsidRPr="00BA27EB">
              <w:rPr>
                <w:rFonts w:cs="Arial"/>
              </w:rPr>
              <w:t>Osiguravanje sustava obrade i korištenja odlagališnog plina</w:t>
            </w:r>
          </w:p>
        </w:tc>
        <w:tc>
          <w:tcPr>
            <w:tcW w:w="1240" w:type="dxa"/>
            <w:shd w:val="clear" w:color="auto" w:fill="FFFFFF" w:themeFill="background1"/>
          </w:tcPr>
          <w:p w14:paraId="0087CBF2" w14:textId="77777777" w:rsidR="00FE1A9F" w:rsidRPr="007145ED" w:rsidRDefault="00FE1A9F" w:rsidP="00FE1A9F">
            <w:pPr>
              <w:rPr>
                <w:rFonts w:cs="Arial"/>
              </w:rPr>
            </w:pPr>
          </w:p>
        </w:tc>
      </w:tr>
      <w:tr w:rsidR="00FE1A9F" w14:paraId="7340C93D" w14:textId="65408D35" w:rsidTr="005E4458">
        <w:tc>
          <w:tcPr>
            <w:tcW w:w="1101" w:type="dxa"/>
            <w:shd w:val="clear" w:color="auto" w:fill="FFFFFF" w:themeFill="background1"/>
          </w:tcPr>
          <w:p w14:paraId="1BDA9309" w14:textId="6079C62F" w:rsidR="00FE1A9F" w:rsidRPr="007145ED" w:rsidRDefault="00FE1A9F" w:rsidP="00FE1A9F">
            <w:pPr>
              <w:rPr>
                <w:rFonts w:cs="Arial"/>
              </w:rPr>
            </w:pPr>
            <w:r w:rsidRPr="007145ED">
              <w:rPr>
                <w:rFonts w:cs="Arial"/>
              </w:rPr>
              <w:t>GO-4</w:t>
            </w:r>
          </w:p>
        </w:tc>
        <w:tc>
          <w:tcPr>
            <w:tcW w:w="1134" w:type="dxa"/>
            <w:shd w:val="clear" w:color="auto" w:fill="FFFFFF" w:themeFill="background1"/>
          </w:tcPr>
          <w:p w14:paraId="5765E026" w14:textId="0F5DDC17" w:rsidR="00FE1A9F" w:rsidRPr="007145ED" w:rsidRDefault="00FE1A9F" w:rsidP="00FE1A9F">
            <w:pPr>
              <w:rPr>
                <w:rFonts w:cs="Arial"/>
              </w:rPr>
            </w:pPr>
            <w:r>
              <w:rPr>
                <w:rFonts w:cs="Arial"/>
              </w:rPr>
              <w:t>MWM-4</w:t>
            </w:r>
          </w:p>
        </w:tc>
        <w:tc>
          <w:tcPr>
            <w:tcW w:w="5811" w:type="dxa"/>
            <w:shd w:val="clear" w:color="auto" w:fill="FFFFFF" w:themeFill="background1"/>
          </w:tcPr>
          <w:p w14:paraId="2B478EDF" w14:textId="1B5D5EB9" w:rsidR="00FE1A9F" w:rsidRPr="007145ED" w:rsidRDefault="00FE1A9F" w:rsidP="00FE1A9F">
            <w:pPr>
              <w:rPr>
                <w:rFonts w:cs="Arial"/>
              </w:rPr>
            </w:pPr>
            <w:r w:rsidRPr="007145ED">
              <w:rPr>
                <w:rFonts w:cs="Arial"/>
              </w:rPr>
              <w:t>Smanjenje količine odloženog biorazgradivog otpada</w:t>
            </w:r>
          </w:p>
        </w:tc>
        <w:tc>
          <w:tcPr>
            <w:tcW w:w="1240" w:type="dxa"/>
            <w:shd w:val="clear" w:color="auto" w:fill="FFFFFF" w:themeFill="background1"/>
          </w:tcPr>
          <w:p w14:paraId="5844FA7A" w14:textId="77777777" w:rsidR="00FE1A9F" w:rsidRPr="007145ED" w:rsidRDefault="00FE1A9F" w:rsidP="00FE1A9F">
            <w:pPr>
              <w:rPr>
                <w:rFonts w:cs="Arial"/>
              </w:rPr>
            </w:pPr>
          </w:p>
        </w:tc>
      </w:tr>
      <w:tr w:rsidR="00FE1A9F" w14:paraId="58B78E03" w14:textId="05B761A8" w:rsidTr="005E4458">
        <w:tc>
          <w:tcPr>
            <w:tcW w:w="1101" w:type="dxa"/>
            <w:shd w:val="clear" w:color="auto" w:fill="FFFFFF" w:themeFill="background1"/>
          </w:tcPr>
          <w:p w14:paraId="540F1214" w14:textId="06CC1198" w:rsidR="00FE1A9F" w:rsidRPr="007145ED" w:rsidRDefault="00FE1A9F" w:rsidP="00FE1A9F">
            <w:pPr>
              <w:rPr>
                <w:rFonts w:cs="Arial"/>
              </w:rPr>
            </w:pPr>
            <w:r w:rsidRPr="007145ED">
              <w:rPr>
                <w:rFonts w:cs="Arial"/>
              </w:rPr>
              <w:t>GO-5</w:t>
            </w:r>
          </w:p>
        </w:tc>
        <w:tc>
          <w:tcPr>
            <w:tcW w:w="1134" w:type="dxa"/>
            <w:shd w:val="clear" w:color="auto" w:fill="FFFFFF" w:themeFill="background1"/>
          </w:tcPr>
          <w:p w14:paraId="56B85A77" w14:textId="531A63BE" w:rsidR="00FE1A9F" w:rsidRPr="007145ED" w:rsidRDefault="00FE1A9F" w:rsidP="00FE1A9F">
            <w:pPr>
              <w:rPr>
                <w:rFonts w:cs="Arial"/>
              </w:rPr>
            </w:pPr>
            <w:r>
              <w:rPr>
                <w:rFonts w:cs="Arial"/>
              </w:rPr>
              <w:t>MWM-5</w:t>
            </w:r>
          </w:p>
        </w:tc>
        <w:tc>
          <w:tcPr>
            <w:tcW w:w="5811" w:type="dxa"/>
            <w:shd w:val="clear" w:color="auto" w:fill="FFFFFF" w:themeFill="background1"/>
          </w:tcPr>
          <w:p w14:paraId="613566D9" w14:textId="40E9719D" w:rsidR="00FE1A9F" w:rsidRPr="007145ED" w:rsidRDefault="00FE1A9F" w:rsidP="00FE1A9F">
            <w:pPr>
              <w:rPr>
                <w:rFonts w:cs="Arial"/>
              </w:rPr>
            </w:pPr>
            <w:r w:rsidRPr="007145ED">
              <w:rPr>
                <w:rFonts w:cs="Arial"/>
              </w:rPr>
              <w:t>Korištenje bioplina za proizvodnju</w:t>
            </w:r>
            <w:r>
              <w:rPr>
                <w:rFonts w:cs="Arial"/>
              </w:rPr>
              <w:t xml:space="preserve"> biometana,</w:t>
            </w:r>
            <w:r w:rsidRPr="007145ED">
              <w:rPr>
                <w:rFonts w:cs="Arial"/>
              </w:rPr>
              <w:t xml:space="preserve"> električne energije i topline</w:t>
            </w:r>
          </w:p>
        </w:tc>
        <w:tc>
          <w:tcPr>
            <w:tcW w:w="1240" w:type="dxa"/>
            <w:shd w:val="clear" w:color="auto" w:fill="FFFFFF" w:themeFill="background1"/>
          </w:tcPr>
          <w:p w14:paraId="0B5AB421" w14:textId="77777777" w:rsidR="00FE1A9F" w:rsidRPr="007145ED" w:rsidRDefault="00FE1A9F" w:rsidP="00FE1A9F">
            <w:pPr>
              <w:rPr>
                <w:rFonts w:cs="Arial"/>
              </w:rPr>
            </w:pPr>
          </w:p>
        </w:tc>
      </w:tr>
      <w:tr w:rsidR="00FE1A9F" w14:paraId="15A42D9C" w14:textId="6FAA82D3" w:rsidTr="005E4458">
        <w:tc>
          <w:tcPr>
            <w:tcW w:w="1101" w:type="dxa"/>
            <w:shd w:val="clear" w:color="auto" w:fill="FFFFFF" w:themeFill="background1"/>
          </w:tcPr>
          <w:p w14:paraId="3C142531" w14:textId="5C30915C" w:rsidR="00FE1A9F" w:rsidRPr="00441ACC" w:rsidRDefault="00FE1A9F" w:rsidP="00FE1A9F">
            <w:pPr>
              <w:rPr>
                <w:rFonts w:cs="Arial"/>
              </w:rPr>
            </w:pPr>
            <w:r w:rsidRPr="00441ACC">
              <w:rPr>
                <w:rFonts w:cs="Arial"/>
              </w:rPr>
              <w:t>POLJ-1</w:t>
            </w:r>
          </w:p>
        </w:tc>
        <w:tc>
          <w:tcPr>
            <w:tcW w:w="1134" w:type="dxa"/>
            <w:shd w:val="clear" w:color="auto" w:fill="FFFFFF" w:themeFill="background1"/>
          </w:tcPr>
          <w:p w14:paraId="1866FDBF" w14:textId="5CB92FAD" w:rsidR="00FE1A9F" w:rsidRPr="00441ACC" w:rsidRDefault="00FE1A9F" w:rsidP="00FE1A9F">
            <w:pPr>
              <w:rPr>
                <w:rFonts w:cs="Arial"/>
              </w:rPr>
            </w:pPr>
            <w:r w:rsidRPr="00441ACC">
              <w:rPr>
                <w:rFonts w:cs="Arial"/>
              </w:rPr>
              <w:t>MAG-1</w:t>
            </w:r>
          </w:p>
        </w:tc>
        <w:tc>
          <w:tcPr>
            <w:tcW w:w="5811" w:type="dxa"/>
            <w:shd w:val="clear" w:color="auto" w:fill="FFFFFF" w:themeFill="background1"/>
          </w:tcPr>
          <w:p w14:paraId="6BE39A52" w14:textId="57093C9B" w:rsidR="00FE1A9F" w:rsidRPr="007145ED" w:rsidRDefault="00FE1A9F" w:rsidP="00FE1A9F">
            <w:pPr>
              <w:rPr>
                <w:rFonts w:cs="Arial"/>
              </w:rPr>
            </w:pPr>
            <w:r w:rsidRPr="00602568">
              <w:rPr>
                <w:rFonts w:cs="Arial"/>
              </w:rPr>
              <w:t>Promjena u prehrani goveda i svinja i kvaliteta stočne hrane</w:t>
            </w:r>
          </w:p>
        </w:tc>
        <w:tc>
          <w:tcPr>
            <w:tcW w:w="1240" w:type="dxa"/>
            <w:shd w:val="clear" w:color="auto" w:fill="FFFFFF" w:themeFill="background1"/>
          </w:tcPr>
          <w:p w14:paraId="22BA4F76" w14:textId="77777777" w:rsidR="00FE1A9F" w:rsidRPr="007145ED" w:rsidRDefault="00FE1A9F" w:rsidP="00FE1A9F">
            <w:pPr>
              <w:rPr>
                <w:rFonts w:cs="Arial"/>
              </w:rPr>
            </w:pPr>
          </w:p>
        </w:tc>
      </w:tr>
      <w:tr w:rsidR="00FE1A9F" w14:paraId="545BFBEA" w14:textId="77777777" w:rsidTr="005E4458">
        <w:tc>
          <w:tcPr>
            <w:tcW w:w="1101" w:type="dxa"/>
            <w:shd w:val="clear" w:color="auto" w:fill="FFFFFF" w:themeFill="background1"/>
          </w:tcPr>
          <w:p w14:paraId="2CBB12ED" w14:textId="71D4967E" w:rsidR="00FE1A9F" w:rsidRPr="00840E2E" w:rsidRDefault="00FE1A9F" w:rsidP="00FE1A9F">
            <w:pPr>
              <w:rPr>
                <w:rFonts w:cs="Arial"/>
              </w:rPr>
            </w:pPr>
            <w:r w:rsidRPr="00840E2E">
              <w:rPr>
                <w:rFonts w:cs="Arial"/>
              </w:rPr>
              <w:t>POLJ-2</w:t>
            </w:r>
          </w:p>
        </w:tc>
        <w:tc>
          <w:tcPr>
            <w:tcW w:w="1134" w:type="dxa"/>
            <w:shd w:val="clear" w:color="auto" w:fill="FFFFFF" w:themeFill="background1"/>
          </w:tcPr>
          <w:p w14:paraId="1FD1CD90" w14:textId="02F14074" w:rsidR="00FE1A9F" w:rsidRPr="00441ACC" w:rsidRDefault="00FE1A9F" w:rsidP="00FE1A9F">
            <w:pPr>
              <w:rPr>
                <w:rFonts w:cs="Arial"/>
              </w:rPr>
            </w:pPr>
            <w:r w:rsidRPr="00441ACC">
              <w:rPr>
                <w:rFonts w:cs="Arial"/>
              </w:rPr>
              <w:t>MAG-2</w:t>
            </w:r>
          </w:p>
        </w:tc>
        <w:tc>
          <w:tcPr>
            <w:tcW w:w="5811" w:type="dxa"/>
            <w:shd w:val="clear" w:color="auto" w:fill="FFFFFF" w:themeFill="background1"/>
          </w:tcPr>
          <w:p w14:paraId="4EC7E162" w14:textId="2270655B" w:rsidR="00FE1A9F" w:rsidRPr="007145ED" w:rsidRDefault="00FE1A9F" w:rsidP="00FE1A9F">
            <w:pPr>
              <w:rPr>
                <w:rFonts w:cs="Arial"/>
              </w:rPr>
            </w:pPr>
            <w:r w:rsidRPr="007145ED">
              <w:rPr>
                <w:rFonts w:cs="Arial"/>
              </w:rPr>
              <w:t xml:space="preserve">Poboljšanje stočarskih </w:t>
            </w:r>
            <w:r w:rsidRPr="468CECDC">
              <w:rPr>
                <w:rFonts w:cs="Arial"/>
              </w:rPr>
              <w:t>gospodarstava</w:t>
            </w:r>
            <w:r w:rsidRPr="007145ED">
              <w:rPr>
                <w:rFonts w:cs="Arial"/>
              </w:rPr>
              <w:t xml:space="preserve"> i sustava </w:t>
            </w:r>
            <w:r>
              <w:rPr>
                <w:rFonts w:cs="Arial"/>
              </w:rPr>
              <w:t>gospodarenja stajskim</w:t>
            </w:r>
            <w:r w:rsidRPr="007145ED">
              <w:rPr>
                <w:rFonts w:cs="Arial"/>
              </w:rPr>
              <w:t xml:space="preserve"> gnojem</w:t>
            </w:r>
          </w:p>
        </w:tc>
        <w:tc>
          <w:tcPr>
            <w:tcW w:w="1240" w:type="dxa"/>
            <w:shd w:val="clear" w:color="auto" w:fill="FFFFFF" w:themeFill="background1"/>
          </w:tcPr>
          <w:p w14:paraId="651E3ECC" w14:textId="77777777" w:rsidR="00FE1A9F" w:rsidRPr="007145ED" w:rsidRDefault="00FE1A9F" w:rsidP="00FE1A9F">
            <w:pPr>
              <w:rPr>
                <w:rFonts w:cs="Arial"/>
              </w:rPr>
            </w:pPr>
          </w:p>
        </w:tc>
      </w:tr>
      <w:tr w:rsidR="00FE1A9F" w14:paraId="405D04D7" w14:textId="77777777" w:rsidTr="005E4458">
        <w:tc>
          <w:tcPr>
            <w:tcW w:w="1101" w:type="dxa"/>
            <w:shd w:val="clear" w:color="auto" w:fill="FFFFFF" w:themeFill="background1"/>
          </w:tcPr>
          <w:p w14:paraId="617CA0CC" w14:textId="4CED27D4" w:rsidR="00FE1A9F" w:rsidRPr="00441ACC" w:rsidRDefault="00FE1A9F" w:rsidP="00FE1A9F">
            <w:pPr>
              <w:rPr>
                <w:rFonts w:cs="Arial"/>
              </w:rPr>
            </w:pPr>
            <w:r w:rsidRPr="00441ACC">
              <w:rPr>
                <w:rFonts w:cs="Arial"/>
              </w:rPr>
              <w:t>POLJ-3</w:t>
            </w:r>
          </w:p>
        </w:tc>
        <w:tc>
          <w:tcPr>
            <w:tcW w:w="1134" w:type="dxa"/>
            <w:shd w:val="clear" w:color="auto" w:fill="FFFFFF" w:themeFill="background1"/>
          </w:tcPr>
          <w:p w14:paraId="053193E5" w14:textId="77777777" w:rsidR="00FE1A9F" w:rsidRPr="00441ACC" w:rsidRDefault="00FE1A9F" w:rsidP="00FE1A9F">
            <w:pPr>
              <w:rPr>
                <w:rFonts w:cs="Arial"/>
              </w:rPr>
            </w:pPr>
            <w:r w:rsidRPr="00441ACC">
              <w:rPr>
                <w:rFonts w:cs="Arial"/>
              </w:rPr>
              <w:t>MAG-3</w:t>
            </w:r>
          </w:p>
        </w:tc>
        <w:tc>
          <w:tcPr>
            <w:tcW w:w="5811" w:type="dxa"/>
            <w:shd w:val="clear" w:color="auto" w:fill="FFFFFF" w:themeFill="background1"/>
          </w:tcPr>
          <w:p w14:paraId="5A036D3D" w14:textId="77777777" w:rsidR="00FE1A9F" w:rsidRPr="007145ED" w:rsidRDefault="00FE1A9F" w:rsidP="00FE1A9F">
            <w:pPr>
              <w:rPr>
                <w:rFonts w:cs="Arial"/>
              </w:rPr>
            </w:pPr>
            <w:r w:rsidRPr="00231952">
              <w:rPr>
                <w:rFonts w:cs="Arial"/>
              </w:rPr>
              <w:t>Izmjena sustava uzgoja stoke</w:t>
            </w:r>
          </w:p>
        </w:tc>
        <w:tc>
          <w:tcPr>
            <w:tcW w:w="1240" w:type="dxa"/>
            <w:shd w:val="clear" w:color="auto" w:fill="FFFFFF" w:themeFill="background1"/>
          </w:tcPr>
          <w:p w14:paraId="5082AE14" w14:textId="77777777" w:rsidR="00FE1A9F" w:rsidRPr="007145ED" w:rsidRDefault="00FE1A9F" w:rsidP="00FE1A9F">
            <w:pPr>
              <w:rPr>
                <w:rFonts w:cs="Arial"/>
              </w:rPr>
            </w:pPr>
          </w:p>
        </w:tc>
      </w:tr>
      <w:tr w:rsidR="00FE1A9F" w14:paraId="0108B07D" w14:textId="6B8FE34C" w:rsidTr="005E4458">
        <w:tc>
          <w:tcPr>
            <w:tcW w:w="1101" w:type="dxa"/>
            <w:shd w:val="clear" w:color="auto" w:fill="FFFFFF" w:themeFill="background1"/>
          </w:tcPr>
          <w:p w14:paraId="60A51A85" w14:textId="2F42E351" w:rsidR="00FE1A9F" w:rsidRPr="00441ACC" w:rsidRDefault="00FE1A9F" w:rsidP="00FE1A9F">
            <w:pPr>
              <w:rPr>
                <w:rFonts w:cs="Arial"/>
              </w:rPr>
            </w:pPr>
            <w:r w:rsidRPr="00441ACC">
              <w:rPr>
                <w:rFonts w:cs="Arial"/>
              </w:rPr>
              <w:t>POLJ-</w:t>
            </w:r>
            <w:r w:rsidRPr="00840E2E">
              <w:rPr>
                <w:rFonts w:cs="Arial"/>
              </w:rPr>
              <w:t>4</w:t>
            </w:r>
          </w:p>
        </w:tc>
        <w:tc>
          <w:tcPr>
            <w:tcW w:w="1134" w:type="dxa"/>
            <w:shd w:val="clear" w:color="auto" w:fill="FFFFFF" w:themeFill="background1"/>
          </w:tcPr>
          <w:p w14:paraId="526CE679" w14:textId="425DE737" w:rsidR="00FE1A9F" w:rsidRPr="00441ACC" w:rsidRDefault="00FE1A9F" w:rsidP="00FE1A9F">
            <w:pPr>
              <w:rPr>
                <w:rFonts w:cs="Arial"/>
              </w:rPr>
            </w:pPr>
            <w:r w:rsidRPr="00441ACC">
              <w:rPr>
                <w:rFonts w:cs="Arial"/>
              </w:rPr>
              <w:t>MAG-4</w:t>
            </w:r>
          </w:p>
        </w:tc>
        <w:tc>
          <w:tcPr>
            <w:tcW w:w="5811" w:type="dxa"/>
            <w:shd w:val="clear" w:color="auto" w:fill="FFFFFF" w:themeFill="background1"/>
          </w:tcPr>
          <w:p w14:paraId="38F7446C" w14:textId="3C5D12D5" w:rsidR="00FE1A9F" w:rsidRPr="007145ED" w:rsidRDefault="00FE1A9F" w:rsidP="00FE1A9F">
            <w:pPr>
              <w:rPr>
                <w:rFonts w:cs="Arial"/>
              </w:rPr>
            </w:pPr>
            <w:r w:rsidRPr="007145ED">
              <w:rPr>
                <w:rFonts w:cs="Arial"/>
              </w:rPr>
              <w:t xml:space="preserve">Anaerobna razgradnja </w:t>
            </w:r>
            <w:r>
              <w:rPr>
                <w:rFonts w:cs="Arial"/>
              </w:rPr>
              <w:t xml:space="preserve">stajskog </w:t>
            </w:r>
            <w:r w:rsidRPr="007145ED">
              <w:rPr>
                <w:rFonts w:cs="Arial"/>
              </w:rPr>
              <w:t>gnoja i proizvodnja bioplina</w:t>
            </w:r>
          </w:p>
        </w:tc>
        <w:tc>
          <w:tcPr>
            <w:tcW w:w="1240" w:type="dxa"/>
            <w:shd w:val="clear" w:color="auto" w:fill="FFFFFF" w:themeFill="background1"/>
          </w:tcPr>
          <w:p w14:paraId="68FCD48C" w14:textId="77777777" w:rsidR="00FE1A9F" w:rsidRPr="007145ED" w:rsidRDefault="00FE1A9F" w:rsidP="00FE1A9F">
            <w:pPr>
              <w:rPr>
                <w:rFonts w:cs="Arial"/>
              </w:rPr>
            </w:pPr>
          </w:p>
        </w:tc>
      </w:tr>
      <w:tr w:rsidR="00FE1A9F" w14:paraId="0C137A9C" w14:textId="77777777" w:rsidTr="005E4458">
        <w:tc>
          <w:tcPr>
            <w:tcW w:w="1101" w:type="dxa"/>
            <w:shd w:val="clear" w:color="auto" w:fill="FFFFFF" w:themeFill="background1"/>
          </w:tcPr>
          <w:p w14:paraId="61FEB162" w14:textId="6C5A0961" w:rsidR="00FE1A9F" w:rsidRPr="00441ACC" w:rsidRDefault="00FE1A9F" w:rsidP="00FE1A9F">
            <w:pPr>
              <w:rPr>
                <w:rFonts w:cs="Arial"/>
              </w:rPr>
            </w:pPr>
            <w:r w:rsidRPr="009A1A78">
              <w:rPr>
                <w:rFonts w:cs="Arial"/>
              </w:rPr>
              <w:t>POLJ-</w:t>
            </w:r>
            <w:r>
              <w:rPr>
                <w:rFonts w:cs="Arial"/>
              </w:rPr>
              <w:t>5</w:t>
            </w:r>
          </w:p>
        </w:tc>
        <w:tc>
          <w:tcPr>
            <w:tcW w:w="1134" w:type="dxa"/>
            <w:shd w:val="clear" w:color="auto" w:fill="FFFFFF" w:themeFill="background1"/>
          </w:tcPr>
          <w:p w14:paraId="02E7D65F" w14:textId="77777777" w:rsidR="00FE1A9F" w:rsidRPr="00441ACC" w:rsidRDefault="00FE1A9F" w:rsidP="00FE1A9F">
            <w:pPr>
              <w:rPr>
                <w:rFonts w:cs="Arial"/>
              </w:rPr>
            </w:pPr>
            <w:r w:rsidRPr="00441ACC">
              <w:rPr>
                <w:rFonts w:cs="Arial"/>
              </w:rPr>
              <w:t>MAG-5</w:t>
            </w:r>
          </w:p>
        </w:tc>
        <w:tc>
          <w:tcPr>
            <w:tcW w:w="5811" w:type="dxa"/>
            <w:shd w:val="clear" w:color="auto" w:fill="FFFFFF" w:themeFill="background1"/>
          </w:tcPr>
          <w:p w14:paraId="13179EDB" w14:textId="7962760E" w:rsidR="00FE1A9F" w:rsidRPr="007145ED" w:rsidRDefault="00FE1A9F" w:rsidP="00FE1A9F">
            <w:pPr>
              <w:rPr>
                <w:rFonts w:cs="Arial"/>
              </w:rPr>
            </w:pPr>
            <w:r w:rsidRPr="00FA2435">
              <w:rPr>
                <w:rFonts w:cs="Arial"/>
              </w:rPr>
              <w:t>Poboljšanje uzgojno-selekcijskog programa, zdravlja i dobrobiti životinja</w:t>
            </w:r>
          </w:p>
        </w:tc>
        <w:tc>
          <w:tcPr>
            <w:tcW w:w="1240" w:type="dxa"/>
            <w:shd w:val="clear" w:color="auto" w:fill="FFFFFF" w:themeFill="background1"/>
          </w:tcPr>
          <w:p w14:paraId="0C35EEB6" w14:textId="77777777" w:rsidR="00FE1A9F" w:rsidRPr="007145ED" w:rsidRDefault="00FE1A9F" w:rsidP="00FE1A9F">
            <w:pPr>
              <w:rPr>
                <w:rFonts w:cs="Arial"/>
              </w:rPr>
            </w:pPr>
          </w:p>
        </w:tc>
      </w:tr>
      <w:tr w:rsidR="00FE1A9F" w14:paraId="5A083F8C" w14:textId="77777777" w:rsidTr="005E4458">
        <w:tc>
          <w:tcPr>
            <w:tcW w:w="1101" w:type="dxa"/>
            <w:shd w:val="clear" w:color="auto" w:fill="FFFFFF" w:themeFill="background1"/>
          </w:tcPr>
          <w:p w14:paraId="0CD602DB" w14:textId="5526C67F" w:rsidR="00FE1A9F" w:rsidRPr="00441ACC" w:rsidRDefault="00FE1A9F" w:rsidP="00FE1A9F">
            <w:pPr>
              <w:rPr>
                <w:rFonts w:cs="Arial"/>
              </w:rPr>
            </w:pPr>
            <w:r w:rsidRPr="009A1A78">
              <w:rPr>
                <w:rFonts w:cs="Arial"/>
              </w:rPr>
              <w:t>POLJ-</w:t>
            </w:r>
            <w:r>
              <w:rPr>
                <w:rFonts w:cs="Arial"/>
              </w:rPr>
              <w:t>6</w:t>
            </w:r>
          </w:p>
        </w:tc>
        <w:tc>
          <w:tcPr>
            <w:tcW w:w="1134" w:type="dxa"/>
            <w:shd w:val="clear" w:color="auto" w:fill="FFFFFF" w:themeFill="background1"/>
          </w:tcPr>
          <w:p w14:paraId="09383380" w14:textId="77777777" w:rsidR="00FE1A9F" w:rsidRPr="00441ACC" w:rsidRDefault="00FE1A9F" w:rsidP="00FE1A9F">
            <w:pPr>
              <w:rPr>
                <w:rFonts w:cs="Arial"/>
              </w:rPr>
            </w:pPr>
            <w:r w:rsidRPr="00441ACC">
              <w:rPr>
                <w:rFonts w:cs="Arial"/>
              </w:rPr>
              <w:t>MAG-6</w:t>
            </w:r>
          </w:p>
        </w:tc>
        <w:tc>
          <w:tcPr>
            <w:tcW w:w="5811" w:type="dxa"/>
            <w:shd w:val="clear" w:color="auto" w:fill="FFFFFF" w:themeFill="background1"/>
          </w:tcPr>
          <w:p w14:paraId="4C1C61DB" w14:textId="73631AA3" w:rsidR="00FE1A9F" w:rsidRPr="007145ED" w:rsidRDefault="00FE1A9F" w:rsidP="00FE1A9F">
            <w:pPr>
              <w:rPr>
                <w:rFonts w:cs="Arial"/>
              </w:rPr>
            </w:pPr>
            <w:r w:rsidRPr="00295849">
              <w:rPr>
                <w:rFonts w:cs="Arial"/>
              </w:rPr>
              <w:t>Unaprjeđivanje i promjena sustava obrade tla (reducirana obrada)</w:t>
            </w:r>
          </w:p>
        </w:tc>
        <w:tc>
          <w:tcPr>
            <w:tcW w:w="1240" w:type="dxa"/>
            <w:shd w:val="clear" w:color="auto" w:fill="FFFFFF" w:themeFill="background1"/>
          </w:tcPr>
          <w:p w14:paraId="77E2FCC6" w14:textId="77777777" w:rsidR="00FE1A9F" w:rsidRPr="007145ED" w:rsidRDefault="00FE1A9F" w:rsidP="00FE1A9F">
            <w:pPr>
              <w:rPr>
                <w:rFonts w:cs="Arial"/>
              </w:rPr>
            </w:pPr>
          </w:p>
        </w:tc>
      </w:tr>
      <w:tr w:rsidR="00FE1A9F" w14:paraId="7B4F059D" w14:textId="77777777" w:rsidTr="005E4458">
        <w:tc>
          <w:tcPr>
            <w:tcW w:w="1101" w:type="dxa"/>
            <w:shd w:val="clear" w:color="auto" w:fill="FFFFFF" w:themeFill="background1"/>
          </w:tcPr>
          <w:p w14:paraId="1AE72933" w14:textId="77777777" w:rsidR="00FE1A9F" w:rsidRPr="00441ACC" w:rsidRDefault="00FE1A9F" w:rsidP="00FE1A9F">
            <w:pPr>
              <w:rPr>
                <w:rFonts w:cs="Arial"/>
              </w:rPr>
            </w:pPr>
            <w:r w:rsidRPr="00441ACC">
              <w:rPr>
                <w:rFonts w:cs="Arial"/>
              </w:rPr>
              <w:t>POLJ-7</w:t>
            </w:r>
          </w:p>
        </w:tc>
        <w:tc>
          <w:tcPr>
            <w:tcW w:w="1134" w:type="dxa"/>
            <w:shd w:val="clear" w:color="auto" w:fill="FFFFFF" w:themeFill="background1"/>
          </w:tcPr>
          <w:p w14:paraId="31243776" w14:textId="77777777" w:rsidR="00FE1A9F" w:rsidRPr="00441ACC" w:rsidRDefault="00FE1A9F" w:rsidP="00FE1A9F">
            <w:pPr>
              <w:rPr>
                <w:rFonts w:cs="Arial"/>
              </w:rPr>
            </w:pPr>
            <w:r w:rsidRPr="00441ACC">
              <w:rPr>
                <w:rFonts w:cs="Arial"/>
              </w:rPr>
              <w:t>MAG-7</w:t>
            </w:r>
          </w:p>
        </w:tc>
        <w:tc>
          <w:tcPr>
            <w:tcW w:w="5811" w:type="dxa"/>
            <w:shd w:val="clear" w:color="auto" w:fill="FFFFFF" w:themeFill="background1"/>
          </w:tcPr>
          <w:p w14:paraId="55706A9B" w14:textId="77777777" w:rsidR="00FE1A9F" w:rsidRPr="007145ED" w:rsidRDefault="00FE1A9F" w:rsidP="00FE1A9F">
            <w:pPr>
              <w:rPr>
                <w:rFonts w:cs="Arial"/>
              </w:rPr>
            </w:pPr>
            <w:r w:rsidRPr="00830C79">
              <w:rPr>
                <w:rFonts w:cs="Arial"/>
              </w:rPr>
              <w:t>Proširenje plodoreda s većim učešćem leguminoza</w:t>
            </w:r>
          </w:p>
        </w:tc>
        <w:tc>
          <w:tcPr>
            <w:tcW w:w="1240" w:type="dxa"/>
            <w:shd w:val="clear" w:color="auto" w:fill="FFFFFF" w:themeFill="background1"/>
          </w:tcPr>
          <w:p w14:paraId="54B693C0" w14:textId="77777777" w:rsidR="00FE1A9F" w:rsidRPr="007145ED" w:rsidRDefault="00FE1A9F" w:rsidP="00FE1A9F">
            <w:pPr>
              <w:rPr>
                <w:rFonts w:cs="Arial"/>
              </w:rPr>
            </w:pPr>
          </w:p>
        </w:tc>
      </w:tr>
      <w:tr w:rsidR="00FE1A9F" w14:paraId="08AF2D72" w14:textId="77777777" w:rsidTr="005E4458">
        <w:tc>
          <w:tcPr>
            <w:tcW w:w="1101" w:type="dxa"/>
            <w:shd w:val="clear" w:color="auto" w:fill="FFFFFF" w:themeFill="background1"/>
          </w:tcPr>
          <w:p w14:paraId="520684A8" w14:textId="77777777" w:rsidR="00FE1A9F" w:rsidRPr="00441ACC" w:rsidRDefault="00FE1A9F" w:rsidP="00FE1A9F">
            <w:pPr>
              <w:rPr>
                <w:rFonts w:cs="Arial"/>
              </w:rPr>
            </w:pPr>
            <w:r w:rsidRPr="00441ACC">
              <w:rPr>
                <w:rFonts w:cs="Arial"/>
              </w:rPr>
              <w:t>POLJ-8</w:t>
            </w:r>
          </w:p>
        </w:tc>
        <w:tc>
          <w:tcPr>
            <w:tcW w:w="1134" w:type="dxa"/>
            <w:shd w:val="clear" w:color="auto" w:fill="FFFFFF" w:themeFill="background1"/>
          </w:tcPr>
          <w:p w14:paraId="5F1C07FB" w14:textId="77777777" w:rsidR="00FE1A9F" w:rsidRPr="00441ACC" w:rsidRDefault="00FE1A9F" w:rsidP="00FE1A9F">
            <w:pPr>
              <w:rPr>
                <w:rFonts w:cs="Arial"/>
              </w:rPr>
            </w:pPr>
            <w:r w:rsidRPr="00441ACC">
              <w:rPr>
                <w:rFonts w:cs="Arial"/>
              </w:rPr>
              <w:t>MAG-8</w:t>
            </w:r>
          </w:p>
        </w:tc>
        <w:tc>
          <w:tcPr>
            <w:tcW w:w="5811" w:type="dxa"/>
            <w:shd w:val="clear" w:color="auto" w:fill="FFFFFF" w:themeFill="background1"/>
          </w:tcPr>
          <w:p w14:paraId="516B180D" w14:textId="77777777" w:rsidR="00FE1A9F" w:rsidRPr="007145ED" w:rsidRDefault="00FE1A9F" w:rsidP="00FE1A9F">
            <w:pPr>
              <w:rPr>
                <w:rFonts w:cs="Arial"/>
              </w:rPr>
            </w:pPr>
            <w:r w:rsidRPr="00400A43">
              <w:rPr>
                <w:rFonts w:cs="Arial"/>
              </w:rPr>
              <w:t>Intenziviranje plodoreda korištenjem međuusjeva</w:t>
            </w:r>
          </w:p>
        </w:tc>
        <w:tc>
          <w:tcPr>
            <w:tcW w:w="1240" w:type="dxa"/>
            <w:shd w:val="clear" w:color="auto" w:fill="FFFFFF" w:themeFill="background1"/>
          </w:tcPr>
          <w:p w14:paraId="14868BD5" w14:textId="77777777" w:rsidR="00FE1A9F" w:rsidRPr="007145ED" w:rsidRDefault="00FE1A9F" w:rsidP="00FE1A9F">
            <w:pPr>
              <w:rPr>
                <w:rFonts w:cs="Arial"/>
              </w:rPr>
            </w:pPr>
          </w:p>
        </w:tc>
      </w:tr>
      <w:tr w:rsidR="00FE1A9F" w14:paraId="0484DB22" w14:textId="4A980FBF" w:rsidTr="005E4458">
        <w:tc>
          <w:tcPr>
            <w:tcW w:w="1101" w:type="dxa"/>
            <w:shd w:val="clear" w:color="auto" w:fill="FFFFFF" w:themeFill="background1"/>
          </w:tcPr>
          <w:p w14:paraId="44D9A3D7" w14:textId="7A617885" w:rsidR="00FE1A9F" w:rsidRPr="00441ACC" w:rsidRDefault="00FE1A9F" w:rsidP="00FE1A9F">
            <w:pPr>
              <w:rPr>
                <w:rFonts w:cs="Arial"/>
              </w:rPr>
            </w:pPr>
            <w:r w:rsidRPr="00441ACC">
              <w:rPr>
                <w:rFonts w:cs="Arial"/>
              </w:rPr>
              <w:t>POLJ-</w:t>
            </w:r>
            <w:r w:rsidRPr="00840E2E">
              <w:rPr>
                <w:rFonts w:cs="Arial"/>
              </w:rPr>
              <w:t>9</w:t>
            </w:r>
          </w:p>
        </w:tc>
        <w:tc>
          <w:tcPr>
            <w:tcW w:w="1134" w:type="dxa"/>
            <w:shd w:val="clear" w:color="auto" w:fill="FFFFFF" w:themeFill="background1"/>
          </w:tcPr>
          <w:p w14:paraId="04CB9A3A" w14:textId="08597F41" w:rsidR="00FE1A9F" w:rsidRPr="00441ACC" w:rsidRDefault="00FE1A9F" w:rsidP="00FE1A9F">
            <w:pPr>
              <w:rPr>
                <w:rFonts w:cs="Arial"/>
              </w:rPr>
            </w:pPr>
            <w:r w:rsidRPr="00441ACC">
              <w:rPr>
                <w:rFonts w:cs="Arial"/>
              </w:rPr>
              <w:t>MAG-9</w:t>
            </w:r>
          </w:p>
        </w:tc>
        <w:tc>
          <w:tcPr>
            <w:tcW w:w="5811" w:type="dxa"/>
            <w:shd w:val="clear" w:color="auto" w:fill="FFFFFF" w:themeFill="background1"/>
          </w:tcPr>
          <w:p w14:paraId="6C6F4A5E" w14:textId="055769A3" w:rsidR="00FE1A9F" w:rsidRPr="007145ED" w:rsidRDefault="00FE1A9F" w:rsidP="00FE1A9F">
            <w:pPr>
              <w:rPr>
                <w:rFonts w:cs="Arial"/>
              </w:rPr>
            </w:pPr>
            <w:r w:rsidRPr="005E3814">
              <w:rPr>
                <w:rFonts w:cs="Arial"/>
              </w:rPr>
              <w:t>Poboljšanje metoda primjene mineralnih gnojiva</w:t>
            </w:r>
            <w:r w:rsidRPr="005E3814" w:rsidDel="00E265DE">
              <w:rPr>
                <w:rFonts w:cs="Arial"/>
              </w:rPr>
              <w:t xml:space="preserve"> </w:t>
            </w:r>
          </w:p>
        </w:tc>
        <w:tc>
          <w:tcPr>
            <w:tcW w:w="1240" w:type="dxa"/>
            <w:shd w:val="clear" w:color="auto" w:fill="FFFFFF" w:themeFill="background1"/>
          </w:tcPr>
          <w:p w14:paraId="24C65D7C" w14:textId="77777777" w:rsidR="00FE1A9F" w:rsidRPr="007145ED" w:rsidRDefault="00FE1A9F" w:rsidP="00FE1A9F">
            <w:pPr>
              <w:rPr>
                <w:rFonts w:cs="Arial"/>
              </w:rPr>
            </w:pPr>
          </w:p>
        </w:tc>
      </w:tr>
      <w:tr w:rsidR="00FE1A9F" w14:paraId="1EFCAC00" w14:textId="77777777" w:rsidTr="005E4458">
        <w:tc>
          <w:tcPr>
            <w:tcW w:w="1101" w:type="dxa"/>
            <w:shd w:val="clear" w:color="auto" w:fill="FFFFFF" w:themeFill="background1"/>
          </w:tcPr>
          <w:p w14:paraId="71EF7AB8" w14:textId="69E0180E" w:rsidR="00FE1A9F" w:rsidRPr="00441ACC" w:rsidRDefault="00FE1A9F" w:rsidP="00FE1A9F">
            <w:pPr>
              <w:rPr>
                <w:rFonts w:cs="Arial"/>
              </w:rPr>
            </w:pPr>
            <w:r w:rsidRPr="009A1A78">
              <w:rPr>
                <w:rFonts w:cs="Arial"/>
              </w:rPr>
              <w:t>POLJ-</w:t>
            </w:r>
            <w:r>
              <w:rPr>
                <w:rFonts w:cs="Arial"/>
              </w:rPr>
              <w:t>10</w:t>
            </w:r>
          </w:p>
        </w:tc>
        <w:tc>
          <w:tcPr>
            <w:tcW w:w="1134" w:type="dxa"/>
            <w:shd w:val="clear" w:color="auto" w:fill="FFFFFF" w:themeFill="background1"/>
          </w:tcPr>
          <w:p w14:paraId="0B43C67B" w14:textId="77777777" w:rsidR="00FE1A9F" w:rsidRPr="00441ACC" w:rsidRDefault="00FE1A9F" w:rsidP="00FE1A9F">
            <w:pPr>
              <w:rPr>
                <w:rFonts w:cs="Arial"/>
              </w:rPr>
            </w:pPr>
            <w:r w:rsidRPr="00441ACC">
              <w:rPr>
                <w:rFonts w:cs="Arial"/>
              </w:rPr>
              <w:t>MAG-10</w:t>
            </w:r>
          </w:p>
        </w:tc>
        <w:tc>
          <w:tcPr>
            <w:tcW w:w="5811" w:type="dxa"/>
            <w:shd w:val="clear" w:color="auto" w:fill="FFFFFF" w:themeFill="background1"/>
          </w:tcPr>
          <w:p w14:paraId="422203DF" w14:textId="6F190FBB" w:rsidR="00FE1A9F" w:rsidRPr="007145ED" w:rsidRDefault="00FE1A9F" w:rsidP="00FE1A9F">
            <w:pPr>
              <w:rPr>
                <w:rFonts w:cs="Arial"/>
              </w:rPr>
            </w:pPr>
            <w:r w:rsidRPr="00126B61">
              <w:rPr>
                <w:rFonts w:cs="Arial"/>
              </w:rPr>
              <w:t>Poboljšanje metoda primjene organskih gnojiva</w:t>
            </w:r>
          </w:p>
        </w:tc>
        <w:tc>
          <w:tcPr>
            <w:tcW w:w="1240" w:type="dxa"/>
            <w:shd w:val="clear" w:color="auto" w:fill="FFFFFF" w:themeFill="background1"/>
          </w:tcPr>
          <w:p w14:paraId="2DFB5BC7" w14:textId="77777777" w:rsidR="00FE1A9F" w:rsidRPr="007145ED" w:rsidRDefault="00FE1A9F" w:rsidP="00FE1A9F">
            <w:pPr>
              <w:rPr>
                <w:rFonts w:cs="Arial"/>
              </w:rPr>
            </w:pPr>
          </w:p>
        </w:tc>
      </w:tr>
      <w:tr w:rsidR="00FE1A9F" w14:paraId="36ECE405" w14:textId="77777777" w:rsidTr="005E4458">
        <w:tc>
          <w:tcPr>
            <w:tcW w:w="1101" w:type="dxa"/>
            <w:shd w:val="clear" w:color="auto" w:fill="FFFFFF" w:themeFill="background1"/>
          </w:tcPr>
          <w:p w14:paraId="47B04B46" w14:textId="2565730B" w:rsidR="00FE1A9F" w:rsidRPr="00441ACC" w:rsidRDefault="00FE1A9F" w:rsidP="00FE1A9F">
            <w:pPr>
              <w:rPr>
                <w:rFonts w:cs="Arial"/>
              </w:rPr>
            </w:pPr>
            <w:r w:rsidRPr="009A1A78">
              <w:rPr>
                <w:rFonts w:cs="Arial"/>
              </w:rPr>
              <w:t>POLJ-</w:t>
            </w:r>
            <w:r>
              <w:rPr>
                <w:rFonts w:cs="Arial"/>
              </w:rPr>
              <w:t>11</w:t>
            </w:r>
          </w:p>
        </w:tc>
        <w:tc>
          <w:tcPr>
            <w:tcW w:w="1134" w:type="dxa"/>
            <w:shd w:val="clear" w:color="auto" w:fill="FFFFFF" w:themeFill="background1"/>
          </w:tcPr>
          <w:p w14:paraId="5144A867" w14:textId="77777777" w:rsidR="00FE1A9F" w:rsidRPr="00441ACC" w:rsidRDefault="00FE1A9F" w:rsidP="00FE1A9F">
            <w:pPr>
              <w:rPr>
                <w:rFonts w:cs="Arial"/>
              </w:rPr>
            </w:pPr>
            <w:r w:rsidRPr="00441ACC">
              <w:rPr>
                <w:rFonts w:cs="Arial"/>
              </w:rPr>
              <w:t>MAG-11</w:t>
            </w:r>
          </w:p>
        </w:tc>
        <w:tc>
          <w:tcPr>
            <w:tcW w:w="5811" w:type="dxa"/>
            <w:shd w:val="clear" w:color="auto" w:fill="FFFFFF" w:themeFill="background1"/>
          </w:tcPr>
          <w:p w14:paraId="51FD4771" w14:textId="5D2F5158" w:rsidR="00FE1A9F" w:rsidRPr="007145ED" w:rsidRDefault="00FE1A9F" w:rsidP="00FE1A9F">
            <w:pPr>
              <w:rPr>
                <w:rFonts w:cs="Arial"/>
              </w:rPr>
            </w:pPr>
            <w:r w:rsidRPr="004A023B">
              <w:rPr>
                <w:rFonts w:cs="Arial"/>
              </w:rPr>
              <w:t>Agrošumarstvo</w:t>
            </w:r>
          </w:p>
        </w:tc>
        <w:tc>
          <w:tcPr>
            <w:tcW w:w="1240" w:type="dxa"/>
            <w:shd w:val="clear" w:color="auto" w:fill="FFFFFF" w:themeFill="background1"/>
          </w:tcPr>
          <w:p w14:paraId="7CAA9396" w14:textId="77777777" w:rsidR="00FE1A9F" w:rsidRPr="007145ED" w:rsidRDefault="00FE1A9F" w:rsidP="00FE1A9F">
            <w:pPr>
              <w:rPr>
                <w:rFonts w:cs="Arial"/>
              </w:rPr>
            </w:pPr>
          </w:p>
        </w:tc>
      </w:tr>
      <w:tr w:rsidR="00FE1A9F" w14:paraId="2933A3CE" w14:textId="1C62FCFA" w:rsidTr="005E4458">
        <w:tc>
          <w:tcPr>
            <w:tcW w:w="1101" w:type="dxa"/>
            <w:shd w:val="clear" w:color="auto" w:fill="FFFFFF" w:themeFill="background1"/>
          </w:tcPr>
          <w:p w14:paraId="29DDDA17" w14:textId="12A3A8CA" w:rsidR="00FE1A9F" w:rsidRPr="00441ACC" w:rsidRDefault="00FE1A9F" w:rsidP="00FE1A9F">
            <w:pPr>
              <w:rPr>
                <w:rFonts w:cs="Arial"/>
              </w:rPr>
            </w:pPr>
            <w:r w:rsidRPr="00441ACC">
              <w:rPr>
                <w:rFonts w:cs="Arial"/>
              </w:rPr>
              <w:t>POLJ-</w:t>
            </w:r>
            <w:r w:rsidRPr="00840E2E">
              <w:rPr>
                <w:rFonts w:cs="Arial"/>
              </w:rPr>
              <w:t>12</w:t>
            </w:r>
          </w:p>
        </w:tc>
        <w:tc>
          <w:tcPr>
            <w:tcW w:w="1134" w:type="dxa"/>
            <w:shd w:val="clear" w:color="auto" w:fill="FFFFFF" w:themeFill="background1"/>
          </w:tcPr>
          <w:p w14:paraId="68F05110" w14:textId="552348A0" w:rsidR="00FE1A9F" w:rsidRPr="00441ACC" w:rsidRDefault="00FE1A9F" w:rsidP="00FE1A9F">
            <w:pPr>
              <w:rPr>
                <w:rFonts w:cs="Arial"/>
              </w:rPr>
            </w:pPr>
            <w:r w:rsidRPr="00441ACC">
              <w:rPr>
                <w:rFonts w:cs="Arial"/>
              </w:rPr>
              <w:t>MAG-12</w:t>
            </w:r>
          </w:p>
        </w:tc>
        <w:tc>
          <w:tcPr>
            <w:tcW w:w="5811" w:type="dxa"/>
            <w:shd w:val="clear" w:color="auto" w:fill="FFFFFF" w:themeFill="background1"/>
          </w:tcPr>
          <w:p w14:paraId="3F04761A" w14:textId="013B1304" w:rsidR="00FE1A9F" w:rsidRPr="007145ED" w:rsidRDefault="00FE1A9F" w:rsidP="00FE1A9F">
            <w:pPr>
              <w:rPr>
                <w:rFonts w:cs="Arial"/>
              </w:rPr>
            </w:pPr>
            <w:r w:rsidRPr="00922E89">
              <w:rPr>
                <w:rFonts w:cs="Arial"/>
              </w:rPr>
              <w:t>Hidromelioracijski zahvati i sustavi zaštite od nepogoda</w:t>
            </w:r>
            <w:r w:rsidRPr="00922E89" w:rsidDel="00922E89">
              <w:rPr>
                <w:rFonts w:cs="Arial"/>
              </w:rPr>
              <w:t xml:space="preserve"> </w:t>
            </w:r>
          </w:p>
        </w:tc>
        <w:tc>
          <w:tcPr>
            <w:tcW w:w="1240" w:type="dxa"/>
            <w:shd w:val="clear" w:color="auto" w:fill="FFFFFF" w:themeFill="background1"/>
          </w:tcPr>
          <w:p w14:paraId="23496FCF" w14:textId="77777777" w:rsidR="00FE1A9F" w:rsidRPr="007145ED" w:rsidRDefault="00FE1A9F" w:rsidP="00FE1A9F">
            <w:pPr>
              <w:rPr>
                <w:rFonts w:cs="Arial"/>
              </w:rPr>
            </w:pPr>
          </w:p>
        </w:tc>
      </w:tr>
      <w:tr w:rsidR="00FE1A9F" w14:paraId="7504EA72" w14:textId="3A14E708" w:rsidTr="005E4458">
        <w:tc>
          <w:tcPr>
            <w:tcW w:w="1101" w:type="dxa"/>
            <w:shd w:val="clear" w:color="auto" w:fill="FFFFFF" w:themeFill="background1"/>
          </w:tcPr>
          <w:p w14:paraId="252A97AB" w14:textId="52552E75" w:rsidR="00FE1A9F" w:rsidRPr="00441ACC" w:rsidRDefault="00FE1A9F" w:rsidP="00FE1A9F">
            <w:pPr>
              <w:rPr>
                <w:rFonts w:cs="Arial"/>
              </w:rPr>
            </w:pPr>
            <w:r w:rsidRPr="00441ACC">
              <w:rPr>
                <w:rFonts w:cs="Arial"/>
              </w:rPr>
              <w:t>POLJ-</w:t>
            </w:r>
            <w:r w:rsidRPr="00840E2E">
              <w:rPr>
                <w:rFonts w:cs="Arial"/>
              </w:rPr>
              <w:t>13</w:t>
            </w:r>
          </w:p>
        </w:tc>
        <w:tc>
          <w:tcPr>
            <w:tcW w:w="1134" w:type="dxa"/>
            <w:shd w:val="clear" w:color="auto" w:fill="FFFFFF" w:themeFill="background1"/>
          </w:tcPr>
          <w:p w14:paraId="531B6BFC" w14:textId="28E42C94" w:rsidR="00FE1A9F" w:rsidRPr="00441ACC" w:rsidRDefault="00FE1A9F" w:rsidP="00FE1A9F">
            <w:pPr>
              <w:rPr>
                <w:rFonts w:cs="Arial"/>
              </w:rPr>
            </w:pPr>
            <w:r w:rsidRPr="00441ACC">
              <w:rPr>
                <w:rFonts w:cs="Arial"/>
              </w:rPr>
              <w:t>MAG-13</w:t>
            </w:r>
          </w:p>
        </w:tc>
        <w:tc>
          <w:tcPr>
            <w:tcW w:w="5811" w:type="dxa"/>
            <w:shd w:val="clear" w:color="auto" w:fill="FFFFFF" w:themeFill="background1"/>
          </w:tcPr>
          <w:p w14:paraId="6E094765" w14:textId="5732CE26" w:rsidR="00FE1A9F" w:rsidRPr="007145ED" w:rsidRDefault="00FE1A9F" w:rsidP="00FE1A9F">
            <w:pPr>
              <w:rPr>
                <w:rFonts w:cs="Arial"/>
              </w:rPr>
            </w:pPr>
            <w:r w:rsidRPr="007145ED">
              <w:rPr>
                <w:rFonts w:cs="Arial"/>
              </w:rPr>
              <w:t>Uvođenje novih kultivara, sorti i vrsta</w:t>
            </w:r>
          </w:p>
        </w:tc>
        <w:tc>
          <w:tcPr>
            <w:tcW w:w="1240" w:type="dxa"/>
            <w:shd w:val="clear" w:color="auto" w:fill="FFFFFF" w:themeFill="background1"/>
          </w:tcPr>
          <w:p w14:paraId="1FBD358F" w14:textId="77777777" w:rsidR="00FE1A9F" w:rsidRPr="007145ED" w:rsidRDefault="00FE1A9F" w:rsidP="00FE1A9F">
            <w:pPr>
              <w:rPr>
                <w:rFonts w:cs="Arial"/>
              </w:rPr>
            </w:pPr>
          </w:p>
        </w:tc>
      </w:tr>
      <w:tr w:rsidR="00FE1A9F" w14:paraId="67BB8476" w14:textId="77777777" w:rsidTr="005E4458">
        <w:tc>
          <w:tcPr>
            <w:tcW w:w="1101" w:type="dxa"/>
            <w:shd w:val="clear" w:color="auto" w:fill="FFFFFF" w:themeFill="background1"/>
          </w:tcPr>
          <w:p w14:paraId="479EDAFE" w14:textId="22DCB3D1" w:rsidR="00FE1A9F" w:rsidRPr="007145ED" w:rsidRDefault="00FE1A9F" w:rsidP="00FE1A9F">
            <w:pPr>
              <w:rPr>
                <w:rFonts w:cs="Arial"/>
              </w:rPr>
            </w:pPr>
            <w:r w:rsidRPr="009A1A78">
              <w:rPr>
                <w:rFonts w:cs="Arial"/>
              </w:rPr>
              <w:t>POLJ-</w:t>
            </w:r>
            <w:r>
              <w:rPr>
                <w:rFonts w:cs="Arial"/>
              </w:rPr>
              <w:t>14</w:t>
            </w:r>
          </w:p>
        </w:tc>
        <w:tc>
          <w:tcPr>
            <w:tcW w:w="1134" w:type="dxa"/>
            <w:shd w:val="clear" w:color="auto" w:fill="FFFFFF" w:themeFill="background1"/>
          </w:tcPr>
          <w:p w14:paraId="34442987" w14:textId="121F7D3C" w:rsidR="00FE1A9F" w:rsidRDefault="00FE1A9F" w:rsidP="00FE1A9F">
            <w:pPr>
              <w:rPr>
                <w:rFonts w:cs="Arial"/>
              </w:rPr>
            </w:pPr>
            <w:r>
              <w:rPr>
                <w:rFonts w:cs="Arial"/>
              </w:rPr>
              <w:t>MAG-14</w:t>
            </w:r>
          </w:p>
        </w:tc>
        <w:tc>
          <w:tcPr>
            <w:tcW w:w="5811" w:type="dxa"/>
            <w:shd w:val="clear" w:color="auto" w:fill="FFFFFF" w:themeFill="background1"/>
            <w:vAlign w:val="top"/>
          </w:tcPr>
          <w:p w14:paraId="35F9DF0F" w14:textId="1763B135" w:rsidR="00FE1A9F" w:rsidRPr="007145ED" w:rsidRDefault="00FE1A9F" w:rsidP="00FE1A9F">
            <w:pPr>
              <w:rPr>
                <w:rFonts w:cs="Arial"/>
              </w:rPr>
            </w:pPr>
            <w:r w:rsidRPr="00387947">
              <w:t xml:space="preserve">Promjena načina prehrane ljudi </w:t>
            </w:r>
          </w:p>
        </w:tc>
        <w:tc>
          <w:tcPr>
            <w:tcW w:w="1240" w:type="dxa"/>
            <w:shd w:val="clear" w:color="auto" w:fill="FFFFFF" w:themeFill="background1"/>
          </w:tcPr>
          <w:p w14:paraId="4DEF1312" w14:textId="77777777" w:rsidR="00FE1A9F" w:rsidRPr="007145ED" w:rsidRDefault="00FE1A9F" w:rsidP="00FE1A9F">
            <w:pPr>
              <w:rPr>
                <w:rFonts w:cs="Arial"/>
              </w:rPr>
            </w:pPr>
          </w:p>
        </w:tc>
      </w:tr>
      <w:tr w:rsidR="00FE1A9F" w14:paraId="27D45F6F" w14:textId="77777777" w:rsidTr="005E4458">
        <w:tc>
          <w:tcPr>
            <w:tcW w:w="1101" w:type="dxa"/>
            <w:shd w:val="clear" w:color="auto" w:fill="FFFFFF" w:themeFill="background1"/>
          </w:tcPr>
          <w:p w14:paraId="16A2987A" w14:textId="628377D8" w:rsidR="00FE1A9F" w:rsidRPr="007145ED" w:rsidRDefault="00FE1A9F" w:rsidP="00FE1A9F">
            <w:pPr>
              <w:rPr>
                <w:rFonts w:cs="Arial"/>
              </w:rPr>
            </w:pPr>
            <w:r w:rsidRPr="009A1A78">
              <w:rPr>
                <w:rFonts w:cs="Arial"/>
              </w:rPr>
              <w:t>POLJ-</w:t>
            </w:r>
            <w:r>
              <w:rPr>
                <w:rFonts w:cs="Arial"/>
              </w:rPr>
              <w:t>15</w:t>
            </w:r>
          </w:p>
        </w:tc>
        <w:tc>
          <w:tcPr>
            <w:tcW w:w="1134" w:type="dxa"/>
            <w:shd w:val="clear" w:color="auto" w:fill="FFFFFF" w:themeFill="background1"/>
          </w:tcPr>
          <w:p w14:paraId="76C03FEE" w14:textId="66B79EB8" w:rsidR="00FE1A9F" w:rsidRDefault="00FE1A9F" w:rsidP="00FE1A9F">
            <w:pPr>
              <w:rPr>
                <w:rFonts w:cs="Arial"/>
              </w:rPr>
            </w:pPr>
            <w:r>
              <w:rPr>
                <w:rFonts w:cs="Arial"/>
              </w:rPr>
              <w:t>MAG-15</w:t>
            </w:r>
          </w:p>
        </w:tc>
        <w:tc>
          <w:tcPr>
            <w:tcW w:w="5811" w:type="dxa"/>
            <w:shd w:val="clear" w:color="auto" w:fill="FFFFFF" w:themeFill="background1"/>
            <w:vAlign w:val="top"/>
          </w:tcPr>
          <w:p w14:paraId="486195D5" w14:textId="6691F639" w:rsidR="00FE1A9F" w:rsidRPr="007145ED" w:rsidRDefault="00FE1A9F" w:rsidP="00FE1A9F">
            <w:pPr>
              <w:rPr>
                <w:rFonts w:cs="Arial"/>
              </w:rPr>
            </w:pPr>
            <w:r w:rsidRPr="00387947">
              <w:t>Sakupljanje i obrada poljoprivrednih nasada i ostataka za korištenje u energetske svrhe</w:t>
            </w:r>
          </w:p>
        </w:tc>
        <w:tc>
          <w:tcPr>
            <w:tcW w:w="1240" w:type="dxa"/>
            <w:shd w:val="clear" w:color="auto" w:fill="FFFFFF" w:themeFill="background1"/>
          </w:tcPr>
          <w:p w14:paraId="62BDD655" w14:textId="77777777" w:rsidR="00FE1A9F" w:rsidRPr="007145ED" w:rsidRDefault="00FE1A9F" w:rsidP="00FE1A9F">
            <w:pPr>
              <w:rPr>
                <w:rFonts w:cs="Arial"/>
              </w:rPr>
            </w:pPr>
          </w:p>
        </w:tc>
      </w:tr>
      <w:tr w:rsidR="00FE1A9F" w14:paraId="2A29AE1C" w14:textId="7CFEA0EF" w:rsidTr="005E4458">
        <w:tc>
          <w:tcPr>
            <w:tcW w:w="1101" w:type="dxa"/>
            <w:shd w:val="clear" w:color="auto" w:fill="FFFFFF" w:themeFill="background1"/>
          </w:tcPr>
          <w:p w14:paraId="48F7E9FC" w14:textId="0A89AD15" w:rsidR="00FE1A9F" w:rsidRPr="007145ED" w:rsidRDefault="00FE1A9F" w:rsidP="00FE1A9F">
            <w:pPr>
              <w:rPr>
                <w:rFonts w:cs="Arial"/>
              </w:rPr>
            </w:pPr>
            <w:r w:rsidRPr="007145ED">
              <w:rPr>
                <w:rFonts w:cs="Arial"/>
              </w:rPr>
              <w:t>LUF-1</w:t>
            </w:r>
          </w:p>
        </w:tc>
        <w:tc>
          <w:tcPr>
            <w:tcW w:w="1134" w:type="dxa"/>
            <w:shd w:val="clear" w:color="auto" w:fill="FFFFFF" w:themeFill="background1"/>
          </w:tcPr>
          <w:p w14:paraId="0F4FD0CF" w14:textId="5DF58765" w:rsidR="00FE1A9F" w:rsidRPr="007145ED" w:rsidRDefault="00FE1A9F" w:rsidP="00FE1A9F">
            <w:pPr>
              <w:rPr>
                <w:rFonts w:cs="Arial"/>
              </w:rPr>
            </w:pPr>
            <w:r>
              <w:rPr>
                <w:rFonts w:cs="Arial"/>
              </w:rPr>
              <w:t>MLF-1</w:t>
            </w:r>
          </w:p>
        </w:tc>
        <w:tc>
          <w:tcPr>
            <w:tcW w:w="5811" w:type="dxa"/>
            <w:shd w:val="clear" w:color="auto" w:fill="FFFFFF" w:themeFill="background1"/>
          </w:tcPr>
          <w:p w14:paraId="69D84DB3" w14:textId="6BB6DC37" w:rsidR="00FE1A9F" w:rsidRPr="007145ED" w:rsidRDefault="00FE1A9F" w:rsidP="00FE1A9F">
            <w:pPr>
              <w:rPr>
                <w:rFonts w:cs="Arial"/>
              </w:rPr>
            </w:pPr>
            <w:r w:rsidRPr="00692136">
              <w:rPr>
                <w:rFonts w:cs="Arial"/>
              </w:rPr>
              <w:t>Izrada Strategije upravljanja zemljištem R</w:t>
            </w:r>
            <w:r w:rsidR="00ED24DE">
              <w:rPr>
                <w:rFonts w:cs="Arial"/>
              </w:rPr>
              <w:t>epublike Hrvatske</w:t>
            </w:r>
          </w:p>
        </w:tc>
        <w:tc>
          <w:tcPr>
            <w:tcW w:w="1240" w:type="dxa"/>
            <w:shd w:val="clear" w:color="auto" w:fill="FFFFFF" w:themeFill="background1"/>
          </w:tcPr>
          <w:p w14:paraId="37743D61" w14:textId="77777777" w:rsidR="00FE1A9F" w:rsidRPr="007145ED" w:rsidRDefault="00FE1A9F" w:rsidP="00FE1A9F">
            <w:pPr>
              <w:rPr>
                <w:rFonts w:cs="Arial"/>
              </w:rPr>
            </w:pPr>
          </w:p>
        </w:tc>
      </w:tr>
      <w:tr w:rsidR="00FE1A9F" w14:paraId="328E4B3D" w14:textId="2BE12D52" w:rsidTr="005E4458">
        <w:tc>
          <w:tcPr>
            <w:tcW w:w="1101" w:type="dxa"/>
            <w:shd w:val="clear" w:color="auto" w:fill="FFFFFF" w:themeFill="background1"/>
          </w:tcPr>
          <w:p w14:paraId="3B575F3E" w14:textId="3A45BCD0" w:rsidR="00FE1A9F" w:rsidRPr="007145ED" w:rsidRDefault="00FE1A9F" w:rsidP="00FE1A9F">
            <w:pPr>
              <w:rPr>
                <w:rFonts w:cs="Arial"/>
              </w:rPr>
            </w:pPr>
            <w:r w:rsidRPr="007145ED">
              <w:rPr>
                <w:rFonts w:cs="Arial"/>
              </w:rPr>
              <w:t>LUF-2</w:t>
            </w:r>
          </w:p>
        </w:tc>
        <w:tc>
          <w:tcPr>
            <w:tcW w:w="1134" w:type="dxa"/>
            <w:shd w:val="clear" w:color="auto" w:fill="FFFFFF" w:themeFill="background1"/>
          </w:tcPr>
          <w:p w14:paraId="357DF9FC" w14:textId="54537685" w:rsidR="00FE1A9F" w:rsidRPr="007145ED" w:rsidRDefault="00FE1A9F" w:rsidP="00FE1A9F">
            <w:pPr>
              <w:rPr>
                <w:rFonts w:cs="Arial"/>
              </w:rPr>
            </w:pPr>
            <w:r>
              <w:rPr>
                <w:rFonts w:cs="Arial"/>
              </w:rPr>
              <w:t>MLF-2</w:t>
            </w:r>
          </w:p>
        </w:tc>
        <w:tc>
          <w:tcPr>
            <w:tcW w:w="5811" w:type="dxa"/>
            <w:shd w:val="clear" w:color="auto" w:fill="FFFFFF" w:themeFill="background1"/>
          </w:tcPr>
          <w:p w14:paraId="21ED9588" w14:textId="5AB2BFB9" w:rsidR="00FE1A9F" w:rsidRPr="007145ED" w:rsidRDefault="00FE1A9F" w:rsidP="00FE1A9F">
            <w:pPr>
              <w:rPr>
                <w:rFonts w:cs="Arial"/>
              </w:rPr>
            </w:pPr>
            <w:r w:rsidRPr="00A50598">
              <w:rPr>
                <w:rFonts w:cs="Arial"/>
              </w:rPr>
              <w:t>Akumulacija ugljika na površinama postojećih šuma</w:t>
            </w:r>
            <w:r w:rsidRPr="00A50598" w:rsidDel="00A50598">
              <w:rPr>
                <w:rFonts w:cs="Arial"/>
              </w:rPr>
              <w:t xml:space="preserve"> </w:t>
            </w:r>
          </w:p>
        </w:tc>
        <w:tc>
          <w:tcPr>
            <w:tcW w:w="1240" w:type="dxa"/>
            <w:shd w:val="clear" w:color="auto" w:fill="FFFFFF" w:themeFill="background1"/>
          </w:tcPr>
          <w:p w14:paraId="72CBC2FE" w14:textId="77777777" w:rsidR="00FE1A9F" w:rsidRPr="007145ED" w:rsidRDefault="00FE1A9F" w:rsidP="00FE1A9F">
            <w:pPr>
              <w:rPr>
                <w:rFonts w:cs="Arial"/>
              </w:rPr>
            </w:pPr>
          </w:p>
        </w:tc>
      </w:tr>
      <w:tr w:rsidR="00FE1A9F" w14:paraId="360A4B91" w14:textId="62E8723A" w:rsidTr="005E4458">
        <w:tc>
          <w:tcPr>
            <w:tcW w:w="1101" w:type="dxa"/>
            <w:shd w:val="clear" w:color="auto" w:fill="FFFFFF" w:themeFill="background1"/>
          </w:tcPr>
          <w:p w14:paraId="1A4822CE" w14:textId="5B74C002" w:rsidR="00FE1A9F" w:rsidRPr="007145ED" w:rsidRDefault="00FE1A9F" w:rsidP="00FE1A9F">
            <w:pPr>
              <w:rPr>
                <w:rFonts w:cs="Arial"/>
              </w:rPr>
            </w:pPr>
            <w:r w:rsidRPr="007145ED">
              <w:rPr>
                <w:rFonts w:cs="Arial"/>
              </w:rPr>
              <w:t>LUF-3</w:t>
            </w:r>
          </w:p>
        </w:tc>
        <w:tc>
          <w:tcPr>
            <w:tcW w:w="1134" w:type="dxa"/>
            <w:shd w:val="clear" w:color="auto" w:fill="FFFFFF" w:themeFill="background1"/>
          </w:tcPr>
          <w:p w14:paraId="39871739" w14:textId="177C7952" w:rsidR="00FE1A9F" w:rsidRPr="007145ED" w:rsidRDefault="00FE1A9F" w:rsidP="00FE1A9F">
            <w:pPr>
              <w:rPr>
                <w:rFonts w:cs="Arial"/>
              </w:rPr>
            </w:pPr>
            <w:r>
              <w:rPr>
                <w:rFonts w:cs="Arial"/>
              </w:rPr>
              <w:t>MLF-3</w:t>
            </w:r>
          </w:p>
        </w:tc>
        <w:tc>
          <w:tcPr>
            <w:tcW w:w="5811" w:type="dxa"/>
            <w:shd w:val="clear" w:color="auto" w:fill="FFFFFF" w:themeFill="background1"/>
          </w:tcPr>
          <w:p w14:paraId="5C6BFE5E" w14:textId="2D26F9F7" w:rsidR="00FE1A9F" w:rsidRPr="007145ED" w:rsidRDefault="00FE1A9F" w:rsidP="00FE1A9F">
            <w:pPr>
              <w:rPr>
                <w:rFonts w:cs="Arial"/>
              </w:rPr>
            </w:pPr>
            <w:r w:rsidRPr="005E0325">
              <w:rPr>
                <w:rFonts w:cs="Arial"/>
              </w:rPr>
              <w:t>Provedba radova pošumljavanja</w:t>
            </w:r>
          </w:p>
        </w:tc>
        <w:tc>
          <w:tcPr>
            <w:tcW w:w="1240" w:type="dxa"/>
            <w:shd w:val="clear" w:color="auto" w:fill="FFFFFF" w:themeFill="background1"/>
          </w:tcPr>
          <w:p w14:paraId="3E1987C6" w14:textId="77777777" w:rsidR="00FE1A9F" w:rsidRPr="007145ED" w:rsidRDefault="00FE1A9F" w:rsidP="00FE1A9F">
            <w:pPr>
              <w:rPr>
                <w:rFonts w:cs="Arial"/>
              </w:rPr>
            </w:pPr>
          </w:p>
        </w:tc>
      </w:tr>
      <w:tr w:rsidR="00FE1A9F" w14:paraId="0AA503BE" w14:textId="77777777" w:rsidTr="005E4458">
        <w:tc>
          <w:tcPr>
            <w:tcW w:w="1101" w:type="dxa"/>
            <w:shd w:val="clear" w:color="auto" w:fill="FFFFFF" w:themeFill="background1"/>
          </w:tcPr>
          <w:p w14:paraId="373CBCB8" w14:textId="2415903C" w:rsidR="00FE1A9F" w:rsidRDefault="00FE1A9F" w:rsidP="00FE1A9F">
            <w:r w:rsidRPr="007145ED">
              <w:rPr>
                <w:rFonts w:cs="Arial"/>
              </w:rPr>
              <w:t>LUF</w:t>
            </w:r>
            <w:r>
              <w:rPr>
                <w:rFonts w:cs="Arial"/>
              </w:rPr>
              <w:t>-4</w:t>
            </w:r>
          </w:p>
        </w:tc>
        <w:tc>
          <w:tcPr>
            <w:tcW w:w="1134" w:type="dxa"/>
            <w:shd w:val="clear" w:color="auto" w:fill="FFFFFF" w:themeFill="background1"/>
          </w:tcPr>
          <w:p w14:paraId="3020B47D" w14:textId="1D4704ED" w:rsidR="00FE1A9F" w:rsidRDefault="00FE1A9F" w:rsidP="00FE1A9F">
            <w:pPr>
              <w:rPr>
                <w:rFonts w:cs="Arial"/>
              </w:rPr>
            </w:pPr>
            <w:r>
              <w:rPr>
                <w:rFonts w:cs="Arial"/>
              </w:rPr>
              <w:t>MLF-4</w:t>
            </w:r>
          </w:p>
        </w:tc>
        <w:tc>
          <w:tcPr>
            <w:tcW w:w="5811" w:type="dxa"/>
            <w:shd w:val="clear" w:color="auto" w:fill="FFFFFF" w:themeFill="background1"/>
            <w:vAlign w:val="top"/>
          </w:tcPr>
          <w:p w14:paraId="71B8EA7C" w14:textId="2DCD00AD" w:rsidR="00FE1A9F" w:rsidRPr="000C5D90" w:rsidRDefault="00FE1A9F" w:rsidP="00FE1A9F">
            <w:r w:rsidRPr="004A3299">
              <w:t>Proizvodnja i uporaba drva i drvnih proizvoda</w:t>
            </w:r>
          </w:p>
        </w:tc>
        <w:tc>
          <w:tcPr>
            <w:tcW w:w="1240" w:type="dxa"/>
            <w:shd w:val="clear" w:color="auto" w:fill="FFFFFF" w:themeFill="background1"/>
          </w:tcPr>
          <w:p w14:paraId="5E089766" w14:textId="77777777" w:rsidR="00FE1A9F" w:rsidRDefault="00FE1A9F" w:rsidP="00FE1A9F"/>
        </w:tc>
      </w:tr>
      <w:tr w:rsidR="00FE1A9F" w14:paraId="22F29E8E" w14:textId="77777777" w:rsidTr="005E4458">
        <w:tc>
          <w:tcPr>
            <w:tcW w:w="1101" w:type="dxa"/>
            <w:shd w:val="clear" w:color="auto" w:fill="FFFFFF" w:themeFill="background1"/>
          </w:tcPr>
          <w:p w14:paraId="3649F1AB" w14:textId="6A4B1341" w:rsidR="00FE1A9F" w:rsidRDefault="00FE1A9F" w:rsidP="00FE1A9F">
            <w:r w:rsidRPr="007145ED">
              <w:rPr>
                <w:rFonts w:cs="Arial"/>
              </w:rPr>
              <w:t>LUF</w:t>
            </w:r>
            <w:r>
              <w:rPr>
                <w:rFonts w:cs="Arial"/>
              </w:rPr>
              <w:t>-5</w:t>
            </w:r>
          </w:p>
        </w:tc>
        <w:tc>
          <w:tcPr>
            <w:tcW w:w="1134" w:type="dxa"/>
            <w:shd w:val="clear" w:color="auto" w:fill="FFFFFF" w:themeFill="background1"/>
          </w:tcPr>
          <w:p w14:paraId="4DC8F547" w14:textId="4894AC2C" w:rsidR="00FE1A9F" w:rsidRDefault="00FE1A9F" w:rsidP="00FE1A9F">
            <w:pPr>
              <w:rPr>
                <w:rFonts w:cs="Arial"/>
              </w:rPr>
            </w:pPr>
            <w:r>
              <w:rPr>
                <w:rFonts w:cs="Arial"/>
              </w:rPr>
              <w:t>MLF-5</w:t>
            </w:r>
          </w:p>
        </w:tc>
        <w:tc>
          <w:tcPr>
            <w:tcW w:w="5811" w:type="dxa"/>
            <w:shd w:val="clear" w:color="auto" w:fill="FFFFFF" w:themeFill="background1"/>
            <w:vAlign w:val="top"/>
          </w:tcPr>
          <w:p w14:paraId="31767B90" w14:textId="186C0421" w:rsidR="00FE1A9F" w:rsidRPr="000C5D90" w:rsidRDefault="00FE1A9F" w:rsidP="00FE1A9F">
            <w:r w:rsidRPr="002516D1">
              <w:t>Gospodarenje poljoprivrednim zemljištem</w:t>
            </w:r>
          </w:p>
        </w:tc>
        <w:tc>
          <w:tcPr>
            <w:tcW w:w="1240" w:type="dxa"/>
            <w:shd w:val="clear" w:color="auto" w:fill="FFFFFF" w:themeFill="background1"/>
          </w:tcPr>
          <w:p w14:paraId="296F03D4" w14:textId="77777777" w:rsidR="00FE1A9F" w:rsidRDefault="00FE1A9F" w:rsidP="00FE1A9F"/>
        </w:tc>
      </w:tr>
      <w:tr w:rsidR="00FE1A9F" w14:paraId="173A3A7F" w14:textId="77777777" w:rsidTr="005E4458">
        <w:tc>
          <w:tcPr>
            <w:tcW w:w="1101" w:type="dxa"/>
            <w:shd w:val="clear" w:color="auto" w:fill="FFFFFF" w:themeFill="background1"/>
          </w:tcPr>
          <w:p w14:paraId="158D3094" w14:textId="5D2E8D10" w:rsidR="00FE1A9F" w:rsidRDefault="00FE1A9F" w:rsidP="00FE1A9F">
            <w:r w:rsidRPr="007145ED">
              <w:rPr>
                <w:rFonts w:cs="Arial"/>
              </w:rPr>
              <w:t>LUF</w:t>
            </w:r>
            <w:r>
              <w:rPr>
                <w:rFonts w:cs="Arial"/>
              </w:rPr>
              <w:t>-6</w:t>
            </w:r>
          </w:p>
        </w:tc>
        <w:tc>
          <w:tcPr>
            <w:tcW w:w="1134" w:type="dxa"/>
            <w:shd w:val="clear" w:color="auto" w:fill="FFFFFF" w:themeFill="background1"/>
          </w:tcPr>
          <w:p w14:paraId="648D489F" w14:textId="0A9DF70B" w:rsidR="00FE1A9F" w:rsidRDefault="00FE1A9F" w:rsidP="00FE1A9F">
            <w:pPr>
              <w:rPr>
                <w:rFonts w:cs="Arial"/>
              </w:rPr>
            </w:pPr>
            <w:r>
              <w:rPr>
                <w:rFonts w:cs="Arial"/>
              </w:rPr>
              <w:t>MLF-6</w:t>
            </w:r>
          </w:p>
        </w:tc>
        <w:tc>
          <w:tcPr>
            <w:tcW w:w="5811" w:type="dxa"/>
            <w:shd w:val="clear" w:color="auto" w:fill="FFFFFF" w:themeFill="background1"/>
            <w:vAlign w:val="top"/>
          </w:tcPr>
          <w:p w14:paraId="1B27F812" w14:textId="6E89259A" w:rsidR="00FE1A9F" w:rsidRPr="000C5D90" w:rsidRDefault="00FE1A9F" w:rsidP="00FE1A9F">
            <w:r w:rsidRPr="00127C64">
              <w:t>Gospodarenje pašnjacima</w:t>
            </w:r>
          </w:p>
        </w:tc>
        <w:tc>
          <w:tcPr>
            <w:tcW w:w="1240" w:type="dxa"/>
            <w:shd w:val="clear" w:color="auto" w:fill="FFFFFF" w:themeFill="background1"/>
          </w:tcPr>
          <w:p w14:paraId="67648B20" w14:textId="77777777" w:rsidR="00FE1A9F" w:rsidRDefault="00FE1A9F" w:rsidP="00FE1A9F"/>
        </w:tc>
      </w:tr>
      <w:tr w:rsidR="00FE1A9F" w14:paraId="77424528" w14:textId="77777777" w:rsidTr="005E4458">
        <w:tc>
          <w:tcPr>
            <w:tcW w:w="1101" w:type="dxa"/>
            <w:shd w:val="clear" w:color="auto" w:fill="FFFFFF" w:themeFill="background1"/>
          </w:tcPr>
          <w:p w14:paraId="7AADED42" w14:textId="5DE68098" w:rsidR="00FE1A9F" w:rsidRDefault="00FE1A9F" w:rsidP="00FE1A9F">
            <w:r w:rsidRPr="007145ED">
              <w:rPr>
                <w:rFonts w:cs="Arial"/>
              </w:rPr>
              <w:t>LUF</w:t>
            </w:r>
            <w:r>
              <w:rPr>
                <w:rFonts w:cs="Arial"/>
              </w:rPr>
              <w:t>-7</w:t>
            </w:r>
          </w:p>
        </w:tc>
        <w:tc>
          <w:tcPr>
            <w:tcW w:w="1134" w:type="dxa"/>
            <w:shd w:val="clear" w:color="auto" w:fill="FFFFFF" w:themeFill="background1"/>
          </w:tcPr>
          <w:p w14:paraId="7D73E4C0" w14:textId="3C9DBBF3" w:rsidR="00FE1A9F" w:rsidRDefault="00FE1A9F" w:rsidP="00FE1A9F">
            <w:pPr>
              <w:rPr>
                <w:rFonts w:cs="Arial"/>
              </w:rPr>
            </w:pPr>
            <w:r>
              <w:rPr>
                <w:rFonts w:cs="Arial"/>
              </w:rPr>
              <w:t>MLF-7</w:t>
            </w:r>
          </w:p>
        </w:tc>
        <w:tc>
          <w:tcPr>
            <w:tcW w:w="5811" w:type="dxa"/>
            <w:shd w:val="clear" w:color="auto" w:fill="FFFFFF" w:themeFill="background1"/>
            <w:vAlign w:val="top"/>
          </w:tcPr>
          <w:p w14:paraId="621B899E" w14:textId="4B50368C" w:rsidR="00FE1A9F" w:rsidRPr="00127C64" w:rsidRDefault="00FE1A9F" w:rsidP="00FE1A9F">
            <w:r w:rsidRPr="00B705FE">
              <w:t>Provedba tehničkih projekata i znanstvenih istraživanja u LULUCF sektoru</w:t>
            </w:r>
          </w:p>
        </w:tc>
        <w:tc>
          <w:tcPr>
            <w:tcW w:w="1240" w:type="dxa"/>
            <w:shd w:val="clear" w:color="auto" w:fill="FFFFFF" w:themeFill="background1"/>
          </w:tcPr>
          <w:p w14:paraId="557B5394" w14:textId="0F36633D" w:rsidR="00FE1A9F" w:rsidRDefault="00FE1A9F" w:rsidP="00FE1A9F">
            <w:r>
              <w:t>5</w:t>
            </w:r>
          </w:p>
        </w:tc>
      </w:tr>
      <w:tr w:rsidR="00FE1A9F" w14:paraId="3BECC982" w14:textId="77777777" w:rsidTr="005E4458">
        <w:tc>
          <w:tcPr>
            <w:tcW w:w="1101" w:type="dxa"/>
            <w:shd w:val="clear" w:color="auto" w:fill="FFFFFF" w:themeFill="background1"/>
          </w:tcPr>
          <w:p w14:paraId="0F1D346C" w14:textId="6AB86DF4" w:rsidR="00FE1A9F" w:rsidRPr="007145ED" w:rsidRDefault="00FE1A9F" w:rsidP="00FE1A9F">
            <w:bookmarkStart w:id="29" w:name="_Hlk26360695"/>
            <w:r>
              <w:t>FUG-1</w:t>
            </w:r>
          </w:p>
        </w:tc>
        <w:tc>
          <w:tcPr>
            <w:tcW w:w="1134" w:type="dxa"/>
            <w:shd w:val="clear" w:color="auto" w:fill="FFFFFF" w:themeFill="background1"/>
          </w:tcPr>
          <w:p w14:paraId="6E70D71E" w14:textId="3A83A0D5" w:rsidR="00FE1A9F" w:rsidRDefault="00FE1A9F" w:rsidP="00FE1A9F">
            <w:pPr>
              <w:rPr>
                <w:rFonts w:cs="Arial"/>
              </w:rPr>
            </w:pPr>
            <w:r>
              <w:rPr>
                <w:rFonts w:cs="Arial"/>
              </w:rPr>
              <w:t>MEN-24</w:t>
            </w:r>
          </w:p>
        </w:tc>
        <w:tc>
          <w:tcPr>
            <w:tcW w:w="5811" w:type="dxa"/>
            <w:shd w:val="clear" w:color="auto" w:fill="FFFFFF" w:themeFill="background1"/>
            <w:vAlign w:val="top"/>
          </w:tcPr>
          <w:p w14:paraId="79F98977" w14:textId="1BECE1AE" w:rsidR="00FE1A9F" w:rsidRPr="00E516C6" w:rsidRDefault="00FE1A9F" w:rsidP="00FE1A9F">
            <w:r w:rsidRPr="000C5D90">
              <w:t>Modernizacija rafinerija</w:t>
            </w:r>
          </w:p>
        </w:tc>
        <w:tc>
          <w:tcPr>
            <w:tcW w:w="1240" w:type="dxa"/>
            <w:shd w:val="clear" w:color="auto" w:fill="FFFFFF" w:themeFill="background1"/>
          </w:tcPr>
          <w:p w14:paraId="751B85E6" w14:textId="1A335840" w:rsidR="00FE1A9F" w:rsidRDefault="00FE1A9F" w:rsidP="00FE1A9F">
            <w:r>
              <w:t>2,3</w:t>
            </w:r>
          </w:p>
        </w:tc>
      </w:tr>
      <w:tr w:rsidR="00FE1A9F" w14:paraId="53867A89" w14:textId="77777777" w:rsidTr="005E4458">
        <w:tc>
          <w:tcPr>
            <w:tcW w:w="1101" w:type="dxa"/>
            <w:shd w:val="clear" w:color="auto" w:fill="FFFFFF" w:themeFill="background1"/>
          </w:tcPr>
          <w:p w14:paraId="518D1B40" w14:textId="405F0F05" w:rsidR="00FE1A9F" w:rsidRPr="007145ED" w:rsidRDefault="00FE1A9F" w:rsidP="00FE1A9F">
            <w:r>
              <w:t>FUG-2</w:t>
            </w:r>
          </w:p>
        </w:tc>
        <w:tc>
          <w:tcPr>
            <w:tcW w:w="1134" w:type="dxa"/>
            <w:shd w:val="clear" w:color="auto" w:fill="FFFFFF" w:themeFill="background1"/>
          </w:tcPr>
          <w:p w14:paraId="2D5B427D" w14:textId="1B01A133" w:rsidR="00FE1A9F" w:rsidRDefault="00FE1A9F" w:rsidP="00FE1A9F">
            <w:pPr>
              <w:rPr>
                <w:rFonts w:cs="Arial"/>
              </w:rPr>
            </w:pPr>
            <w:r>
              <w:rPr>
                <w:rFonts w:cs="Arial"/>
              </w:rPr>
              <w:t>MEN-25</w:t>
            </w:r>
          </w:p>
        </w:tc>
        <w:tc>
          <w:tcPr>
            <w:tcW w:w="5811" w:type="dxa"/>
            <w:shd w:val="clear" w:color="auto" w:fill="FFFFFF" w:themeFill="background1"/>
            <w:vAlign w:val="top"/>
          </w:tcPr>
          <w:p w14:paraId="21127FE4" w14:textId="699A8748" w:rsidR="00FE1A9F" w:rsidRPr="00E516C6" w:rsidRDefault="00FE1A9F" w:rsidP="00FE1A9F">
            <w:r w:rsidRPr="000C5D90">
              <w:t>Mjere povećanja energetske učinkovitosti unapređenjem procesa i procesnih jedinica</w:t>
            </w:r>
          </w:p>
        </w:tc>
        <w:tc>
          <w:tcPr>
            <w:tcW w:w="1240" w:type="dxa"/>
            <w:shd w:val="clear" w:color="auto" w:fill="FFFFFF" w:themeFill="background1"/>
          </w:tcPr>
          <w:p w14:paraId="5DC1166F" w14:textId="0C3A920B" w:rsidR="00FE1A9F" w:rsidRDefault="00FE1A9F" w:rsidP="00FE1A9F">
            <w:r>
              <w:t>2,3</w:t>
            </w:r>
          </w:p>
        </w:tc>
      </w:tr>
      <w:tr w:rsidR="00FE1A9F" w14:paraId="7A41FA4F" w14:textId="77777777" w:rsidTr="005E4458">
        <w:tc>
          <w:tcPr>
            <w:tcW w:w="1101" w:type="dxa"/>
            <w:shd w:val="clear" w:color="auto" w:fill="FFFFFF" w:themeFill="background1"/>
          </w:tcPr>
          <w:p w14:paraId="66937B3A" w14:textId="19D00371" w:rsidR="00FE1A9F" w:rsidRPr="007145ED" w:rsidRDefault="00FE1A9F" w:rsidP="00FE1A9F">
            <w:r>
              <w:t>FUG-3</w:t>
            </w:r>
          </w:p>
        </w:tc>
        <w:tc>
          <w:tcPr>
            <w:tcW w:w="1134" w:type="dxa"/>
            <w:shd w:val="clear" w:color="auto" w:fill="FFFFFF" w:themeFill="background1"/>
          </w:tcPr>
          <w:p w14:paraId="42EB5961" w14:textId="7D7A3AF9" w:rsidR="00FE1A9F" w:rsidRDefault="00FE1A9F" w:rsidP="00FE1A9F">
            <w:pPr>
              <w:rPr>
                <w:rFonts w:cs="Arial"/>
              </w:rPr>
            </w:pPr>
            <w:r>
              <w:rPr>
                <w:rFonts w:cs="Arial"/>
              </w:rPr>
              <w:t>MEN-26</w:t>
            </w:r>
          </w:p>
        </w:tc>
        <w:tc>
          <w:tcPr>
            <w:tcW w:w="5811" w:type="dxa"/>
            <w:shd w:val="clear" w:color="auto" w:fill="FFFFFF" w:themeFill="background1"/>
            <w:vAlign w:val="top"/>
          </w:tcPr>
          <w:p w14:paraId="59D0BB00" w14:textId="6844C266" w:rsidR="00FE1A9F" w:rsidRPr="00E516C6" w:rsidRDefault="00FE1A9F" w:rsidP="00FE1A9F">
            <w:r w:rsidRPr="000C5D90">
              <w:t>Spaljivanje metana na baklji</w:t>
            </w:r>
          </w:p>
        </w:tc>
        <w:tc>
          <w:tcPr>
            <w:tcW w:w="1240" w:type="dxa"/>
            <w:shd w:val="clear" w:color="auto" w:fill="FFFFFF" w:themeFill="background1"/>
          </w:tcPr>
          <w:p w14:paraId="37A2C3E5" w14:textId="77777777" w:rsidR="00FE1A9F" w:rsidRDefault="00FE1A9F" w:rsidP="00FE1A9F"/>
        </w:tc>
      </w:tr>
      <w:tr w:rsidR="00FE1A9F" w14:paraId="4677015B" w14:textId="6578BF44" w:rsidTr="005E4458">
        <w:tc>
          <w:tcPr>
            <w:tcW w:w="1101" w:type="dxa"/>
            <w:shd w:val="clear" w:color="auto" w:fill="FFFFFF" w:themeFill="background1"/>
          </w:tcPr>
          <w:p w14:paraId="6FEF2BF0" w14:textId="471E343A" w:rsidR="00FE1A9F" w:rsidRPr="007145ED" w:rsidRDefault="00FE1A9F" w:rsidP="00FE1A9F">
            <w:pPr>
              <w:rPr>
                <w:rFonts w:cs="Arial"/>
              </w:rPr>
            </w:pPr>
            <w:r w:rsidRPr="007145ED">
              <w:t>OIE-1</w:t>
            </w:r>
          </w:p>
        </w:tc>
        <w:tc>
          <w:tcPr>
            <w:tcW w:w="1134" w:type="dxa"/>
            <w:shd w:val="clear" w:color="auto" w:fill="FFFFFF" w:themeFill="background1"/>
          </w:tcPr>
          <w:p w14:paraId="3D43DAE2" w14:textId="5B5888FB" w:rsidR="00FE1A9F" w:rsidRPr="00E516C6" w:rsidRDefault="00FE1A9F" w:rsidP="00FE1A9F">
            <w:r>
              <w:rPr>
                <w:rFonts w:cs="Arial"/>
              </w:rPr>
              <w:t>MEN-1</w:t>
            </w:r>
            <w:r w:rsidR="00A8468D">
              <w:rPr>
                <w:rFonts w:cs="Arial"/>
              </w:rPr>
              <w:t>6</w:t>
            </w:r>
          </w:p>
        </w:tc>
        <w:tc>
          <w:tcPr>
            <w:tcW w:w="5811" w:type="dxa"/>
            <w:shd w:val="clear" w:color="auto" w:fill="FFFFFF" w:themeFill="background1"/>
          </w:tcPr>
          <w:p w14:paraId="45757785" w14:textId="5C0EB0EC" w:rsidR="00FE1A9F" w:rsidRPr="007145ED" w:rsidRDefault="00FE1A9F" w:rsidP="00FE1A9F">
            <w:pPr>
              <w:rPr>
                <w:rFonts w:cs="Arial"/>
              </w:rPr>
            </w:pPr>
            <w:r w:rsidRPr="00E516C6">
              <w:t>Informiranje, edukacija i povećanje kapaciteta za korištenje OIE</w:t>
            </w:r>
          </w:p>
        </w:tc>
        <w:tc>
          <w:tcPr>
            <w:tcW w:w="1240" w:type="dxa"/>
            <w:shd w:val="clear" w:color="auto" w:fill="FFFFFF" w:themeFill="background1"/>
          </w:tcPr>
          <w:p w14:paraId="167BCA95" w14:textId="68CF0241" w:rsidR="00FE1A9F" w:rsidRPr="00E516C6" w:rsidRDefault="00FE1A9F" w:rsidP="00FE1A9F">
            <w:r>
              <w:t>2,3,4</w:t>
            </w:r>
          </w:p>
        </w:tc>
      </w:tr>
      <w:tr w:rsidR="00FE1A9F" w14:paraId="0374FB49" w14:textId="01B6C112" w:rsidTr="005E4458">
        <w:tc>
          <w:tcPr>
            <w:tcW w:w="1101" w:type="dxa"/>
            <w:shd w:val="clear" w:color="auto" w:fill="FFFFFF" w:themeFill="background1"/>
          </w:tcPr>
          <w:p w14:paraId="5BC80683" w14:textId="2FB180C4" w:rsidR="00FE1A9F" w:rsidRPr="007145ED" w:rsidRDefault="00FE1A9F" w:rsidP="00FE1A9F">
            <w:pPr>
              <w:rPr>
                <w:rFonts w:cs="Arial"/>
              </w:rPr>
            </w:pPr>
            <w:r w:rsidRPr="007145ED">
              <w:t>OIE-2</w:t>
            </w:r>
          </w:p>
        </w:tc>
        <w:tc>
          <w:tcPr>
            <w:tcW w:w="1134" w:type="dxa"/>
            <w:shd w:val="clear" w:color="auto" w:fill="FFFFFF" w:themeFill="background1"/>
          </w:tcPr>
          <w:p w14:paraId="383FCB51" w14:textId="07849485" w:rsidR="00FE1A9F" w:rsidRPr="00371B4B" w:rsidRDefault="00FE1A9F" w:rsidP="00FE1A9F">
            <w:r>
              <w:rPr>
                <w:rFonts w:cs="Arial"/>
              </w:rPr>
              <w:t>MEN-1</w:t>
            </w:r>
            <w:r w:rsidR="00A8468D">
              <w:rPr>
                <w:rFonts w:cs="Arial"/>
              </w:rPr>
              <w:t>7</w:t>
            </w:r>
          </w:p>
        </w:tc>
        <w:tc>
          <w:tcPr>
            <w:tcW w:w="5811" w:type="dxa"/>
            <w:shd w:val="clear" w:color="auto" w:fill="FFFFFF" w:themeFill="background1"/>
          </w:tcPr>
          <w:p w14:paraId="23AEC980" w14:textId="528E4D7E" w:rsidR="00FE1A9F" w:rsidRPr="007145ED" w:rsidRDefault="00FE1A9F" w:rsidP="00FE1A9F">
            <w:pPr>
              <w:rPr>
                <w:rFonts w:cs="Arial"/>
              </w:rPr>
            </w:pPr>
            <w:bookmarkStart w:id="30" w:name="_Hlk531872947"/>
            <w:r w:rsidRPr="00371B4B">
              <w:t xml:space="preserve">Prostorno-planski preduvjeti za korištenje </w:t>
            </w:r>
            <w:bookmarkEnd w:id="30"/>
            <w:r>
              <w:t>OIE</w:t>
            </w:r>
          </w:p>
        </w:tc>
        <w:tc>
          <w:tcPr>
            <w:tcW w:w="1240" w:type="dxa"/>
            <w:shd w:val="clear" w:color="auto" w:fill="FFFFFF" w:themeFill="background1"/>
          </w:tcPr>
          <w:p w14:paraId="397EC35F" w14:textId="42A38A69" w:rsidR="00FE1A9F" w:rsidRPr="00371B4B" w:rsidRDefault="00FE1A9F" w:rsidP="00FE1A9F">
            <w:r>
              <w:t>3,4,5</w:t>
            </w:r>
          </w:p>
        </w:tc>
      </w:tr>
      <w:tr w:rsidR="00FE1A9F" w14:paraId="1FE5319D" w14:textId="10E6506B" w:rsidTr="005E4458">
        <w:tc>
          <w:tcPr>
            <w:tcW w:w="1101" w:type="dxa"/>
            <w:shd w:val="clear" w:color="auto" w:fill="FFFFFF" w:themeFill="background1"/>
          </w:tcPr>
          <w:p w14:paraId="60FC7F14" w14:textId="444A5466" w:rsidR="00FE1A9F" w:rsidRPr="007145ED" w:rsidRDefault="00FE1A9F" w:rsidP="00FE1A9F">
            <w:r>
              <w:lastRenderedPageBreak/>
              <w:t>OIE-3</w:t>
            </w:r>
          </w:p>
        </w:tc>
        <w:tc>
          <w:tcPr>
            <w:tcW w:w="1134" w:type="dxa"/>
            <w:shd w:val="clear" w:color="auto" w:fill="FFFFFF" w:themeFill="background1"/>
          </w:tcPr>
          <w:p w14:paraId="2080EDAF" w14:textId="01CD041A" w:rsidR="00FE1A9F" w:rsidRPr="00FA631F" w:rsidRDefault="00FE1A9F" w:rsidP="00FE1A9F">
            <w:r>
              <w:rPr>
                <w:rFonts w:cs="Arial"/>
              </w:rPr>
              <w:t>MEN-18</w:t>
            </w:r>
          </w:p>
        </w:tc>
        <w:tc>
          <w:tcPr>
            <w:tcW w:w="5811" w:type="dxa"/>
            <w:shd w:val="clear" w:color="auto" w:fill="FFFFFF" w:themeFill="background1"/>
          </w:tcPr>
          <w:p w14:paraId="51A41C79" w14:textId="5540581B" w:rsidR="00FE1A9F" w:rsidRPr="007145ED" w:rsidRDefault="00FE1A9F" w:rsidP="00FE1A9F">
            <w:r w:rsidRPr="00FA631F">
              <w:t xml:space="preserve">Poticanje korištenja </w:t>
            </w:r>
            <w:r>
              <w:t>OIE</w:t>
            </w:r>
            <w:r w:rsidRPr="00FA631F">
              <w:t xml:space="preserve"> za proizvodnju električne</w:t>
            </w:r>
            <w:r>
              <w:t xml:space="preserve"> i toplinske</w:t>
            </w:r>
            <w:r w:rsidRPr="00FA631F">
              <w:t xml:space="preserve"> energije</w:t>
            </w:r>
          </w:p>
        </w:tc>
        <w:tc>
          <w:tcPr>
            <w:tcW w:w="1240" w:type="dxa"/>
            <w:shd w:val="clear" w:color="auto" w:fill="FFFFFF" w:themeFill="background1"/>
          </w:tcPr>
          <w:p w14:paraId="6BCD9D57" w14:textId="57D752A9" w:rsidR="00FE1A9F" w:rsidRPr="00FA631F" w:rsidRDefault="00FE1A9F" w:rsidP="00FE1A9F">
            <w:r>
              <w:t>3,4,5</w:t>
            </w:r>
          </w:p>
        </w:tc>
      </w:tr>
      <w:tr w:rsidR="00FE1A9F" w14:paraId="06623619" w14:textId="653F8452" w:rsidTr="005E4458">
        <w:tc>
          <w:tcPr>
            <w:tcW w:w="1101" w:type="dxa"/>
            <w:shd w:val="clear" w:color="auto" w:fill="FFFFFF" w:themeFill="background1"/>
          </w:tcPr>
          <w:p w14:paraId="51BFF56F" w14:textId="1C9C0F46" w:rsidR="00FE1A9F" w:rsidRPr="007145ED" w:rsidRDefault="00FE1A9F" w:rsidP="00FE1A9F">
            <w:pPr>
              <w:rPr>
                <w:rFonts w:cs="Arial"/>
              </w:rPr>
            </w:pPr>
            <w:r w:rsidRPr="007145ED">
              <w:t>OIE-</w:t>
            </w:r>
            <w:r>
              <w:t>4</w:t>
            </w:r>
          </w:p>
        </w:tc>
        <w:tc>
          <w:tcPr>
            <w:tcW w:w="1134" w:type="dxa"/>
            <w:shd w:val="clear" w:color="auto" w:fill="FFFFFF" w:themeFill="background1"/>
          </w:tcPr>
          <w:p w14:paraId="24EB1630" w14:textId="273AFC5A" w:rsidR="00FE1A9F" w:rsidRPr="007145ED" w:rsidRDefault="00FE1A9F" w:rsidP="00FE1A9F">
            <w:r>
              <w:rPr>
                <w:rFonts w:cs="Arial"/>
              </w:rPr>
              <w:t>MEN-19</w:t>
            </w:r>
          </w:p>
        </w:tc>
        <w:tc>
          <w:tcPr>
            <w:tcW w:w="5811" w:type="dxa"/>
            <w:shd w:val="clear" w:color="auto" w:fill="FFFFFF" w:themeFill="background1"/>
          </w:tcPr>
          <w:p w14:paraId="4C3773CC" w14:textId="664A4A04" w:rsidR="00FE1A9F" w:rsidRPr="007145ED" w:rsidRDefault="00FE1A9F" w:rsidP="00FE1A9F">
            <w:pPr>
              <w:rPr>
                <w:rFonts w:cs="Arial"/>
              </w:rPr>
            </w:pPr>
            <w:r w:rsidRPr="007145ED">
              <w:t>Razrada regulatornog okvira</w:t>
            </w:r>
            <w:r w:rsidR="003629D9">
              <w:t xml:space="preserve"> za</w:t>
            </w:r>
            <w:r w:rsidR="00C63E9A">
              <w:t xml:space="preserve"> korištenje</w:t>
            </w:r>
            <w:r w:rsidR="003629D9">
              <w:t xml:space="preserve"> OIE</w:t>
            </w:r>
          </w:p>
        </w:tc>
        <w:tc>
          <w:tcPr>
            <w:tcW w:w="1240" w:type="dxa"/>
            <w:shd w:val="clear" w:color="auto" w:fill="FFFFFF" w:themeFill="background1"/>
          </w:tcPr>
          <w:p w14:paraId="538DDEF4" w14:textId="349B620C" w:rsidR="00FE1A9F" w:rsidRPr="007145ED" w:rsidRDefault="00FE1A9F" w:rsidP="00FE1A9F">
            <w:r>
              <w:t>4</w:t>
            </w:r>
          </w:p>
        </w:tc>
      </w:tr>
      <w:tr w:rsidR="00FE1A9F" w14:paraId="1A41628B" w14:textId="650ABC4A" w:rsidTr="005E4458">
        <w:tc>
          <w:tcPr>
            <w:tcW w:w="1101" w:type="dxa"/>
            <w:shd w:val="clear" w:color="auto" w:fill="FFFFFF" w:themeFill="background1"/>
          </w:tcPr>
          <w:p w14:paraId="792CCB5C" w14:textId="1E54F9DF" w:rsidR="00FE1A9F" w:rsidRPr="007145ED" w:rsidRDefault="00FE1A9F" w:rsidP="00FE1A9F">
            <w:pPr>
              <w:rPr>
                <w:rFonts w:cs="Arial"/>
              </w:rPr>
            </w:pPr>
            <w:r w:rsidRPr="007145ED">
              <w:rPr>
                <w:rFonts w:cs="Arial"/>
              </w:rPr>
              <w:t>TR-1</w:t>
            </w:r>
          </w:p>
        </w:tc>
        <w:tc>
          <w:tcPr>
            <w:tcW w:w="1134" w:type="dxa"/>
            <w:shd w:val="clear" w:color="auto" w:fill="FFFFFF" w:themeFill="background1"/>
          </w:tcPr>
          <w:p w14:paraId="2078528F" w14:textId="62C4BC87" w:rsidR="00FE1A9F" w:rsidRPr="007145ED" w:rsidRDefault="00FE1A9F" w:rsidP="00FE1A9F">
            <w:pPr>
              <w:rPr>
                <w:rFonts w:cs="Arial"/>
              </w:rPr>
            </w:pPr>
            <w:r>
              <w:rPr>
                <w:rFonts w:cs="Arial"/>
              </w:rPr>
              <w:t>MTR-1</w:t>
            </w:r>
          </w:p>
        </w:tc>
        <w:tc>
          <w:tcPr>
            <w:tcW w:w="5811" w:type="dxa"/>
            <w:shd w:val="clear" w:color="auto" w:fill="FFFFFF" w:themeFill="background1"/>
          </w:tcPr>
          <w:p w14:paraId="468292AA" w14:textId="71032391" w:rsidR="00FE1A9F" w:rsidRPr="007145ED" w:rsidRDefault="00FE1A9F" w:rsidP="00FE1A9F">
            <w:pPr>
              <w:rPr>
                <w:rFonts w:cs="Arial"/>
              </w:rPr>
            </w:pPr>
            <w:r w:rsidRPr="007145ED">
              <w:rPr>
                <w:rFonts w:cs="Arial"/>
              </w:rPr>
              <w:t>Informiranje potrošača o ekonomičnosti potrošnje goriva i emisiji CO</w:t>
            </w:r>
            <w:r w:rsidRPr="007145ED">
              <w:rPr>
                <w:rFonts w:cs="Arial"/>
                <w:vertAlign w:val="subscript"/>
              </w:rPr>
              <w:t>2</w:t>
            </w:r>
            <w:r w:rsidRPr="007145ED">
              <w:rPr>
                <w:rFonts w:cs="Arial"/>
              </w:rPr>
              <w:t xml:space="preserve"> novih osobnih automobila</w:t>
            </w:r>
          </w:p>
        </w:tc>
        <w:tc>
          <w:tcPr>
            <w:tcW w:w="1240" w:type="dxa"/>
            <w:shd w:val="clear" w:color="auto" w:fill="FFFFFF" w:themeFill="background1"/>
          </w:tcPr>
          <w:p w14:paraId="466BD915" w14:textId="55F35662" w:rsidR="00FE1A9F" w:rsidRPr="007145ED" w:rsidRDefault="00FE1A9F" w:rsidP="00FE1A9F">
            <w:pPr>
              <w:rPr>
                <w:rFonts w:cs="Arial"/>
              </w:rPr>
            </w:pPr>
            <w:r>
              <w:rPr>
                <w:rFonts w:cs="Arial"/>
              </w:rPr>
              <w:t>2</w:t>
            </w:r>
          </w:p>
        </w:tc>
      </w:tr>
      <w:tr w:rsidR="00FE1A9F" w14:paraId="4DFCF737" w14:textId="1693153E" w:rsidTr="005E4458">
        <w:tc>
          <w:tcPr>
            <w:tcW w:w="1101" w:type="dxa"/>
            <w:shd w:val="clear" w:color="auto" w:fill="FFFFFF" w:themeFill="background1"/>
          </w:tcPr>
          <w:p w14:paraId="155B44F9" w14:textId="0247E79C" w:rsidR="00FE1A9F" w:rsidRPr="007145ED" w:rsidRDefault="00FE1A9F" w:rsidP="00FE1A9F">
            <w:pPr>
              <w:rPr>
                <w:rFonts w:cs="Arial"/>
              </w:rPr>
            </w:pPr>
            <w:r w:rsidRPr="007145ED">
              <w:rPr>
                <w:rFonts w:cs="Arial"/>
              </w:rPr>
              <w:t>TR-2</w:t>
            </w:r>
          </w:p>
        </w:tc>
        <w:tc>
          <w:tcPr>
            <w:tcW w:w="1134" w:type="dxa"/>
            <w:shd w:val="clear" w:color="auto" w:fill="FFFFFF" w:themeFill="background1"/>
          </w:tcPr>
          <w:p w14:paraId="0DC7765B" w14:textId="308178EF" w:rsidR="00FE1A9F" w:rsidRPr="007145ED" w:rsidRDefault="00FE1A9F" w:rsidP="00FE1A9F">
            <w:pPr>
              <w:rPr>
                <w:rFonts w:cs="Arial"/>
              </w:rPr>
            </w:pPr>
            <w:r>
              <w:rPr>
                <w:rFonts w:cs="Arial"/>
              </w:rPr>
              <w:t>MTR-2</w:t>
            </w:r>
          </w:p>
        </w:tc>
        <w:tc>
          <w:tcPr>
            <w:tcW w:w="5811" w:type="dxa"/>
            <w:shd w:val="clear" w:color="auto" w:fill="FFFFFF" w:themeFill="background1"/>
          </w:tcPr>
          <w:p w14:paraId="6971CE1C" w14:textId="059DB222" w:rsidR="00FE1A9F" w:rsidRPr="007145ED" w:rsidRDefault="00FE1A9F" w:rsidP="00FE1A9F">
            <w:pPr>
              <w:rPr>
                <w:rFonts w:cs="Arial"/>
              </w:rPr>
            </w:pPr>
            <w:r w:rsidRPr="007145ED">
              <w:rPr>
                <w:rFonts w:cs="Arial"/>
              </w:rPr>
              <w:t>Posebna naknada za okoliš za vozila na motorni pogon</w:t>
            </w:r>
          </w:p>
        </w:tc>
        <w:tc>
          <w:tcPr>
            <w:tcW w:w="1240" w:type="dxa"/>
            <w:shd w:val="clear" w:color="auto" w:fill="FFFFFF" w:themeFill="background1"/>
          </w:tcPr>
          <w:p w14:paraId="6FC6A865" w14:textId="7345E436" w:rsidR="00FE1A9F" w:rsidRPr="007145ED" w:rsidRDefault="00FE1A9F" w:rsidP="00FE1A9F">
            <w:pPr>
              <w:rPr>
                <w:rFonts w:cs="Arial"/>
              </w:rPr>
            </w:pPr>
            <w:r>
              <w:rPr>
                <w:rFonts w:cs="Arial"/>
              </w:rPr>
              <w:t>2</w:t>
            </w:r>
          </w:p>
        </w:tc>
      </w:tr>
      <w:tr w:rsidR="00FE1A9F" w14:paraId="09575910" w14:textId="58AD00D0" w:rsidTr="005E4458">
        <w:tc>
          <w:tcPr>
            <w:tcW w:w="1101" w:type="dxa"/>
            <w:shd w:val="clear" w:color="auto" w:fill="FFFFFF" w:themeFill="background1"/>
          </w:tcPr>
          <w:p w14:paraId="0FA8A4F7" w14:textId="63BCACC0" w:rsidR="00FE1A9F" w:rsidRPr="007145ED" w:rsidRDefault="00FE1A9F" w:rsidP="00FE1A9F">
            <w:pPr>
              <w:rPr>
                <w:rFonts w:cs="Arial"/>
              </w:rPr>
            </w:pPr>
            <w:r w:rsidRPr="00642B7C">
              <w:rPr>
                <w:rFonts w:cs="Arial"/>
              </w:rPr>
              <w:t>TR-3</w:t>
            </w:r>
          </w:p>
        </w:tc>
        <w:tc>
          <w:tcPr>
            <w:tcW w:w="1134" w:type="dxa"/>
            <w:shd w:val="clear" w:color="auto" w:fill="FFFFFF" w:themeFill="background1"/>
          </w:tcPr>
          <w:p w14:paraId="5379B06F" w14:textId="72094642" w:rsidR="00FE1A9F" w:rsidRPr="00642B7C" w:rsidRDefault="00FE1A9F" w:rsidP="00FE1A9F">
            <w:pPr>
              <w:rPr>
                <w:rFonts w:cs="Arial"/>
              </w:rPr>
            </w:pPr>
            <w:r>
              <w:rPr>
                <w:rFonts w:cs="Arial"/>
              </w:rPr>
              <w:t>MTR-3</w:t>
            </w:r>
          </w:p>
        </w:tc>
        <w:tc>
          <w:tcPr>
            <w:tcW w:w="5811" w:type="dxa"/>
            <w:shd w:val="clear" w:color="auto" w:fill="FFFFFF" w:themeFill="background1"/>
          </w:tcPr>
          <w:p w14:paraId="53CD62E2" w14:textId="13F25A2A" w:rsidR="00FE1A9F" w:rsidRPr="007145ED" w:rsidRDefault="00FE1A9F" w:rsidP="00FE1A9F">
            <w:pPr>
              <w:rPr>
                <w:rFonts w:cs="Arial"/>
              </w:rPr>
            </w:pPr>
            <w:r w:rsidRPr="00642B7C">
              <w:rPr>
                <w:rFonts w:cs="Arial"/>
              </w:rPr>
              <w:t>Posebni porez za motorna vozila</w:t>
            </w:r>
          </w:p>
        </w:tc>
        <w:tc>
          <w:tcPr>
            <w:tcW w:w="1240" w:type="dxa"/>
            <w:shd w:val="clear" w:color="auto" w:fill="FFFFFF" w:themeFill="background1"/>
          </w:tcPr>
          <w:p w14:paraId="2C90F0D5" w14:textId="77777777" w:rsidR="00FE1A9F" w:rsidRPr="00642B7C" w:rsidRDefault="00FE1A9F" w:rsidP="00FE1A9F">
            <w:pPr>
              <w:rPr>
                <w:rFonts w:cs="Arial"/>
              </w:rPr>
            </w:pPr>
          </w:p>
        </w:tc>
      </w:tr>
      <w:tr w:rsidR="00FE1A9F" w14:paraId="6420A13A" w14:textId="45C18020" w:rsidTr="005E4458">
        <w:tc>
          <w:tcPr>
            <w:tcW w:w="1101" w:type="dxa"/>
            <w:shd w:val="clear" w:color="auto" w:fill="FFFFFF" w:themeFill="background1"/>
          </w:tcPr>
          <w:p w14:paraId="4BDAE092" w14:textId="7D656E38" w:rsidR="00FE1A9F" w:rsidRPr="007145ED" w:rsidRDefault="00FE1A9F" w:rsidP="00FE1A9F">
            <w:pPr>
              <w:rPr>
                <w:rFonts w:cs="Arial"/>
              </w:rPr>
            </w:pPr>
            <w:r w:rsidRPr="00642B7C">
              <w:rPr>
                <w:rFonts w:cs="Arial"/>
              </w:rPr>
              <w:t>TR-4</w:t>
            </w:r>
          </w:p>
        </w:tc>
        <w:tc>
          <w:tcPr>
            <w:tcW w:w="1134" w:type="dxa"/>
            <w:shd w:val="clear" w:color="auto" w:fill="FFFFFF" w:themeFill="background1"/>
          </w:tcPr>
          <w:p w14:paraId="37C8BE94" w14:textId="68D93F38" w:rsidR="00FE1A9F" w:rsidRPr="00642B7C" w:rsidRDefault="00FE1A9F" w:rsidP="00FE1A9F">
            <w:pPr>
              <w:rPr>
                <w:rFonts w:cs="Arial"/>
              </w:rPr>
            </w:pPr>
            <w:r>
              <w:rPr>
                <w:rFonts w:cs="Arial"/>
              </w:rPr>
              <w:t>MTR-4</w:t>
            </w:r>
          </w:p>
        </w:tc>
        <w:tc>
          <w:tcPr>
            <w:tcW w:w="5811" w:type="dxa"/>
            <w:shd w:val="clear" w:color="auto" w:fill="FFFFFF" w:themeFill="background1"/>
          </w:tcPr>
          <w:p w14:paraId="26E61782" w14:textId="36BDE509" w:rsidR="00FE1A9F" w:rsidRPr="007145ED" w:rsidRDefault="00FE1A9F" w:rsidP="00FE1A9F">
            <w:pPr>
              <w:rPr>
                <w:rFonts w:cs="Arial"/>
              </w:rPr>
            </w:pPr>
            <w:r w:rsidRPr="00642B7C">
              <w:rPr>
                <w:rFonts w:cs="Arial"/>
              </w:rPr>
              <w:t>Praćenje, izvještavanje i verifikacija emisija stakleničkih plinova u životnom vijeku goriva</w:t>
            </w:r>
            <w:r>
              <w:rPr>
                <w:rFonts w:cs="Arial"/>
              </w:rPr>
              <w:t xml:space="preserve"> i energije</w:t>
            </w:r>
          </w:p>
        </w:tc>
        <w:tc>
          <w:tcPr>
            <w:tcW w:w="1240" w:type="dxa"/>
            <w:shd w:val="clear" w:color="auto" w:fill="FFFFFF" w:themeFill="background1"/>
          </w:tcPr>
          <w:p w14:paraId="772D2ADF" w14:textId="4CD77883" w:rsidR="00FE1A9F" w:rsidRPr="00642B7C" w:rsidRDefault="00FE1A9F" w:rsidP="00FE1A9F">
            <w:pPr>
              <w:rPr>
                <w:rFonts w:cs="Arial"/>
              </w:rPr>
            </w:pPr>
            <w:r>
              <w:rPr>
                <w:rFonts w:cs="Arial"/>
              </w:rPr>
              <w:t>2</w:t>
            </w:r>
          </w:p>
        </w:tc>
      </w:tr>
      <w:tr w:rsidR="00FE1A9F" w14:paraId="0E677103" w14:textId="2ADA33BD" w:rsidTr="005E4458">
        <w:tc>
          <w:tcPr>
            <w:tcW w:w="1101" w:type="dxa"/>
            <w:shd w:val="clear" w:color="auto" w:fill="FFFFFF" w:themeFill="background1"/>
          </w:tcPr>
          <w:p w14:paraId="315AEBC9" w14:textId="14D51FB9" w:rsidR="00FE1A9F" w:rsidRPr="007145ED" w:rsidRDefault="00FE1A9F" w:rsidP="00FE1A9F">
            <w:pPr>
              <w:rPr>
                <w:rFonts w:cs="Arial"/>
              </w:rPr>
            </w:pPr>
            <w:r w:rsidRPr="007145ED">
              <w:rPr>
                <w:rFonts w:cs="Arial"/>
              </w:rPr>
              <w:t>TR-5</w:t>
            </w:r>
          </w:p>
        </w:tc>
        <w:tc>
          <w:tcPr>
            <w:tcW w:w="1134" w:type="dxa"/>
            <w:shd w:val="clear" w:color="auto" w:fill="FFFFFF" w:themeFill="background1"/>
          </w:tcPr>
          <w:p w14:paraId="37003673" w14:textId="28AB5722" w:rsidR="00FE1A9F" w:rsidRPr="00033456" w:rsidRDefault="00FE1A9F" w:rsidP="00FE1A9F">
            <w:pPr>
              <w:rPr>
                <w:rFonts w:cs="Arial"/>
              </w:rPr>
            </w:pPr>
            <w:r>
              <w:rPr>
                <w:rFonts w:cs="Arial"/>
              </w:rPr>
              <w:t>MTR-5</w:t>
            </w:r>
          </w:p>
        </w:tc>
        <w:tc>
          <w:tcPr>
            <w:tcW w:w="5811" w:type="dxa"/>
            <w:shd w:val="clear" w:color="auto" w:fill="FFFFFF" w:themeFill="background1"/>
          </w:tcPr>
          <w:p w14:paraId="081450AB" w14:textId="14D7D482" w:rsidR="00FE1A9F" w:rsidRPr="007145ED" w:rsidRDefault="00FE1A9F" w:rsidP="00FE1A9F">
            <w:pPr>
              <w:rPr>
                <w:rFonts w:cs="Arial"/>
              </w:rPr>
            </w:pPr>
            <w:r w:rsidRPr="00033456">
              <w:rPr>
                <w:rFonts w:cs="Arial"/>
              </w:rPr>
              <w:t>Zakonodavne prilagodbe za čišći promet</w:t>
            </w:r>
          </w:p>
        </w:tc>
        <w:tc>
          <w:tcPr>
            <w:tcW w:w="1240" w:type="dxa"/>
            <w:shd w:val="clear" w:color="auto" w:fill="FFFFFF" w:themeFill="background1"/>
          </w:tcPr>
          <w:p w14:paraId="7B1A0C77" w14:textId="7118608C" w:rsidR="00FE1A9F" w:rsidRPr="007145ED" w:rsidRDefault="00CB03D8" w:rsidP="00FE1A9F">
            <w:pPr>
              <w:rPr>
                <w:rFonts w:cs="Arial"/>
              </w:rPr>
            </w:pPr>
            <w:r>
              <w:rPr>
                <w:rFonts w:cs="Arial"/>
              </w:rPr>
              <w:t>2,3</w:t>
            </w:r>
          </w:p>
        </w:tc>
      </w:tr>
      <w:tr w:rsidR="00FE1A9F" w14:paraId="4F205466" w14:textId="77777777" w:rsidTr="005E4458">
        <w:tc>
          <w:tcPr>
            <w:tcW w:w="1101" w:type="dxa"/>
            <w:shd w:val="clear" w:color="auto" w:fill="FFFFFF" w:themeFill="background1"/>
          </w:tcPr>
          <w:p w14:paraId="7C63C188" w14:textId="5F496D14" w:rsidR="00FE1A9F" w:rsidRPr="007145ED" w:rsidRDefault="00FE1A9F" w:rsidP="00FE1A9F">
            <w:pPr>
              <w:rPr>
                <w:rFonts w:cs="Arial"/>
              </w:rPr>
            </w:pPr>
            <w:r>
              <w:rPr>
                <w:rFonts w:cs="Arial"/>
              </w:rPr>
              <w:t>TR-6</w:t>
            </w:r>
          </w:p>
        </w:tc>
        <w:tc>
          <w:tcPr>
            <w:tcW w:w="1134" w:type="dxa"/>
            <w:shd w:val="clear" w:color="auto" w:fill="FFFFFF" w:themeFill="background1"/>
          </w:tcPr>
          <w:p w14:paraId="1A047ADD" w14:textId="77777777" w:rsidR="00FE1A9F" w:rsidRPr="00642B7C" w:rsidRDefault="00FE1A9F" w:rsidP="00FE1A9F">
            <w:pPr>
              <w:rPr>
                <w:rFonts w:cs="Arial"/>
              </w:rPr>
            </w:pPr>
            <w:r>
              <w:rPr>
                <w:rFonts w:cs="Arial"/>
              </w:rPr>
              <w:t>MTR-6</w:t>
            </w:r>
          </w:p>
        </w:tc>
        <w:tc>
          <w:tcPr>
            <w:tcW w:w="5811" w:type="dxa"/>
            <w:shd w:val="clear" w:color="auto" w:fill="FFFFFF" w:themeFill="background1"/>
          </w:tcPr>
          <w:p w14:paraId="38EA3EE3" w14:textId="77777777" w:rsidR="00FE1A9F" w:rsidRPr="007145ED" w:rsidRDefault="00FE1A9F" w:rsidP="00FE1A9F">
            <w:pPr>
              <w:rPr>
                <w:rFonts w:cs="Arial"/>
              </w:rPr>
            </w:pPr>
            <w:r w:rsidRPr="00642B7C">
              <w:rPr>
                <w:rFonts w:cs="Arial"/>
              </w:rPr>
              <w:t>Financijski poticaji za energetski učinkovita vozila</w:t>
            </w:r>
          </w:p>
        </w:tc>
        <w:tc>
          <w:tcPr>
            <w:tcW w:w="1240" w:type="dxa"/>
            <w:shd w:val="clear" w:color="auto" w:fill="FFFFFF" w:themeFill="background1"/>
          </w:tcPr>
          <w:p w14:paraId="0D7B52B3" w14:textId="77777777" w:rsidR="00FE1A9F" w:rsidRPr="00642B7C" w:rsidRDefault="00FE1A9F" w:rsidP="00FE1A9F">
            <w:pPr>
              <w:rPr>
                <w:rFonts w:cs="Arial"/>
              </w:rPr>
            </w:pPr>
            <w:r>
              <w:rPr>
                <w:rFonts w:cs="Arial"/>
              </w:rPr>
              <w:t>2</w:t>
            </w:r>
          </w:p>
        </w:tc>
      </w:tr>
      <w:tr w:rsidR="00FE1A9F" w14:paraId="06D8CF92" w14:textId="77777777" w:rsidTr="005E4458">
        <w:tc>
          <w:tcPr>
            <w:tcW w:w="1101" w:type="dxa"/>
            <w:shd w:val="clear" w:color="auto" w:fill="FFFFFF" w:themeFill="background1"/>
          </w:tcPr>
          <w:p w14:paraId="2652AFD0" w14:textId="1EEA7867" w:rsidR="00FE1A9F" w:rsidRPr="007145ED" w:rsidRDefault="00FE1A9F" w:rsidP="00FE1A9F">
            <w:pPr>
              <w:rPr>
                <w:rFonts w:cs="Arial"/>
              </w:rPr>
            </w:pPr>
            <w:r>
              <w:rPr>
                <w:rFonts w:cs="Arial"/>
              </w:rPr>
              <w:t>TR-7</w:t>
            </w:r>
          </w:p>
        </w:tc>
        <w:tc>
          <w:tcPr>
            <w:tcW w:w="1134" w:type="dxa"/>
            <w:shd w:val="clear" w:color="auto" w:fill="FFFFFF" w:themeFill="background1"/>
          </w:tcPr>
          <w:p w14:paraId="4D2F8179" w14:textId="77777777" w:rsidR="00FE1A9F" w:rsidRPr="00642B7C" w:rsidRDefault="00FE1A9F" w:rsidP="00FE1A9F">
            <w:pPr>
              <w:rPr>
                <w:rFonts w:cs="Arial"/>
              </w:rPr>
            </w:pPr>
            <w:r>
              <w:rPr>
                <w:rFonts w:cs="Arial"/>
              </w:rPr>
              <w:t>MTR-7</w:t>
            </w:r>
          </w:p>
        </w:tc>
        <w:tc>
          <w:tcPr>
            <w:tcW w:w="5811" w:type="dxa"/>
            <w:shd w:val="clear" w:color="auto" w:fill="FFFFFF" w:themeFill="background1"/>
          </w:tcPr>
          <w:p w14:paraId="3286E0AA" w14:textId="77777777" w:rsidR="00FE1A9F" w:rsidRPr="007145ED" w:rsidRDefault="00FE1A9F" w:rsidP="00FE1A9F">
            <w:pPr>
              <w:rPr>
                <w:rFonts w:cs="Arial"/>
              </w:rPr>
            </w:pPr>
            <w:r w:rsidRPr="00642B7C">
              <w:rPr>
                <w:rFonts w:cs="Arial"/>
              </w:rPr>
              <w:t xml:space="preserve">Razvoj infrastrukture za alternativna goriva </w:t>
            </w:r>
          </w:p>
        </w:tc>
        <w:tc>
          <w:tcPr>
            <w:tcW w:w="1240" w:type="dxa"/>
            <w:shd w:val="clear" w:color="auto" w:fill="FFFFFF" w:themeFill="background1"/>
          </w:tcPr>
          <w:p w14:paraId="7B65AE33" w14:textId="77777777" w:rsidR="00FE1A9F" w:rsidRPr="00642B7C" w:rsidRDefault="00FE1A9F" w:rsidP="00FE1A9F">
            <w:pPr>
              <w:rPr>
                <w:rFonts w:cs="Arial"/>
              </w:rPr>
            </w:pPr>
            <w:r>
              <w:rPr>
                <w:rFonts w:cs="Arial"/>
              </w:rPr>
              <w:t>2</w:t>
            </w:r>
          </w:p>
        </w:tc>
      </w:tr>
      <w:tr w:rsidR="00FE1A9F" w14:paraId="4AB64E0D" w14:textId="7D99188B" w:rsidTr="005E4458">
        <w:tc>
          <w:tcPr>
            <w:tcW w:w="1101" w:type="dxa"/>
            <w:shd w:val="clear" w:color="auto" w:fill="FFFFFF" w:themeFill="background1"/>
          </w:tcPr>
          <w:p w14:paraId="7578C9E1" w14:textId="2419BC9E" w:rsidR="00FE1A9F" w:rsidRPr="007145ED" w:rsidRDefault="00FE1A9F" w:rsidP="00FE1A9F">
            <w:pPr>
              <w:rPr>
                <w:rFonts w:cs="Arial"/>
              </w:rPr>
            </w:pPr>
            <w:r>
              <w:rPr>
                <w:rFonts w:cs="Arial"/>
              </w:rPr>
              <w:t>TR-8</w:t>
            </w:r>
          </w:p>
        </w:tc>
        <w:tc>
          <w:tcPr>
            <w:tcW w:w="1134" w:type="dxa"/>
            <w:shd w:val="clear" w:color="auto" w:fill="FFFFFF" w:themeFill="background1"/>
          </w:tcPr>
          <w:p w14:paraId="77CE3019" w14:textId="7F31DF28" w:rsidR="00FE1A9F" w:rsidRPr="00E50753" w:rsidRDefault="00FE1A9F" w:rsidP="00FE1A9F">
            <w:pPr>
              <w:rPr>
                <w:rFonts w:cs="Arial"/>
              </w:rPr>
            </w:pPr>
            <w:r>
              <w:rPr>
                <w:rFonts w:cs="Arial"/>
              </w:rPr>
              <w:t>MTR-8</w:t>
            </w:r>
          </w:p>
        </w:tc>
        <w:tc>
          <w:tcPr>
            <w:tcW w:w="5811" w:type="dxa"/>
            <w:shd w:val="clear" w:color="auto" w:fill="FFFFFF" w:themeFill="background1"/>
          </w:tcPr>
          <w:p w14:paraId="35E5C4A9" w14:textId="2F4FFF6E" w:rsidR="00FE1A9F" w:rsidRPr="007145ED" w:rsidRDefault="00FE1A9F" w:rsidP="00FE1A9F">
            <w:pPr>
              <w:rPr>
                <w:rFonts w:cs="Arial"/>
              </w:rPr>
            </w:pPr>
            <w:r w:rsidRPr="00E50753">
              <w:rPr>
                <w:rFonts w:cs="Arial"/>
              </w:rPr>
              <w:t xml:space="preserve">Poticanje </w:t>
            </w:r>
            <w:r>
              <w:rPr>
                <w:rFonts w:cs="Arial"/>
              </w:rPr>
              <w:t>integriran</w:t>
            </w:r>
            <w:r w:rsidRPr="00E50753">
              <w:rPr>
                <w:rFonts w:cs="Arial"/>
              </w:rPr>
              <w:t xml:space="preserve">og </w:t>
            </w:r>
            <w:r>
              <w:rPr>
                <w:rFonts w:cs="Arial"/>
              </w:rPr>
              <w:t>teret</w:t>
            </w:r>
            <w:r w:rsidR="00733C2F">
              <w:rPr>
                <w:rFonts w:cs="Arial"/>
              </w:rPr>
              <w:t>nog prometa</w:t>
            </w:r>
          </w:p>
        </w:tc>
        <w:tc>
          <w:tcPr>
            <w:tcW w:w="1240" w:type="dxa"/>
            <w:shd w:val="clear" w:color="auto" w:fill="FFFFFF" w:themeFill="background1"/>
          </w:tcPr>
          <w:p w14:paraId="12D2E374" w14:textId="77777777" w:rsidR="00FE1A9F" w:rsidRPr="00642B7C" w:rsidRDefault="00FE1A9F" w:rsidP="00FE1A9F">
            <w:pPr>
              <w:rPr>
                <w:rFonts w:cs="Arial"/>
              </w:rPr>
            </w:pPr>
          </w:p>
        </w:tc>
      </w:tr>
      <w:tr w:rsidR="00FE1A9F" w14:paraId="0B4BB744" w14:textId="77777777" w:rsidTr="005E4458">
        <w:tc>
          <w:tcPr>
            <w:tcW w:w="1101" w:type="dxa"/>
            <w:shd w:val="clear" w:color="auto" w:fill="FFFFFF" w:themeFill="background1"/>
          </w:tcPr>
          <w:p w14:paraId="779A832C" w14:textId="53D77C29" w:rsidR="00FE1A9F" w:rsidRPr="007145ED" w:rsidRDefault="00FE1A9F" w:rsidP="00FE1A9F">
            <w:pPr>
              <w:rPr>
                <w:rFonts w:cs="Arial"/>
              </w:rPr>
            </w:pPr>
            <w:r>
              <w:rPr>
                <w:rFonts w:cs="Arial"/>
              </w:rPr>
              <w:t>TR-9</w:t>
            </w:r>
          </w:p>
        </w:tc>
        <w:tc>
          <w:tcPr>
            <w:tcW w:w="1134" w:type="dxa"/>
            <w:shd w:val="clear" w:color="auto" w:fill="FFFFFF" w:themeFill="background1"/>
          </w:tcPr>
          <w:p w14:paraId="7DA72B10" w14:textId="77777777" w:rsidR="00FE1A9F" w:rsidRPr="00642B7C" w:rsidRDefault="00FE1A9F" w:rsidP="00FE1A9F">
            <w:pPr>
              <w:rPr>
                <w:rFonts w:cs="Arial"/>
              </w:rPr>
            </w:pPr>
            <w:r>
              <w:rPr>
                <w:rFonts w:cs="Arial"/>
              </w:rPr>
              <w:t>MTR-9</w:t>
            </w:r>
          </w:p>
        </w:tc>
        <w:tc>
          <w:tcPr>
            <w:tcW w:w="5811" w:type="dxa"/>
            <w:shd w:val="clear" w:color="auto" w:fill="FFFFFF" w:themeFill="background1"/>
          </w:tcPr>
          <w:p w14:paraId="112C0B9D" w14:textId="77777777" w:rsidR="00FE1A9F" w:rsidRPr="007145ED" w:rsidRDefault="00FE1A9F" w:rsidP="00FE1A9F">
            <w:pPr>
              <w:rPr>
                <w:rFonts w:cs="Arial"/>
              </w:rPr>
            </w:pPr>
            <w:r w:rsidRPr="00642B7C">
              <w:rPr>
                <w:rFonts w:cs="Arial"/>
              </w:rPr>
              <w:t>Poticanje razvoja</w:t>
            </w:r>
            <w:r>
              <w:rPr>
                <w:rFonts w:cs="Arial"/>
              </w:rPr>
              <w:t xml:space="preserve"> održivog</w:t>
            </w:r>
            <w:r w:rsidRPr="00642B7C">
              <w:rPr>
                <w:rFonts w:cs="Arial"/>
              </w:rPr>
              <w:t xml:space="preserve"> </w:t>
            </w:r>
            <w:r>
              <w:rPr>
                <w:rFonts w:cs="Arial"/>
              </w:rPr>
              <w:t>integriran</w:t>
            </w:r>
            <w:r w:rsidRPr="00642B7C">
              <w:rPr>
                <w:rFonts w:cs="Arial"/>
              </w:rPr>
              <w:t>og prometa</w:t>
            </w:r>
            <w:r>
              <w:rPr>
                <w:rFonts w:cs="Arial"/>
              </w:rPr>
              <w:t xml:space="preserve"> na nacionalnoj razini</w:t>
            </w:r>
            <w:r w:rsidRPr="00642B7C" w:rsidDel="00220296">
              <w:rPr>
                <w:rFonts w:cs="Arial"/>
              </w:rPr>
              <w:t xml:space="preserve"> </w:t>
            </w:r>
          </w:p>
        </w:tc>
        <w:tc>
          <w:tcPr>
            <w:tcW w:w="1240" w:type="dxa"/>
            <w:shd w:val="clear" w:color="auto" w:fill="FFFFFF" w:themeFill="background1"/>
          </w:tcPr>
          <w:p w14:paraId="61C630D1" w14:textId="5337D2E8" w:rsidR="00FE1A9F" w:rsidRPr="00642B7C" w:rsidRDefault="00CB03D8" w:rsidP="00FE1A9F">
            <w:pPr>
              <w:rPr>
                <w:rFonts w:cs="Arial"/>
              </w:rPr>
            </w:pPr>
            <w:r>
              <w:rPr>
                <w:rFonts w:cs="Arial"/>
              </w:rPr>
              <w:t>2,3</w:t>
            </w:r>
          </w:p>
        </w:tc>
      </w:tr>
      <w:tr w:rsidR="00FE1A9F" w14:paraId="5ACEFB09" w14:textId="77777777" w:rsidTr="005E4458">
        <w:tc>
          <w:tcPr>
            <w:tcW w:w="1101" w:type="dxa"/>
            <w:shd w:val="clear" w:color="auto" w:fill="FFFFFF" w:themeFill="background1"/>
          </w:tcPr>
          <w:p w14:paraId="3E9C47A7" w14:textId="77777777" w:rsidR="00FE1A9F" w:rsidRPr="007145ED" w:rsidRDefault="00FE1A9F" w:rsidP="00FE1A9F">
            <w:pPr>
              <w:rPr>
                <w:rFonts w:cs="Arial"/>
              </w:rPr>
            </w:pPr>
            <w:r w:rsidRPr="00642B7C">
              <w:rPr>
                <w:rFonts w:cs="Arial"/>
              </w:rPr>
              <w:t>TR-10</w:t>
            </w:r>
          </w:p>
        </w:tc>
        <w:tc>
          <w:tcPr>
            <w:tcW w:w="1134" w:type="dxa"/>
            <w:shd w:val="clear" w:color="auto" w:fill="FFFFFF" w:themeFill="background1"/>
          </w:tcPr>
          <w:p w14:paraId="0C75B39A" w14:textId="77777777" w:rsidR="00FE1A9F" w:rsidRPr="00642B7C" w:rsidRDefault="00FE1A9F" w:rsidP="00FE1A9F">
            <w:pPr>
              <w:rPr>
                <w:rFonts w:cs="Arial"/>
              </w:rPr>
            </w:pPr>
            <w:r>
              <w:rPr>
                <w:rFonts w:cs="Arial"/>
              </w:rPr>
              <w:t>MTR-10</w:t>
            </w:r>
          </w:p>
        </w:tc>
        <w:tc>
          <w:tcPr>
            <w:tcW w:w="5811" w:type="dxa"/>
            <w:shd w:val="clear" w:color="auto" w:fill="FFFFFF" w:themeFill="background1"/>
          </w:tcPr>
          <w:p w14:paraId="1A77DDEF" w14:textId="77777777" w:rsidR="00FE1A9F" w:rsidRPr="007145ED" w:rsidRDefault="00FE1A9F" w:rsidP="00FE1A9F">
            <w:pPr>
              <w:rPr>
                <w:rFonts w:cs="Arial"/>
              </w:rPr>
            </w:pPr>
            <w:r w:rsidRPr="00642B7C">
              <w:rPr>
                <w:rFonts w:cs="Arial"/>
              </w:rPr>
              <w:t>Promicanje integriranog i inteligentnog prometa i razvoj infrastrukture za alternativna goriva na lokalnoj i područnoj razini</w:t>
            </w:r>
          </w:p>
        </w:tc>
        <w:tc>
          <w:tcPr>
            <w:tcW w:w="1240" w:type="dxa"/>
            <w:shd w:val="clear" w:color="auto" w:fill="FFFFFF" w:themeFill="background1"/>
          </w:tcPr>
          <w:p w14:paraId="0389DC24" w14:textId="77777777" w:rsidR="00FE1A9F" w:rsidRPr="00642B7C" w:rsidRDefault="00FE1A9F" w:rsidP="00FE1A9F">
            <w:pPr>
              <w:rPr>
                <w:rFonts w:cs="Arial"/>
              </w:rPr>
            </w:pPr>
            <w:r>
              <w:rPr>
                <w:rFonts w:cs="Arial"/>
              </w:rPr>
              <w:t>2</w:t>
            </w:r>
          </w:p>
        </w:tc>
      </w:tr>
      <w:tr w:rsidR="00FE1A9F" w14:paraId="02D588C1" w14:textId="6FDDAD7D" w:rsidTr="005E4458">
        <w:tc>
          <w:tcPr>
            <w:tcW w:w="1101" w:type="dxa"/>
            <w:shd w:val="clear" w:color="auto" w:fill="FFFFFF" w:themeFill="background1"/>
          </w:tcPr>
          <w:p w14:paraId="40BDCBEA" w14:textId="37F090BD" w:rsidR="00FE1A9F" w:rsidRPr="007145ED" w:rsidRDefault="00FE1A9F" w:rsidP="00FE1A9F">
            <w:pPr>
              <w:rPr>
                <w:rFonts w:cs="Arial"/>
              </w:rPr>
            </w:pPr>
            <w:r w:rsidRPr="00642B7C">
              <w:rPr>
                <w:rFonts w:cs="Arial"/>
              </w:rPr>
              <w:t>TR-11</w:t>
            </w:r>
          </w:p>
        </w:tc>
        <w:tc>
          <w:tcPr>
            <w:tcW w:w="1134" w:type="dxa"/>
            <w:shd w:val="clear" w:color="auto" w:fill="FFFFFF" w:themeFill="background1"/>
          </w:tcPr>
          <w:p w14:paraId="23441DC0" w14:textId="09A41EE5" w:rsidR="00FE1A9F" w:rsidRPr="00642B7C" w:rsidRDefault="00FE1A9F" w:rsidP="00FE1A9F">
            <w:pPr>
              <w:rPr>
                <w:rFonts w:cs="Arial"/>
              </w:rPr>
            </w:pPr>
            <w:r>
              <w:rPr>
                <w:rFonts w:cs="Arial"/>
              </w:rPr>
              <w:t>MTR-11</w:t>
            </w:r>
          </w:p>
        </w:tc>
        <w:tc>
          <w:tcPr>
            <w:tcW w:w="5811" w:type="dxa"/>
            <w:shd w:val="clear" w:color="auto" w:fill="FFFFFF" w:themeFill="background1"/>
          </w:tcPr>
          <w:p w14:paraId="4C44B4B6" w14:textId="7657D99C" w:rsidR="00FE1A9F" w:rsidRPr="007145ED" w:rsidRDefault="00FE1A9F" w:rsidP="00FE1A9F">
            <w:pPr>
              <w:rPr>
                <w:rFonts w:cs="Arial"/>
              </w:rPr>
            </w:pPr>
            <w:r w:rsidRPr="00642B7C">
              <w:rPr>
                <w:rFonts w:cs="Arial"/>
              </w:rPr>
              <w:t>Obuka vozača cestovnih vozila za eko vožnju</w:t>
            </w:r>
          </w:p>
        </w:tc>
        <w:tc>
          <w:tcPr>
            <w:tcW w:w="1240" w:type="dxa"/>
            <w:shd w:val="clear" w:color="auto" w:fill="FFFFFF" w:themeFill="background1"/>
          </w:tcPr>
          <w:p w14:paraId="6EEF6516" w14:textId="3B48A588" w:rsidR="00FE1A9F" w:rsidRPr="00642B7C" w:rsidRDefault="00FE1A9F" w:rsidP="00FE1A9F">
            <w:pPr>
              <w:rPr>
                <w:rFonts w:cs="Arial"/>
              </w:rPr>
            </w:pPr>
            <w:r>
              <w:rPr>
                <w:rFonts w:cs="Arial"/>
              </w:rPr>
              <w:t>2</w:t>
            </w:r>
          </w:p>
        </w:tc>
      </w:tr>
      <w:tr w:rsidR="00FE1A9F" w14:paraId="2836FB9C" w14:textId="77777777" w:rsidTr="005E4458">
        <w:tc>
          <w:tcPr>
            <w:tcW w:w="1101" w:type="dxa"/>
            <w:shd w:val="clear" w:color="auto" w:fill="FFFFFF" w:themeFill="background1"/>
          </w:tcPr>
          <w:p w14:paraId="57470483" w14:textId="57C8FD60" w:rsidR="00FE1A9F" w:rsidRPr="00642B7C" w:rsidRDefault="00FE1A9F" w:rsidP="00FE1A9F">
            <w:pPr>
              <w:rPr>
                <w:rFonts w:cs="Arial"/>
              </w:rPr>
            </w:pPr>
            <w:r>
              <w:rPr>
                <w:rFonts w:cs="Arial"/>
              </w:rPr>
              <w:t>TR-12</w:t>
            </w:r>
          </w:p>
        </w:tc>
        <w:tc>
          <w:tcPr>
            <w:tcW w:w="1134" w:type="dxa"/>
            <w:shd w:val="clear" w:color="auto" w:fill="FFFFFF" w:themeFill="background1"/>
          </w:tcPr>
          <w:p w14:paraId="5A84F665" w14:textId="77777777" w:rsidR="00FE1A9F" w:rsidRPr="00E62229" w:rsidRDefault="00FE1A9F" w:rsidP="00FE1A9F">
            <w:pPr>
              <w:rPr>
                <w:rFonts w:cs="Arial"/>
              </w:rPr>
            </w:pPr>
            <w:r>
              <w:rPr>
                <w:rFonts w:cs="Arial"/>
              </w:rPr>
              <w:t>MTR-12</w:t>
            </w:r>
          </w:p>
        </w:tc>
        <w:tc>
          <w:tcPr>
            <w:tcW w:w="5811" w:type="dxa"/>
            <w:shd w:val="clear" w:color="auto" w:fill="FFFFFF" w:themeFill="background1"/>
          </w:tcPr>
          <w:p w14:paraId="39ED749B" w14:textId="77777777" w:rsidR="00FE1A9F" w:rsidRPr="00642B7C" w:rsidRDefault="00FE1A9F" w:rsidP="00FE1A9F">
            <w:pPr>
              <w:rPr>
                <w:rFonts w:cs="Arial"/>
              </w:rPr>
            </w:pPr>
            <w:r w:rsidRPr="00E62229">
              <w:rPr>
                <w:rFonts w:cs="Arial"/>
              </w:rPr>
              <w:t>Poticanje brodskog prometa na alternativna goriva</w:t>
            </w:r>
          </w:p>
        </w:tc>
        <w:tc>
          <w:tcPr>
            <w:tcW w:w="1240" w:type="dxa"/>
            <w:shd w:val="clear" w:color="auto" w:fill="FFFFFF" w:themeFill="background1"/>
          </w:tcPr>
          <w:p w14:paraId="659F3812" w14:textId="77777777" w:rsidR="00FE1A9F" w:rsidRDefault="00FE1A9F" w:rsidP="00FE1A9F">
            <w:pPr>
              <w:rPr>
                <w:rFonts w:cs="Arial"/>
              </w:rPr>
            </w:pPr>
            <w:r>
              <w:rPr>
                <w:rFonts w:cs="Arial"/>
              </w:rPr>
              <w:t>2</w:t>
            </w:r>
          </w:p>
        </w:tc>
      </w:tr>
      <w:tr w:rsidR="00FE1A9F" w14:paraId="52E59E84" w14:textId="7A106DB4" w:rsidTr="005E4458">
        <w:tc>
          <w:tcPr>
            <w:tcW w:w="1101" w:type="dxa"/>
            <w:shd w:val="clear" w:color="auto" w:fill="FFFFFF" w:themeFill="background1"/>
          </w:tcPr>
          <w:p w14:paraId="3A34B9AB" w14:textId="087572B7" w:rsidR="00FE1A9F" w:rsidRPr="007145ED" w:rsidRDefault="00FE1A9F" w:rsidP="00FE1A9F">
            <w:pPr>
              <w:rPr>
                <w:rFonts w:cs="Arial"/>
              </w:rPr>
            </w:pPr>
            <w:r w:rsidRPr="00642B7C">
              <w:rPr>
                <w:rFonts w:cs="Arial"/>
              </w:rPr>
              <w:t>TR-1</w:t>
            </w:r>
            <w:r>
              <w:rPr>
                <w:rFonts w:cs="Arial"/>
              </w:rPr>
              <w:t>3</w:t>
            </w:r>
          </w:p>
        </w:tc>
        <w:tc>
          <w:tcPr>
            <w:tcW w:w="1134" w:type="dxa"/>
            <w:shd w:val="clear" w:color="auto" w:fill="FFFFFF" w:themeFill="background1"/>
          </w:tcPr>
          <w:p w14:paraId="12919199" w14:textId="5E83BF08" w:rsidR="00FE1A9F" w:rsidRDefault="00FE1A9F" w:rsidP="00FE1A9F">
            <w:pPr>
              <w:rPr>
                <w:rFonts w:cs="Arial"/>
              </w:rPr>
            </w:pPr>
            <w:r>
              <w:rPr>
                <w:rFonts w:cs="Arial"/>
              </w:rPr>
              <w:t>MTR-13</w:t>
            </w:r>
          </w:p>
        </w:tc>
        <w:tc>
          <w:tcPr>
            <w:tcW w:w="5811" w:type="dxa"/>
            <w:shd w:val="clear" w:color="auto" w:fill="FFFFFF" w:themeFill="background1"/>
          </w:tcPr>
          <w:p w14:paraId="13C3A034" w14:textId="2E3DC3E9" w:rsidR="00FE1A9F" w:rsidRPr="007145ED" w:rsidRDefault="00FE1A9F" w:rsidP="00FE1A9F">
            <w:pPr>
              <w:rPr>
                <w:rFonts w:cs="Arial"/>
              </w:rPr>
            </w:pPr>
            <w:r>
              <w:rPr>
                <w:rFonts w:cs="Arial"/>
              </w:rPr>
              <w:t>Plan razvoja tržišta naprednih biogoriva</w:t>
            </w:r>
          </w:p>
        </w:tc>
        <w:tc>
          <w:tcPr>
            <w:tcW w:w="1240" w:type="dxa"/>
            <w:shd w:val="clear" w:color="auto" w:fill="FFFFFF" w:themeFill="background1"/>
          </w:tcPr>
          <w:p w14:paraId="5E15431A" w14:textId="49A71CEF" w:rsidR="00FE1A9F" w:rsidRPr="00642B7C" w:rsidRDefault="00FE1A9F" w:rsidP="00FE1A9F">
            <w:pPr>
              <w:rPr>
                <w:rFonts w:cs="Arial"/>
              </w:rPr>
            </w:pPr>
            <w:r>
              <w:rPr>
                <w:rFonts w:cs="Arial"/>
              </w:rPr>
              <w:t>2,3,4,5</w:t>
            </w:r>
          </w:p>
        </w:tc>
      </w:tr>
      <w:tr w:rsidR="00FE1A9F" w14:paraId="78A7AA78" w14:textId="495EE2DD" w:rsidTr="00333519">
        <w:tc>
          <w:tcPr>
            <w:tcW w:w="9286" w:type="dxa"/>
            <w:gridSpan w:val="4"/>
            <w:shd w:val="clear" w:color="auto" w:fill="FFFFFF" w:themeFill="background1"/>
          </w:tcPr>
          <w:p w14:paraId="46A9A6DF" w14:textId="34D0D351" w:rsidR="00FE1A9F" w:rsidRPr="00725326" w:rsidRDefault="00FE1A9F" w:rsidP="00FE1A9F">
            <w:pPr>
              <w:rPr>
                <w:rFonts w:cs="Arial"/>
                <w:b/>
              </w:rPr>
            </w:pPr>
            <w:r w:rsidRPr="00725326">
              <w:rPr>
                <w:rFonts w:cs="Arial"/>
                <w:b/>
              </w:rPr>
              <w:t>Energetska učinkovitost</w:t>
            </w:r>
          </w:p>
        </w:tc>
      </w:tr>
      <w:tr w:rsidR="00FE1A9F" w14:paraId="220F2EC3" w14:textId="24BE35E1" w:rsidTr="005E4458">
        <w:tc>
          <w:tcPr>
            <w:tcW w:w="1101" w:type="dxa"/>
            <w:shd w:val="clear" w:color="auto" w:fill="FFFFFF" w:themeFill="background1"/>
          </w:tcPr>
          <w:p w14:paraId="62C8D587" w14:textId="42B5F150" w:rsidR="00FE1A9F" w:rsidRPr="00642B7C" w:rsidRDefault="00FE1A9F" w:rsidP="00FE1A9F">
            <w:pPr>
              <w:rPr>
                <w:rFonts w:cs="Arial"/>
              </w:rPr>
            </w:pPr>
            <w:r w:rsidRPr="00555623">
              <w:rPr>
                <w:rFonts w:cs="Arial"/>
              </w:rPr>
              <w:t>ENU-1</w:t>
            </w:r>
          </w:p>
        </w:tc>
        <w:tc>
          <w:tcPr>
            <w:tcW w:w="1134" w:type="dxa"/>
            <w:shd w:val="clear" w:color="auto" w:fill="FFFFFF" w:themeFill="background1"/>
          </w:tcPr>
          <w:p w14:paraId="480ACA5F" w14:textId="77CFA573" w:rsidR="00FE1A9F" w:rsidRPr="00555623" w:rsidRDefault="00FE1A9F" w:rsidP="00FE1A9F">
            <w:pPr>
              <w:rPr>
                <w:rFonts w:cs="Arial"/>
              </w:rPr>
            </w:pPr>
            <w:r>
              <w:t>MCC-1</w:t>
            </w:r>
            <w:r w:rsidR="00596E4F">
              <w:t>4</w:t>
            </w:r>
          </w:p>
        </w:tc>
        <w:tc>
          <w:tcPr>
            <w:tcW w:w="5811" w:type="dxa"/>
            <w:shd w:val="clear" w:color="auto" w:fill="FFFFFF" w:themeFill="background1"/>
          </w:tcPr>
          <w:p w14:paraId="4DB48996" w14:textId="3EB5304D" w:rsidR="00FE1A9F" w:rsidRPr="00642B7C" w:rsidRDefault="00FE1A9F" w:rsidP="00FE1A9F">
            <w:pPr>
              <w:rPr>
                <w:rFonts w:cs="Arial"/>
              </w:rPr>
            </w:pPr>
            <w:r w:rsidRPr="00555623">
              <w:rPr>
                <w:rFonts w:cs="Arial"/>
              </w:rPr>
              <w:t>Sustav obveze energetske učinkovitosti za opskrbljivače</w:t>
            </w:r>
          </w:p>
        </w:tc>
        <w:tc>
          <w:tcPr>
            <w:tcW w:w="1240" w:type="dxa"/>
            <w:shd w:val="clear" w:color="auto" w:fill="FFFFFF" w:themeFill="background1"/>
          </w:tcPr>
          <w:p w14:paraId="465C23B4" w14:textId="162B1CA9" w:rsidR="00FE1A9F" w:rsidRPr="00555623" w:rsidRDefault="00FE1A9F" w:rsidP="00FE1A9F">
            <w:pPr>
              <w:rPr>
                <w:rFonts w:cs="Arial"/>
              </w:rPr>
            </w:pPr>
            <w:r>
              <w:rPr>
                <w:rFonts w:cs="Arial"/>
              </w:rPr>
              <w:t>1</w:t>
            </w:r>
          </w:p>
        </w:tc>
      </w:tr>
      <w:tr w:rsidR="00FE1A9F" w14:paraId="2AFB53AE" w14:textId="2453972A" w:rsidTr="005E4458">
        <w:tc>
          <w:tcPr>
            <w:tcW w:w="1101" w:type="dxa"/>
            <w:shd w:val="clear" w:color="auto" w:fill="FFFFFF" w:themeFill="background1"/>
          </w:tcPr>
          <w:p w14:paraId="5893BC40" w14:textId="15AA884D" w:rsidR="00FE1A9F" w:rsidRPr="00642B7C" w:rsidRDefault="00FE1A9F" w:rsidP="00FE1A9F">
            <w:pPr>
              <w:rPr>
                <w:rFonts w:cs="Arial"/>
              </w:rPr>
            </w:pPr>
            <w:r w:rsidRPr="00555623">
              <w:rPr>
                <w:rFonts w:cs="Arial"/>
              </w:rPr>
              <w:t>ENU-2</w:t>
            </w:r>
          </w:p>
        </w:tc>
        <w:tc>
          <w:tcPr>
            <w:tcW w:w="1134" w:type="dxa"/>
            <w:shd w:val="clear" w:color="auto" w:fill="FFFFFF" w:themeFill="background1"/>
          </w:tcPr>
          <w:p w14:paraId="6B39EB04" w14:textId="789DBB3B" w:rsidR="00FE1A9F" w:rsidRPr="00503C93" w:rsidRDefault="00FE1A9F" w:rsidP="00FE1A9F">
            <w:pPr>
              <w:rPr>
                <w:rFonts w:cs="Arial"/>
              </w:rPr>
            </w:pPr>
            <w:r>
              <w:rPr>
                <w:rFonts w:cs="Arial"/>
              </w:rPr>
              <w:t>MEN-1</w:t>
            </w:r>
          </w:p>
        </w:tc>
        <w:tc>
          <w:tcPr>
            <w:tcW w:w="5811" w:type="dxa"/>
            <w:shd w:val="clear" w:color="auto" w:fill="FFFFFF" w:themeFill="background1"/>
          </w:tcPr>
          <w:p w14:paraId="36A9CBC7" w14:textId="5C8F8B1B" w:rsidR="00FE1A9F" w:rsidRPr="00642B7C" w:rsidRDefault="00FE1A9F" w:rsidP="00FE1A9F">
            <w:pPr>
              <w:rPr>
                <w:rFonts w:cs="Arial"/>
              </w:rPr>
            </w:pPr>
            <w:r>
              <w:rPr>
                <w:rFonts w:cs="Arial"/>
              </w:rPr>
              <w:t>P</w:t>
            </w:r>
            <w:r w:rsidRPr="00503C93">
              <w:rPr>
                <w:rFonts w:cs="Arial"/>
              </w:rPr>
              <w:t>romoviranj</w:t>
            </w:r>
            <w:r>
              <w:rPr>
                <w:rFonts w:cs="Arial"/>
              </w:rPr>
              <w:t>e</w:t>
            </w:r>
            <w:r w:rsidRPr="00503C93">
              <w:rPr>
                <w:rFonts w:cs="Arial"/>
              </w:rPr>
              <w:t xml:space="preserve"> nZEB standarda gradnje i obnove</w:t>
            </w:r>
          </w:p>
        </w:tc>
        <w:tc>
          <w:tcPr>
            <w:tcW w:w="1240" w:type="dxa"/>
            <w:shd w:val="clear" w:color="auto" w:fill="FFFFFF" w:themeFill="background1"/>
          </w:tcPr>
          <w:p w14:paraId="5716F8F2" w14:textId="5CA8D87A" w:rsidR="00FE1A9F" w:rsidRPr="00555623" w:rsidRDefault="00FE1A9F" w:rsidP="00FE1A9F">
            <w:pPr>
              <w:rPr>
                <w:rFonts w:cs="Arial"/>
              </w:rPr>
            </w:pPr>
            <w:r>
              <w:rPr>
                <w:rFonts w:cs="Arial"/>
              </w:rPr>
              <w:t>1,3,5</w:t>
            </w:r>
          </w:p>
        </w:tc>
      </w:tr>
      <w:tr w:rsidR="00FE1A9F" w14:paraId="38E22DB6" w14:textId="39A1E475" w:rsidTr="005E4458">
        <w:tc>
          <w:tcPr>
            <w:tcW w:w="1101" w:type="dxa"/>
            <w:shd w:val="clear" w:color="auto" w:fill="FFFFFF" w:themeFill="background1"/>
          </w:tcPr>
          <w:p w14:paraId="7580D3CC" w14:textId="4AAC9FA4" w:rsidR="00FE1A9F" w:rsidRPr="00642B7C" w:rsidRDefault="00FE1A9F" w:rsidP="00FE1A9F">
            <w:pPr>
              <w:rPr>
                <w:rFonts w:cs="Arial"/>
              </w:rPr>
            </w:pPr>
            <w:r w:rsidRPr="00555623">
              <w:rPr>
                <w:rFonts w:cs="Arial"/>
              </w:rPr>
              <w:t>ENU-3</w:t>
            </w:r>
          </w:p>
        </w:tc>
        <w:tc>
          <w:tcPr>
            <w:tcW w:w="1134" w:type="dxa"/>
            <w:shd w:val="clear" w:color="auto" w:fill="FFFFFF" w:themeFill="background1"/>
          </w:tcPr>
          <w:p w14:paraId="35285FB6" w14:textId="161BC607" w:rsidR="00FE1A9F" w:rsidRPr="00555623" w:rsidRDefault="00FE1A9F" w:rsidP="00FE1A9F">
            <w:pPr>
              <w:rPr>
                <w:rFonts w:cs="Arial"/>
              </w:rPr>
            </w:pPr>
            <w:r>
              <w:rPr>
                <w:rFonts w:cs="Arial"/>
              </w:rPr>
              <w:t>MEN-2</w:t>
            </w:r>
          </w:p>
        </w:tc>
        <w:tc>
          <w:tcPr>
            <w:tcW w:w="5811" w:type="dxa"/>
            <w:shd w:val="clear" w:color="auto" w:fill="FFFFFF" w:themeFill="background1"/>
          </w:tcPr>
          <w:p w14:paraId="6A4A2108" w14:textId="6079A128" w:rsidR="00FE1A9F" w:rsidRPr="00642B7C" w:rsidRDefault="00FE1A9F" w:rsidP="00FE1A9F">
            <w:pPr>
              <w:rPr>
                <w:rFonts w:cs="Arial"/>
              </w:rPr>
            </w:pPr>
            <w:r w:rsidRPr="00555623">
              <w:rPr>
                <w:rFonts w:cs="Arial"/>
              </w:rPr>
              <w:t>Program energetske obnove višestambenih zgrada</w:t>
            </w:r>
          </w:p>
        </w:tc>
        <w:tc>
          <w:tcPr>
            <w:tcW w:w="1240" w:type="dxa"/>
            <w:shd w:val="clear" w:color="auto" w:fill="FFFFFF" w:themeFill="background1"/>
          </w:tcPr>
          <w:p w14:paraId="7D5D6D8C" w14:textId="46227EFB" w:rsidR="00FE1A9F" w:rsidRPr="00555623" w:rsidRDefault="00FE1A9F" w:rsidP="00FE1A9F">
            <w:pPr>
              <w:rPr>
                <w:rFonts w:cs="Arial"/>
              </w:rPr>
            </w:pPr>
            <w:r>
              <w:rPr>
                <w:rFonts w:cs="Arial"/>
              </w:rPr>
              <w:t>1</w:t>
            </w:r>
          </w:p>
        </w:tc>
      </w:tr>
      <w:tr w:rsidR="00FE1A9F" w14:paraId="6456B1EB" w14:textId="29E18674" w:rsidTr="005E4458">
        <w:tc>
          <w:tcPr>
            <w:tcW w:w="1101" w:type="dxa"/>
            <w:shd w:val="clear" w:color="auto" w:fill="FFFFFF" w:themeFill="background1"/>
          </w:tcPr>
          <w:p w14:paraId="35B805A9" w14:textId="70D4EF5F" w:rsidR="00FE1A9F" w:rsidRPr="00642B7C" w:rsidRDefault="00FE1A9F" w:rsidP="00FE1A9F">
            <w:pPr>
              <w:rPr>
                <w:rFonts w:cs="Arial"/>
              </w:rPr>
            </w:pPr>
            <w:r w:rsidRPr="00555623">
              <w:rPr>
                <w:rFonts w:cs="Arial"/>
              </w:rPr>
              <w:t>ENU-4</w:t>
            </w:r>
          </w:p>
        </w:tc>
        <w:tc>
          <w:tcPr>
            <w:tcW w:w="1134" w:type="dxa"/>
            <w:shd w:val="clear" w:color="auto" w:fill="FFFFFF" w:themeFill="background1"/>
          </w:tcPr>
          <w:p w14:paraId="16AF532E" w14:textId="51EB0C34" w:rsidR="00FE1A9F" w:rsidRPr="00555623" w:rsidRDefault="00FE1A9F" w:rsidP="00FE1A9F">
            <w:pPr>
              <w:rPr>
                <w:rFonts w:cs="Arial"/>
              </w:rPr>
            </w:pPr>
            <w:r>
              <w:rPr>
                <w:rFonts w:cs="Arial"/>
              </w:rPr>
              <w:t>MEN-3</w:t>
            </w:r>
          </w:p>
        </w:tc>
        <w:tc>
          <w:tcPr>
            <w:tcW w:w="5811" w:type="dxa"/>
            <w:shd w:val="clear" w:color="auto" w:fill="FFFFFF" w:themeFill="background1"/>
          </w:tcPr>
          <w:p w14:paraId="6FBDEDBF" w14:textId="7B195A6F" w:rsidR="00FE1A9F" w:rsidRPr="00642B7C" w:rsidRDefault="00FE1A9F" w:rsidP="00FE1A9F">
            <w:pPr>
              <w:rPr>
                <w:rFonts w:cs="Arial"/>
              </w:rPr>
            </w:pPr>
            <w:r w:rsidRPr="00555623">
              <w:rPr>
                <w:rFonts w:cs="Arial"/>
              </w:rPr>
              <w:t>Program energetske obnove obiteljskih kuća</w:t>
            </w:r>
          </w:p>
        </w:tc>
        <w:tc>
          <w:tcPr>
            <w:tcW w:w="1240" w:type="dxa"/>
            <w:shd w:val="clear" w:color="auto" w:fill="FFFFFF" w:themeFill="background1"/>
          </w:tcPr>
          <w:p w14:paraId="65E5C755" w14:textId="72A093FD" w:rsidR="00FE1A9F" w:rsidRPr="00555623" w:rsidRDefault="00FE1A9F" w:rsidP="00FE1A9F">
            <w:pPr>
              <w:rPr>
                <w:rFonts w:cs="Arial"/>
              </w:rPr>
            </w:pPr>
            <w:r>
              <w:rPr>
                <w:rFonts w:cs="Arial"/>
              </w:rPr>
              <w:t>1</w:t>
            </w:r>
          </w:p>
        </w:tc>
      </w:tr>
      <w:tr w:rsidR="00FE1A9F" w14:paraId="7D19DC96" w14:textId="497F9478" w:rsidTr="005E4458">
        <w:tc>
          <w:tcPr>
            <w:tcW w:w="1101" w:type="dxa"/>
            <w:shd w:val="clear" w:color="auto" w:fill="FFFFFF" w:themeFill="background1"/>
          </w:tcPr>
          <w:p w14:paraId="7B8EC06E" w14:textId="1BDBB3B9" w:rsidR="00FE1A9F" w:rsidRPr="00642B7C" w:rsidRDefault="00FE1A9F" w:rsidP="00FE1A9F">
            <w:pPr>
              <w:rPr>
                <w:rFonts w:cs="Arial"/>
              </w:rPr>
            </w:pPr>
            <w:r w:rsidRPr="00555623">
              <w:rPr>
                <w:rFonts w:cs="Arial"/>
              </w:rPr>
              <w:t>ENU-5</w:t>
            </w:r>
          </w:p>
        </w:tc>
        <w:tc>
          <w:tcPr>
            <w:tcW w:w="1134" w:type="dxa"/>
            <w:shd w:val="clear" w:color="auto" w:fill="FFFFFF" w:themeFill="background1"/>
          </w:tcPr>
          <w:p w14:paraId="38D7CD79" w14:textId="414004C7" w:rsidR="00FE1A9F" w:rsidRPr="00555623" w:rsidRDefault="00FE1A9F" w:rsidP="00FE1A9F">
            <w:pPr>
              <w:rPr>
                <w:rFonts w:cs="Arial"/>
              </w:rPr>
            </w:pPr>
            <w:r>
              <w:rPr>
                <w:rFonts w:cs="Arial"/>
              </w:rPr>
              <w:t>MEN-4</w:t>
            </w:r>
          </w:p>
        </w:tc>
        <w:tc>
          <w:tcPr>
            <w:tcW w:w="5811" w:type="dxa"/>
            <w:shd w:val="clear" w:color="auto" w:fill="FFFFFF" w:themeFill="background1"/>
          </w:tcPr>
          <w:p w14:paraId="2E79435C" w14:textId="73D1207A" w:rsidR="00FE1A9F" w:rsidRPr="00642B7C" w:rsidRDefault="00FE1A9F" w:rsidP="00FE1A9F">
            <w:pPr>
              <w:rPr>
                <w:rFonts w:cs="Arial"/>
              </w:rPr>
            </w:pPr>
            <w:r w:rsidRPr="00555623">
              <w:rPr>
                <w:rFonts w:cs="Arial"/>
              </w:rPr>
              <w:t>Program energetske obnove zgrada javnog sektora</w:t>
            </w:r>
          </w:p>
        </w:tc>
        <w:tc>
          <w:tcPr>
            <w:tcW w:w="1240" w:type="dxa"/>
            <w:shd w:val="clear" w:color="auto" w:fill="FFFFFF" w:themeFill="background1"/>
          </w:tcPr>
          <w:p w14:paraId="5B992DF2" w14:textId="155A438E" w:rsidR="00FE1A9F" w:rsidRPr="00555623" w:rsidRDefault="00FE1A9F" w:rsidP="00FE1A9F">
            <w:pPr>
              <w:rPr>
                <w:rFonts w:cs="Arial"/>
              </w:rPr>
            </w:pPr>
            <w:r>
              <w:rPr>
                <w:rFonts w:cs="Arial"/>
              </w:rPr>
              <w:t>1</w:t>
            </w:r>
          </w:p>
        </w:tc>
      </w:tr>
      <w:tr w:rsidR="00FE1A9F" w14:paraId="37455692" w14:textId="77777777" w:rsidTr="005E4458">
        <w:tc>
          <w:tcPr>
            <w:tcW w:w="1101" w:type="dxa"/>
            <w:shd w:val="clear" w:color="auto" w:fill="FFFFFF" w:themeFill="background1"/>
          </w:tcPr>
          <w:p w14:paraId="05495C1D" w14:textId="6E323F1E" w:rsidR="00FE1A9F" w:rsidRPr="00555623" w:rsidRDefault="00FE1A9F" w:rsidP="00FE1A9F">
            <w:pPr>
              <w:rPr>
                <w:rFonts w:cs="Arial"/>
              </w:rPr>
            </w:pPr>
            <w:r>
              <w:rPr>
                <w:rFonts w:cs="Arial"/>
              </w:rPr>
              <w:t>ENU-6</w:t>
            </w:r>
          </w:p>
        </w:tc>
        <w:tc>
          <w:tcPr>
            <w:tcW w:w="1134" w:type="dxa"/>
            <w:shd w:val="clear" w:color="auto" w:fill="FFFFFF" w:themeFill="background1"/>
          </w:tcPr>
          <w:p w14:paraId="6A5F7037" w14:textId="70A7F88C" w:rsidR="00FE1A9F" w:rsidRDefault="00FE1A9F" w:rsidP="00FE1A9F">
            <w:pPr>
              <w:rPr>
                <w:rFonts w:cs="Arial"/>
              </w:rPr>
            </w:pPr>
            <w:r>
              <w:rPr>
                <w:rFonts w:cs="Arial"/>
              </w:rPr>
              <w:t>MEN-5</w:t>
            </w:r>
          </w:p>
        </w:tc>
        <w:tc>
          <w:tcPr>
            <w:tcW w:w="5811" w:type="dxa"/>
            <w:shd w:val="clear" w:color="auto" w:fill="FFFFFF" w:themeFill="background1"/>
          </w:tcPr>
          <w:p w14:paraId="6A60EA36" w14:textId="190ECCF5" w:rsidR="00FE1A9F" w:rsidRPr="00555623" w:rsidRDefault="00FE1A9F" w:rsidP="00FE1A9F">
            <w:pPr>
              <w:rPr>
                <w:rFonts w:cs="Arial"/>
              </w:rPr>
            </w:pPr>
            <w:r>
              <w:rPr>
                <w:rFonts w:cs="Arial"/>
              </w:rPr>
              <w:t>Program energetske obnove zgrada koje imaju status kulturnog dobra</w:t>
            </w:r>
          </w:p>
        </w:tc>
        <w:tc>
          <w:tcPr>
            <w:tcW w:w="1240" w:type="dxa"/>
            <w:shd w:val="clear" w:color="auto" w:fill="FFFFFF" w:themeFill="background1"/>
          </w:tcPr>
          <w:p w14:paraId="2305F99A" w14:textId="67D99863" w:rsidR="00FE1A9F" w:rsidRDefault="00FE1A9F" w:rsidP="00FE1A9F">
            <w:pPr>
              <w:rPr>
                <w:rFonts w:cs="Arial"/>
              </w:rPr>
            </w:pPr>
            <w:r>
              <w:rPr>
                <w:rFonts w:cs="Arial"/>
              </w:rPr>
              <w:t>1</w:t>
            </w:r>
          </w:p>
        </w:tc>
      </w:tr>
      <w:tr w:rsidR="00FE1A9F" w14:paraId="6724FA7C" w14:textId="2D2E1675" w:rsidTr="005E4458">
        <w:tc>
          <w:tcPr>
            <w:tcW w:w="1101" w:type="dxa"/>
            <w:shd w:val="clear" w:color="auto" w:fill="FFFFFF" w:themeFill="background1"/>
          </w:tcPr>
          <w:p w14:paraId="6266265A" w14:textId="02A0C58E" w:rsidR="00FE1A9F" w:rsidRPr="00642B7C" w:rsidRDefault="00FE1A9F" w:rsidP="00FE1A9F">
            <w:pPr>
              <w:rPr>
                <w:rFonts w:cs="Arial"/>
              </w:rPr>
            </w:pPr>
            <w:r>
              <w:rPr>
                <w:rFonts w:cs="Arial"/>
              </w:rPr>
              <w:t>ENU-7</w:t>
            </w:r>
          </w:p>
        </w:tc>
        <w:tc>
          <w:tcPr>
            <w:tcW w:w="1134" w:type="dxa"/>
            <w:shd w:val="clear" w:color="auto" w:fill="FFFFFF" w:themeFill="background1"/>
          </w:tcPr>
          <w:p w14:paraId="78AFFA5E" w14:textId="7F38C36A" w:rsidR="00FE1A9F" w:rsidRPr="00555623" w:rsidRDefault="00FE1A9F" w:rsidP="00FE1A9F">
            <w:pPr>
              <w:rPr>
                <w:rFonts w:cs="Arial"/>
              </w:rPr>
            </w:pPr>
            <w:r>
              <w:rPr>
                <w:rFonts w:cs="Arial"/>
              </w:rPr>
              <w:t>MEN-7</w:t>
            </w:r>
          </w:p>
        </w:tc>
        <w:tc>
          <w:tcPr>
            <w:tcW w:w="5811" w:type="dxa"/>
            <w:shd w:val="clear" w:color="auto" w:fill="FFFFFF" w:themeFill="background1"/>
          </w:tcPr>
          <w:p w14:paraId="03DA420F" w14:textId="446F30CD" w:rsidR="00FE1A9F" w:rsidRPr="00642B7C" w:rsidRDefault="00FE1A9F" w:rsidP="00FE1A9F">
            <w:pPr>
              <w:rPr>
                <w:rFonts w:cs="Arial"/>
              </w:rPr>
            </w:pPr>
            <w:r w:rsidRPr="00555623">
              <w:rPr>
                <w:rFonts w:cs="Arial"/>
              </w:rPr>
              <w:t>Sustavno gospodarenje energijom u javnom sektoru</w:t>
            </w:r>
          </w:p>
        </w:tc>
        <w:tc>
          <w:tcPr>
            <w:tcW w:w="1240" w:type="dxa"/>
            <w:shd w:val="clear" w:color="auto" w:fill="FFFFFF" w:themeFill="background1"/>
          </w:tcPr>
          <w:p w14:paraId="2DBD42BC" w14:textId="42DE4EC4" w:rsidR="00FE1A9F" w:rsidRPr="00555623" w:rsidRDefault="00FE1A9F" w:rsidP="00FE1A9F">
            <w:pPr>
              <w:rPr>
                <w:rFonts w:cs="Arial"/>
              </w:rPr>
            </w:pPr>
            <w:r>
              <w:rPr>
                <w:rFonts w:cs="Arial"/>
              </w:rPr>
              <w:t>1</w:t>
            </w:r>
          </w:p>
        </w:tc>
      </w:tr>
      <w:tr w:rsidR="00FE1A9F" w14:paraId="5EEF866D" w14:textId="02B7E6FB" w:rsidTr="005E4458">
        <w:tc>
          <w:tcPr>
            <w:tcW w:w="1101" w:type="dxa"/>
            <w:shd w:val="clear" w:color="auto" w:fill="FFFFFF" w:themeFill="background1"/>
          </w:tcPr>
          <w:p w14:paraId="6B4AB8ED" w14:textId="11F3BEC0" w:rsidR="00FE1A9F" w:rsidRPr="00642B7C" w:rsidRDefault="00FE1A9F" w:rsidP="00FE1A9F">
            <w:pPr>
              <w:rPr>
                <w:rFonts w:cs="Arial"/>
              </w:rPr>
            </w:pPr>
            <w:r>
              <w:rPr>
                <w:rFonts w:cs="Arial"/>
              </w:rPr>
              <w:t>ENU-8</w:t>
            </w:r>
          </w:p>
        </w:tc>
        <w:tc>
          <w:tcPr>
            <w:tcW w:w="1134" w:type="dxa"/>
            <w:shd w:val="clear" w:color="auto" w:fill="FFFFFF" w:themeFill="background1"/>
          </w:tcPr>
          <w:p w14:paraId="2C5B34E6" w14:textId="089D3724" w:rsidR="00FE1A9F" w:rsidRPr="00555623" w:rsidRDefault="00FE1A9F" w:rsidP="00FE1A9F">
            <w:pPr>
              <w:rPr>
                <w:rFonts w:cs="Arial"/>
              </w:rPr>
            </w:pPr>
            <w:r>
              <w:rPr>
                <w:rFonts w:cs="Arial"/>
              </w:rPr>
              <w:t>MEN-6</w:t>
            </w:r>
          </w:p>
        </w:tc>
        <w:tc>
          <w:tcPr>
            <w:tcW w:w="5811" w:type="dxa"/>
            <w:shd w:val="clear" w:color="auto" w:fill="FFFFFF" w:themeFill="background1"/>
          </w:tcPr>
          <w:p w14:paraId="2CA55D0D" w14:textId="7DC291AA" w:rsidR="00FE1A9F" w:rsidRPr="00642B7C" w:rsidRDefault="00FE1A9F" w:rsidP="00FE1A9F">
            <w:pPr>
              <w:rPr>
                <w:rFonts w:cs="Arial"/>
              </w:rPr>
            </w:pPr>
            <w:r w:rsidRPr="00555623">
              <w:rPr>
                <w:rFonts w:cs="Arial"/>
              </w:rPr>
              <w:t>Program energetske obnove javne rasvjete</w:t>
            </w:r>
          </w:p>
        </w:tc>
        <w:tc>
          <w:tcPr>
            <w:tcW w:w="1240" w:type="dxa"/>
            <w:shd w:val="clear" w:color="auto" w:fill="FFFFFF" w:themeFill="background1"/>
          </w:tcPr>
          <w:p w14:paraId="3527B23D" w14:textId="6580872C" w:rsidR="00FE1A9F" w:rsidRPr="00555623" w:rsidRDefault="00FE1A9F" w:rsidP="00FE1A9F">
            <w:pPr>
              <w:rPr>
                <w:rFonts w:cs="Arial"/>
              </w:rPr>
            </w:pPr>
            <w:r>
              <w:rPr>
                <w:rFonts w:cs="Arial"/>
              </w:rPr>
              <w:t>1</w:t>
            </w:r>
          </w:p>
        </w:tc>
      </w:tr>
      <w:tr w:rsidR="00FE1A9F" w14:paraId="4A2E6037" w14:textId="195CAD88" w:rsidTr="005E4458">
        <w:tc>
          <w:tcPr>
            <w:tcW w:w="1101" w:type="dxa"/>
            <w:shd w:val="clear" w:color="auto" w:fill="FFFFFF" w:themeFill="background1"/>
          </w:tcPr>
          <w:p w14:paraId="492C5E74" w14:textId="16D2E99C" w:rsidR="00FE1A9F" w:rsidRPr="00642B7C" w:rsidRDefault="00FE1A9F" w:rsidP="00FE1A9F">
            <w:pPr>
              <w:rPr>
                <w:rFonts w:cs="Arial"/>
              </w:rPr>
            </w:pPr>
            <w:r>
              <w:rPr>
                <w:rFonts w:cs="Arial"/>
              </w:rPr>
              <w:t>ENU-9</w:t>
            </w:r>
          </w:p>
        </w:tc>
        <w:tc>
          <w:tcPr>
            <w:tcW w:w="1134" w:type="dxa"/>
            <w:shd w:val="clear" w:color="auto" w:fill="FFFFFF" w:themeFill="background1"/>
          </w:tcPr>
          <w:p w14:paraId="4154E272" w14:textId="5AD38A2A" w:rsidR="00FE1A9F" w:rsidRPr="00555623" w:rsidRDefault="00FE1A9F" w:rsidP="00FE1A9F">
            <w:pPr>
              <w:rPr>
                <w:rFonts w:cs="Arial"/>
              </w:rPr>
            </w:pPr>
            <w:r>
              <w:t>MCC-15</w:t>
            </w:r>
          </w:p>
        </w:tc>
        <w:tc>
          <w:tcPr>
            <w:tcW w:w="5811" w:type="dxa"/>
            <w:shd w:val="clear" w:color="auto" w:fill="FFFFFF" w:themeFill="background1"/>
          </w:tcPr>
          <w:p w14:paraId="463068B9" w14:textId="62DFDE02" w:rsidR="00FE1A9F" w:rsidRPr="00642B7C" w:rsidRDefault="00FE1A9F" w:rsidP="00FE1A9F">
            <w:pPr>
              <w:rPr>
                <w:rFonts w:cs="Arial"/>
              </w:rPr>
            </w:pPr>
            <w:r w:rsidRPr="00555623">
              <w:rPr>
                <w:rFonts w:cs="Arial"/>
              </w:rPr>
              <w:t>Zelena javna nabava</w:t>
            </w:r>
          </w:p>
        </w:tc>
        <w:tc>
          <w:tcPr>
            <w:tcW w:w="1240" w:type="dxa"/>
            <w:shd w:val="clear" w:color="auto" w:fill="FFFFFF" w:themeFill="background1"/>
          </w:tcPr>
          <w:p w14:paraId="7E09AF4D" w14:textId="5134B986" w:rsidR="00FE1A9F" w:rsidRPr="00555623" w:rsidRDefault="00FE1A9F" w:rsidP="00FE1A9F">
            <w:pPr>
              <w:rPr>
                <w:rFonts w:cs="Arial"/>
              </w:rPr>
            </w:pPr>
            <w:r>
              <w:rPr>
                <w:rFonts w:cs="Arial"/>
              </w:rPr>
              <w:t>1,5</w:t>
            </w:r>
          </w:p>
        </w:tc>
      </w:tr>
      <w:tr w:rsidR="00FE1A9F" w14:paraId="6367EB96" w14:textId="5927E351" w:rsidTr="005E4458">
        <w:tc>
          <w:tcPr>
            <w:tcW w:w="1101" w:type="dxa"/>
            <w:shd w:val="clear" w:color="auto" w:fill="FFFFFF" w:themeFill="background1"/>
          </w:tcPr>
          <w:p w14:paraId="7EAC00F9" w14:textId="6B38EC74" w:rsidR="00FE1A9F" w:rsidRPr="00642B7C" w:rsidRDefault="00FE1A9F" w:rsidP="00FE1A9F">
            <w:pPr>
              <w:rPr>
                <w:rFonts w:cs="Arial"/>
              </w:rPr>
            </w:pPr>
            <w:r>
              <w:rPr>
                <w:rFonts w:cs="Arial"/>
              </w:rPr>
              <w:t>ENU-10</w:t>
            </w:r>
          </w:p>
        </w:tc>
        <w:tc>
          <w:tcPr>
            <w:tcW w:w="1134" w:type="dxa"/>
            <w:shd w:val="clear" w:color="auto" w:fill="FFFFFF" w:themeFill="background1"/>
          </w:tcPr>
          <w:p w14:paraId="16F62FC6" w14:textId="7F05181B" w:rsidR="00FE1A9F" w:rsidRPr="00555623" w:rsidRDefault="00FE1A9F" w:rsidP="00FE1A9F">
            <w:pPr>
              <w:rPr>
                <w:rFonts w:cs="Arial"/>
              </w:rPr>
            </w:pPr>
            <w:r>
              <w:rPr>
                <w:rFonts w:cs="Arial"/>
              </w:rPr>
              <w:t>MEN-8</w:t>
            </w:r>
          </w:p>
        </w:tc>
        <w:tc>
          <w:tcPr>
            <w:tcW w:w="5811" w:type="dxa"/>
            <w:shd w:val="clear" w:color="auto" w:fill="FFFFFF" w:themeFill="background1"/>
          </w:tcPr>
          <w:p w14:paraId="27AE43B3" w14:textId="0734FDB8" w:rsidR="00FE1A9F" w:rsidRPr="00642B7C" w:rsidRDefault="00FE1A9F" w:rsidP="00FE1A9F">
            <w:pPr>
              <w:rPr>
                <w:rFonts w:cs="Arial"/>
              </w:rPr>
            </w:pPr>
            <w:r w:rsidRPr="00555623">
              <w:rPr>
                <w:rFonts w:cs="Arial"/>
              </w:rPr>
              <w:t>Sustavno gospodarenje energijom u poslovnom (uslužnom i proizvodnom) sektoru</w:t>
            </w:r>
          </w:p>
        </w:tc>
        <w:tc>
          <w:tcPr>
            <w:tcW w:w="1240" w:type="dxa"/>
            <w:shd w:val="clear" w:color="auto" w:fill="FFFFFF" w:themeFill="background1"/>
          </w:tcPr>
          <w:p w14:paraId="7834BD4D" w14:textId="6EBE2DEE" w:rsidR="00FE1A9F" w:rsidRPr="00555623" w:rsidRDefault="00FE1A9F" w:rsidP="00FE1A9F">
            <w:pPr>
              <w:rPr>
                <w:rFonts w:cs="Arial"/>
              </w:rPr>
            </w:pPr>
            <w:r>
              <w:rPr>
                <w:rFonts w:cs="Arial"/>
              </w:rPr>
              <w:t>1</w:t>
            </w:r>
          </w:p>
        </w:tc>
      </w:tr>
      <w:tr w:rsidR="00FE1A9F" w14:paraId="24F5E3EB" w14:textId="175F50CD" w:rsidTr="005E4458">
        <w:tc>
          <w:tcPr>
            <w:tcW w:w="1101" w:type="dxa"/>
            <w:shd w:val="clear" w:color="auto" w:fill="FFFFFF" w:themeFill="background1"/>
          </w:tcPr>
          <w:p w14:paraId="759F3D3D" w14:textId="0F36BFAC" w:rsidR="00FE1A9F" w:rsidRPr="00642B7C" w:rsidRDefault="00FE1A9F" w:rsidP="00FE1A9F">
            <w:pPr>
              <w:rPr>
                <w:rFonts w:cs="Arial"/>
              </w:rPr>
            </w:pPr>
            <w:r>
              <w:rPr>
                <w:rFonts w:cs="Arial"/>
              </w:rPr>
              <w:t>ENU-11</w:t>
            </w:r>
          </w:p>
        </w:tc>
        <w:tc>
          <w:tcPr>
            <w:tcW w:w="1134" w:type="dxa"/>
            <w:shd w:val="clear" w:color="auto" w:fill="FFFFFF" w:themeFill="background1"/>
          </w:tcPr>
          <w:p w14:paraId="5762DABA" w14:textId="5F034A25" w:rsidR="00FE1A9F" w:rsidRPr="00555623" w:rsidRDefault="00FE1A9F" w:rsidP="00FE1A9F">
            <w:pPr>
              <w:rPr>
                <w:rFonts w:cs="Arial"/>
              </w:rPr>
            </w:pPr>
            <w:r>
              <w:rPr>
                <w:rFonts w:cs="Arial"/>
              </w:rPr>
              <w:t>MEN-9</w:t>
            </w:r>
          </w:p>
        </w:tc>
        <w:tc>
          <w:tcPr>
            <w:tcW w:w="5811" w:type="dxa"/>
            <w:shd w:val="clear" w:color="auto" w:fill="FFFFFF" w:themeFill="background1"/>
          </w:tcPr>
          <w:p w14:paraId="78FD3562" w14:textId="0A54197F" w:rsidR="00FE1A9F" w:rsidRPr="00642B7C" w:rsidRDefault="00FE1A9F" w:rsidP="00FE1A9F">
            <w:pPr>
              <w:rPr>
                <w:rFonts w:cs="Arial"/>
              </w:rPr>
            </w:pPr>
            <w:r w:rsidRPr="00555623">
              <w:rPr>
                <w:rFonts w:cs="Arial"/>
              </w:rPr>
              <w:t>Informativni računi</w:t>
            </w:r>
          </w:p>
        </w:tc>
        <w:tc>
          <w:tcPr>
            <w:tcW w:w="1240" w:type="dxa"/>
            <w:shd w:val="clear" w:color="auto" w:fill="FFFFFF" w:themeFill="background1"/>
          </w:tcPr>
          <w:p w14:paraId="70A1BA51" w14:textId="0E7BBE06" w:rsidR="00FE1A9F" w:rsidRPr="00555623" w:rsidRDefault="00DE2DB8" w:rsidP="00FE1A9F">
            <w:pPr>
              <w:rPr>
                <w:rFonts w:cs="Arial"/>
              </w:rPr>
            </w:pPr>
            <w:r>
              <w:rPr>
                <w:rFonts w:cs="Arial"/>
              </w:rPr>
              <w:t>4</w:t>
            </w:r>
          </w:p>
        </w:tc>
      </w:tr>
      <w:tr w:rsidR="00FE1A9F" w14:paraId="0DD30F2E" w14:textId="500C79C3" w:rsidTr="005E4458">
        <w:tc>
          <w:tcPr>
            <w:tcW w:w="1101" w:type="dxa"/>
            <w:shd w:val="clear" w:color="auto" w:fill="FFFFFF" w:themeFill="background1"/>
          </w:tcPr>
          <w:p w14:paraId="0BE666A4" w14:textId="321380C0" w:rsidR="00FE1A9F" w:rsidRPr="00642B7C" w:rsidRDefault="00FE1A9F" w:rsidP="00FE1A9F">
            <w:pPr>
              <w:rPr>
                <w:rFonts w:cs="Arial"/>
              </w:rPr>
            </w:pPr>
            <w:r>
              <w:rPr>
                <w:rFonts w:cs="Arial"/>
              </w:rPr>
              <w:t>ENU-12</w:t>
            </w:r>
          </w:p>
        </w:tc>
        <w:tc>
          <w:tcPr>
            <w:tcW w:w="1134" w:type="dxa"/>
            <w:shd w:val="clear" w:color="auto" w:fill="FFFFFF" w:themeFill="background1"/>
          </w:tcPr>
          <w:p w14:paraId="52E15CB0" w14:textId="7302670E" w:rsidR="00FE1A9F" w:rsidRPr="00555623" w:rsidRDefault="00FE1A9F" w:rsidP="00FE1A9F">
            <w:pPr>
              <w:rPr>
                <w:rFonts w:cs="Arial"/>
              </w:rPr>
            </w:pPr>
            <w:r>
              <w:rPr>
                <w:rFonts w:cs="Arial"/>
              </w:rPr>
              <w:t>MEN-10</w:t>
            </w:r>
          </w:p>
        </w:tc>
        <w:tc>
          <w:tcPr>
            <w:tcW w:w="5811" w:type="dxa"/>
            <w:shd w:val="clear" w:color="auto" w:fill="FFFFFF" w:themeFill="background1"/>
          </w:tcPr>
          <w:p w14:paraId="20FC659E" w14:textId="48BB420A" w:rsidR="00FE1A9F" w:rsidRPr="00642B7C" w:rsidRDefault="00FE1A9F" w:rsidP="00FE1A9F">
            <w:pPr>
              <w:rPr>
                <w:rFonts w:cs="Arial"/>
              </w:rPr>
            </w:pPr>
            <w:r w:rsidRPr="00555623">
              <w:rPr>
                <w:rFonts w:cs="Arial"/>
              </w:rPr>
              <w:t>Informiranje o energetskoj učinkovitosti</w:t>
            </w:r>
          </w:p>
        </w:tc>
        <w:tc>
          <w:tcPr>
            <w:tcW w:w="1240" w:type="dxa"/>
            <w:shd w:val="clear" w:color="auto" w:fill="FFFFFF" w:themeFill="background1"/>
          </w:tcPr>
          <w:p w14:paraId="558E1014" w14:textId="22CE202E" w:rsidR="00FE1A9F" w:rsidRPr="00555623" w:rsidRDefault="00FE1A9F" w:rsidP="00FE1A9F">
            <w:pPr>
              <w:rPr>
                <w:rFonts w:cs="Arial"/>
              </w:rPr>
            </w:pPr>
            <w:r>
              <w:rPr>
                <w:rFonts w:cs="Arial"/>
              </w:rPr>
              <w:t>1</w:t>
            </w:r>
          </w:p>
        </w:tc>
      </w:tr>
      <w:tr w:rsidR="00FE1A9F" w14:paraId="710902A3" w14:textId="6C868C52" w:rsidTr="005E4458">
        <w:tc>
          <w:tcPr>
            <w:tcW w:w="1101" w:type="dxa"/>
            <w:shd w:val="clear" w:color="auto" w:fill="FFFFFF" w:themeFill="background1"/>
          </w:tcPr>
          <w:p w14:paraId="46284DC0" w14:textId="5BF07BD8" w:rsidR="00FE1A9F" w:rsidRPr="00642B7C" w:rsidRDefault="00FE1A9F" w:rsidP="00FE1A9F">
            <w:pPr>
              <w:rPr>
                <w:rFonts w:cs="Arial"/>
              </w:rPr>
            </w:pPr>
            <w:r>
              <w:rPr>
                <w:rFonts w:cs="Arial"/>
              </w:rPr>
              <w:t>ENU-13</w:t>
            </w:r>
          </w:p>
        </w:tc>
        <w:tc>
          <w:tcPr>
            <w:tcW w:w="1134" w:type="dxa"/>
            <w:shd w:val="clear" w:color="auto" w:fill="FFFFFF" w:themeFill="background1"/>
          </w:tcPr>
          <w:p w14:paraId="25C69DDF" w14:textId="16693CF7" w:rsidR="00FE1A9F" w:rsidRPr="00555623" w:rsidRDefault="00FE1A9F" w:rsidP="00FE1A9F">
            <w:pPr>
              <w:rPr>
                <w:rFonts w:cs="Arial"/>
              </w:rPr>
            </w:pPr>
            <w:r>
              <w:rPr>
                <w:rFonts w:cs="Arial"/>
              </w:rPr>
              <w:t>MEN-11</w:t>
            </w:r>
          </w:p>
        </w:tc>
        <w:tc>
          <w:tcPr>
            <w:tcW w:w="5811" w:type="dxa"/>
            <w:shd w:val="clear" w:color="auto" w:fill="FFFFFF" w:themeFill="background1"/>
          </w:tcPr>
          <w:p w14:paraId="133B9D2A" w14:textId="0C2FEDE8" w:rsidR="00FE1A9F" w:rsidRPr="00642B7C" w:rsidRDefault="00FE1A9F" w:rsidP="00FE1A9F">
            <w:pPr>
              <w:rPr>
                <w:rFonts w:cs="Arial"/>
              </w:rPr>
            </w:pPr>
            <w:r w:rsidRPr="00555623">
              <w:rPr>
                <w:rFonts w:cs="Arial"/>
              </w:rPr>
              <w:t>Obrazovanje u području energetske učinkovitosti</w:t>
            </w:r>
          </w:p>
        </w:tc>
        <w:tc>
          <w:tcPr>
            <w:tcW w:w="1240" w:type="dxa"/>
            <w:shd w:val="clear" w:color="auto" w:fill="FFFFFF" w:themeFill="background1"/>
          </w:tcPr>
          <w:p w14:paraId="6090176E" w14:textId="58B54140" w:rsidR="00FE1A9F" w:rsidRPr="00555623" w:rsidRDefault="00FE1A9F" w:rsidP="00FE1A9F">
            <w:pPr>
              <w:rPr>
                <w:rFonts w:cs="Arial"/>
              </w:rPr>
            </w:pPr>
            <w:r>
              <w:rPr>
                <w:rFonts w:cs="Arial"/>
              </w:rPr>
              <w:t>1</w:t>
            </w:r>
          </w:p>
        </w:tc>
      </w:tr>
      <w:tr w:rsidR="00FE1A9F" w14:paraId="710F811D" w14:textId="6CA70C39" w:rsidTr="005E4458">
        <w:tc>
          <w:tcPr>
            <w:tcW w:w="1101" w:type="dxa"/>
            <w:shd w:val="clear" w:color="auto" w:fill="FFFFFF" w:themeFill="background1"/>
          </w:tcPr>
          <w:p w14:paraId="6919B43A" w14:textId="06545837" w:rsidR="00FE1A9F" w:rsidRPr="00642B7C" w:rsidRDefault="00FE1A9F" w:rsidP="00FE1A9F">
            <w:pPr>
              <w:rPr>
                <w:rFonts w:cs="Arial"/>
              </w:rPr>
            </w:pPr>
            <w:r>
              <w:rPr>
                <w:rFonts w:cs="Arial"/>
              </w:rPr>
              <w:t>ENU-14</w:t>
            </w:r>
          </w:p>
        </w:tc>
        <w:tc>
          <w:tcPr>
            <w:tcW w:w="1134" w:type="dxa"/>
            <w:shd w:val="clear" w:color="auto" w:fill="FFFFFF" w:themeFill="background1"/>
          </w:tcPr>
          <w:p w14:paraId="0CE1C4A9" w14:textId="6D2AFB19" w:rsidR="00FE1A9F" w:rsidRDefault="00FE1A9F" w:rsidP="00FE1A9F">
            <w:pPr>
              <w:rPr>
                <w:rFonts w:cs="Arial"/>
              </w:rPr>
            </w:pPr>
            <w:r>
              <w:t>MCC-1</w:t>
            </w:r>
            <w:r w:rsidR="00596E4F">
              <w:t>5</w:t>
            </w:r>
          </w:p>
        </w:tc>
        <w:tc>
          <w:tcPr>
            <w:tcW w:w="5811" w:type="dxa"/>
            <w:shd w:val="clear" w:color="auto" w:fill="FFFFFF" w:themeFill="background1"/>
          </w:tcPr>
          <w:p w14:paraId="1A23F8E1" w14:textId="5D3672DF" w:rsidR="00FE1A9F" w:rsidRPr="00642B7C" w:rsidRDefault="00FE1A9F" w:rsidP="00FE1A9F">
            <w:pPr>
              <w:rPr>
                <w:rFonts w:cs="Arial"/>
              </w:rPr>
            </w:pPr>
            <w:r>
              <w:rPr>
                <w:rFonts w:cs="Arial"/>
              </w:rPr>
              <w:t>I</w:t>
            </w:r>
            <w:r w:rsidRPr="00555623">
              <w:rPr>
                <w:rFonts w:cs="Arial"/>
              </w:rPr>
              <w:t>ntegrirani informacijski sustav za praćenje energetske učinkovitosti</w:t>
            </w:r>
          </w:p>
        </w:tc>
        <w:tc>
          <w:tcPr>
            <w:tcW w:w="1240" w:type="dxa"/>
            <w:shd w:val="clear" w:color="auto" w:fill="FFFFFF" w:themeFill="background1"/>
          </w:tcPr>
          <w:p w14:paraId="5350AF29" w14:textId="3C952B76" w:rsidR="00FE1A9F" w:rsidRDefault="00FE1A9F" w:rsidP="00FE1A9F">
            <w:pPr>
              <w:rPr>
                <w:rFonts w:cs="Arial"/>
              </w:rPr>
            </w:pPr>
            <w:r>
              <w:rPr>
                <w:rFonts w:cs="Arial"/>
              </w:rPr>
              <w:t>1</w:t>
            </w:r>
          </w:p>
        </w:tc>
      </w:tr>
      <w:tr w:rsidR="00FE1A9F" w14:paraId="1D296BB6" w14:textId="15C72004" w:rsidTr="005E4458">
        <w:tc>
          <w:tcPr>
            <w:tcW w:w="1101" w:type="dxa"/>
            <w:shd w:val="clear" w:color="auto" w:fill="FFFFFF" w:themeFill="background1"/>
          </w:tcPr>
          <w:p w14:paraId="07FFBDD1" w14:textId="18A9F0CA" w:rsidR="00FE1A9F" w:rsidRPr="00642B7C" w:rsidRDefault="00FE1A9F" w:rsidP="00FE1A9F">
            <w:pPr>
              <w:rPr>
                <w:rFonts w:cs="Arial"/>
              </w:rPr>
            </w:pPr>
            <w:r>
              <w:rPr>
                <w:rFonts w:cs="Arial"/>
              </w:rPr>
              <w:t>ENU-15</w:t>
            </w:r>
          </w:p>
        </w:tc>
        <w:tc>
          <w:tcPr>
            <w:tcW w:w="1134" w:type="dxa"/>
            <w:shd w:val="clear" w:color="auto" w:fill="FFFFFF" w:themeFill="background1"/>
          </w:tcPr>
          <w:p w14:paraId="5D15F566" w14:textId="6B5FB83E" w:rsidR="00FE1A9F" w:rsidRPr="000410BC" w:rsidRDefault="00FE1A9F" w:rsidP="00FE1A9F">
            <w:pPr>
              <w:rPr>
                <w:rFonts w:cs="Arial"/>
              </w:rPr>
            </w:pPr>
            <w:r>
              <w:rPr>
                <w:rFonts w:cs="Arial"/>
              </w:rPr>
              <w:t>MEN-12</w:t>
            </w:r>
          </w:p>
        </w:tc>
        <w:tc>
          <w:tcPr>
            <w:tcW w:w="5811" w:type="dxa"/>
            <w:shd w:val="clear" w:color="auto" w:fill="FFFFFF" w:themeFill="background1"/>
          </w:tcPr>
          <w:p w14:paraId="7921B4FE" w14:textId="5E6829BC" w:rsidR="00FE1A9F" w:rsidRPr="00642B7C" w:rsidRDefault="00FE1A9F" w:rsidP="00FE1A9F">
            <w:pPr>
              <w:rPr>
                <w:rFonts w:cs="Arial"/>
              </w:rPr>
            </w:pPr>
            <w:r w:rsidRPr="000410BC">
              <w:rPr>
                <w:rFonts w:cs="Arial"/>
              </w:rPr>
              <w:t xml:space="preserve">Energetska učinkovitost </w:t>
            </w:r>
            <w:r>
              <w:rPr>
                <w:rFonts w:cs="Arial"/>
              </w:rPr>
              <w:t xml:space="preserve">elektroenergetskog </w:t>
            </w:r>
            <w:r w:rsidRPr="000410BC">
              <w:rPr>
                <w:rFonts w:cs="Arial"/>
              </w:rPr>
              <w:t>prijenosnog sustava</w:t>
            </w:r>
          </w:p>
        </w:tc>
        <w:tc>
          <w:tcPr>
            <w:tcW w:w="1240" w:type="dxa"/>
            <w:shd w:val="clear" w:color="auto" w:fill="FFFFFF" w:themeFill="background1"/>
          </w:tcPr>
          <w:p w14:paraId="00200628" w14:textId="35E84989" w:rsidR="00FE1A9F" w:rsidRPr="000410BC" w:rsidRDefault="00FE1A9F" w:rsidP="00FE1A9F">
            <w:pPr>
              <w:rPr>
                <w:rFonts w:cs="Arial"/>
              </w:rPr>
            </w:pPr>
            <w:r>
              <w:rPr>
                <w:rFonts w:cs="Arial"/>
              </w:rPr>
              <w:t>1,3</w:t>
            </w:r>
          </w:p>
        </w:tc>
      </w:tr>
      <w:tr w:rsidR="00FE1A9F" w14:paraId="69B77CA2" w14:textId="27E7AB0D" w:rsidTr="005E4458">
        <w:tc>
          <w:tcPr>
            <w:tcW w:w="1101" w:type="dxa"/>
            <w:shd w:val="clear" w:color="auto" w:fill="FFFFFF" w:themeFill="background1"/>
          </w:tcPr>
          <w:p w14:paraId="5E35FE0A" w14:textId="71E5A5C9" w:rsidR="00FE1A9F" w:rsidRPr="00642B7C" w:rsidRDefault="00FE1A9F" w:rsidP="00FE1A9F">
            <w:pPr>
              <w:rPr>
                <w:rFonts w:cs="Arial"/>
              </w:rPr>
            </w:pPr>
            <w:r>
              <w:rPr>
                <w:rFonts w:cs="Arial"/>
              </w:rPr>
              <w:t>ENU-16</w:t>
            </w:r>
          </w:p>
        </w:tc>
        <w:tc>
          <w:tcPr>
            <w:tcW w:w="1134" w:type="dxa"/>
            <w:shd w:val="clear" w:color="auto" w:fill="FFFFFF" w:themeFill="background1"/>
          </w:tcPr>
          <w:p w14:paraId="3AC79CD3" w14:textId="7FE4466B" w:rsidR="00FE1A9F" w:rsidRPr="00555623" w:rsidRDefault="00FE1A9F" w:rsidP="00FE1A9F">
            <w:pPr>
              <w:rPr>
                <w:rFonts w:cs="Arial"/>
              </w:rPr>
            </w:pPr>
            <w:r>
              <w:rPr>
                <w:rFonts w:cs="Arial"/>
              </w:rPr>
              <w:t>MEN-13</w:t>
            </w:r>
          </w:p>
        </w:tc>
        <w:tc>
          <w:tcPr>
            <w:tcW w:w="5811" w:type="dxa"/>
            <w:shd w:val="clear" w:color="auto" w:fill="FFFFFF" w:themeFill="background1"/>
          </w:tcPr>
          <w:p w14:paraId="585FAE88" w14:textId="7CFE170F" w:rsidR="00FE1A9F" w:rsidRPr="00642B7C" w:rsidRDefault="00FE1A9F" w:rsidP="00FE1A9F">
            <w:pPr>
              <w:rPr>
                <w:rFonts w:cs="Arial"/>
              </w:rPr>
            </w:pPr>
            <w:r w:rsidRPr="00555623">
              <w:rPr>
                <w:rFonts w:cs="Arial"/>
              </w:rPr>
              <w:t xml:space="preserve">Smanjenje gubitaka u distribucijskoj elektroenergetskoj mreži i uvođenje </w:t>
            </w:r>
            <w:r>
              <w:rPr>
                <w:rFonts w:cs="Arial"/>
              </w:rPr>
              <w:t>naprednih</w:t>
            </w:r>
            <w:r w:rsidRPr="00555623">
              <w:rPr>
                <w:rFonts w:cs="Arial"/>
              </w:rPr>
              <w:t xml:space="preserve"> mreža</w:t>
            </w:r>
          </w:p>
        </w:tc>
        <w:tc>
          <w:tcPr>
            <w:tcW w:w="1240" w:type="dxa"/>
            <w:shd w:val="clear" w:color="auto" w:fill="FFFFFF" w:themeFill="background1"/>
          </w:tcPr>
          <w:p w14:paraId="5CB93827" w14:textId="6979DEC5" w:rsidR="00FE1A9F" w:rsidRPr="00555623" w:rsidRDefault="00FE1A9F" w:rsidP="00FE1A9F">
            <w:pPr>
              <w:rPr>
                <w:rFonts w:cs="Arial"/>
              </w:rPr>
            </w:pPr>
            <w:r>
              <w:rPr>
                <w:rFonts w:cs="Arial"/>
              </w:rPr>
              <w:t>1,3,4</w:t>
            </w:r>
          </w:p>
        </w:tc>
      </w:tr>
      <w:tr w:rsidR="00FE1A9F" w14:paraId="534F53F0" w14:textId="7E7B3E2F" w:rsidTr="005E4458">
        <w:tc>
          <w:tcPr>
            <w:tcW w:w="1101" w:type="dxa"/>
            <w:shd w:val="clear" w:color="auto" w:fill="FFFFFF" w:themeFill="background1"/>
          </w:tcPr>
          <w:p w14:paraId="4BFFB2FF" w14:textId="5700D9D0" w:rsidR="00FE1A9F" w:rsidRPr="00583767" w:rsidRDefault="00FE1A9F" w:rsidP="00FE1A9F">
            <w:pPr>
              <w:rPr>
                <w:rFonts w:cs="Arial"/>
              </w:rPr>
            </w:pPr>
            <w:r>
              <w:lastRenderedPageBreak/>
              <w:t>ENU-17</w:t>
            </w:r>
          </w:p>
        </w:tc>
        <w:tc>
          <w:tcPr>
            <w:tcW w:w="1134" w:type="dxa"/>
            <w:shd w:val="clear" w:color="auto" w:fill="FFFFFF" w:themeFill="background1"/>
          </w:tcPr>
          <w:p w14:paraId="7D1B27CF" w14:textId="6EB892C9" w:rsidR="00FE1A9F" w:rsidRPr="00583767" w:rsidRDefault="00FE1A9F" w:rsidP="00FE1A9F">
            <w:r>
              <w:rPr>
                <w:rFonts w:cs="Arial"/>
              </w:rPr>
              <w:t>MEN-14</w:t>
            </w:r>
          </w:p>
        </w:tc>
        <w:tc>
          <w:tcPr>
            <w:tcW w:w="5811" w:type="dxa"/>
            <w:shd w:val="clear" w:color="auto" w:fill="FFFFFF" w:themeFill="background1"/>
          </w:tcPr>
          <w:p w14:paraId="2B82C86A" w14:textId="182FCEBF" w:rsidR="00FE1A9F" w:rsidRPr="00583767" w:rsidRDefault="00FE1A9F" w:rsidP="00FE1A9F">
            <w:r w:rsidRPr="00583767">
              <w:t>Povećanje učinkovitosti sustava toplinarstva</w:t>
            </w:r>
          </w:p>
        </w:tc>
        <w:tc>
          <w:tcPr>
            <w:tcW w:w="1240" w:type="dxa"/>
            <w:shd w:val="clear" w:color="auto" w:fill="FFFFFF" w:themeFill="background1"/>
          </w:tcPr>
          <w:p w14:paraId="4C85C0FA" w14:textId="2C97701D" w:rsidR="00FE1A9F" w:rsidRPr="00583767" w:rsidRDefault="00FE1A9F" w:rsidP="00FE1A9F">
            <w:r>
              <w:t>1,3,4</w:t>
            </w:r>
          </w:p>
        </w:tc>
      </w:tr>
      <w:tr w:rsidR="00FE1A9F" w14:paraId="44ACEF9F" w14:textId="77777777" w:rsidTr="005E4458">
        <w:tc>
          <w:tcPr>
            <w:tcW w:w="1101" w:type="dxa"/>
            <w:shd w:val="clear" w:color="auto" w:fill="FFFFFF" w:themeFill="background1"/>
          </w:tcPr>
          <w:p w14:paraId="717D78A3" w14:textId="25AD0EE5" w:rsidR="00FE1A9F" w:rsidRPr="00583767" w:rsidRDefault="00FE1A9F" w:rsidP="00FE1A9F">
            <w:r>
              <w:t>ENU-18</w:t>
            </w:r>
          </w:p>
        </w:tc>
        <w:tc>
          <w:tcPr>
            <w:tcW w:w="1134" w:type="dxa"/>
            <w:shd w:val="clear" w:color="auto" w:fill="FFFFFF" w:themeFill="background1"/>
          </w:tcPr>
          <w:p w14:paraId="1645CEF6" w14:textId="1EA4712C" w:rsidR="00FE1A9F" w:rsidRPr="00DB3CA4" w:rsidRDefault="00FE1A9F" w:rsidP="00FE1A9F">
            <w:r>
              <w:rPr>
                <w:rFonts w:cs="Arial"/>
              </w:rPr>
              <w:t>MEN-1</w:t>
            </w:r>
            <w:r w:rsidR="00596E4F">
              <w:rPr>
                <w:rFonts w:cs="Arial"/>
              </w:rPr>
              <w:t>6</w:t>
            </w:r>
          </w:p>
        </w:tc>
        <w:tc>
          <w:tcPr>
            <w:tcW w:w="5811" w:type="dxa"/>
            <w:shd w:val="clear" w:color="auto" w:fill="FFFFFF" w:themeFill="background1"/>
          </w:tcPr>
          <w:p w14:paraId="758A020B" w14:textId="5B9C4D14" w:rsidR="00FE1A9F" w:rsidRPr="00583767" w:rsidRDefault="00FE1A9F" w:rsidP="00FE1A9F">
            <w:r w:rsidRPr="00DB3CA4">
              <w:t>Povećanje učinkovitosti plinskog sustava</w:t>
            </w:r>
          </w:p>
        </w:tc>
        <w:tc>
          <w:tcPr>
            <w:tcW w:w="1240" w:type="dxa"/>
            <w:shd w:val="clear" w:color="auto" w:fill="FFFFFF" w:themeFill="background1"/>
          </w:tcPr>
          <w:p w14:paraId="4A7D5183" w14:textId="4125C310" w:rsidR="00FE1A9F" w:rsidRDefault="00FE1A9F" w:rsidP="00FE1A9F">
            <w:r>
              <w:t>1,3,4</w:t>
            </w:r>
          </w:p>
        </w:tc>
      </w:tr>
      <w:tr w:rsidR="00FE1A9F" w14:paraId="05B8EFB0" w14:textId="72C9F8B4" w:rsidTr="00333519">
        <w:tc>
          <w:tcPr>
            <w:tcW w:w="9286" w:type="dxa"/>
            <w:gridSpan w:val="4"/>
            <w:shd w:val="clear" w:color="auto" w:fill="FFFFFF" w:themeFill="background1"/>
          </w:tcPr>
          <w:p w14:paraId="3F9A8D2B" w14:textId="46CAD754" w:rsidR="00FE1A9F" w:rsidRPr="00725326" w:rsidRDefault="00FE1A9F" w:rsidP="00FE1A9F">
            <w:pPr>
              <w:rPr>
                <w:rFonts w:cs="Arial"/>
                <w:b/>
              </w:rPr>
            </w:pPr>
            <w:r w:rsidRPr="00725326">
              <w:rPr>
                <w:rFonts w:cs="Arial"/>
                <w:b/>
              </w:rPr>
              <w:t>Energetska sigurnost</w:t>
            </w:r>
          </w:p>
        </w:tc>
      </w:tr>
      <w:tr w:rsidR="00FE1A9F" w14:paraId="67E3CA2E" w14:textId="67CF1178" w:rsidTr="005E4458">
        <w:tc>
          <w:tcPr>
            <w:tcW w:w="1101" w:type="dxa"/>
            <w:shd w:val="clear" w:color="auto" w:fill="FFFFFF" w:themeFill="background1"/>
          </w:tcPr>
          <w:p w14:paraId="777848A6" w14:textId="413C7B58" w:rsidR="00FE1A9F" w:rsidRPr="00642B7C" w:rsidRDefault="00FE1A9F" w:rsidP="00FE1A9F">
            <w:pPr>
              <w:rPr>
                <w:rFonts w:cs="Arial"/>
              </w:rPr>
            </w:pPr>
            <w:r w:rsidRPr="00555623">
              <w:rPr>
                <w:rFonts w:cs="Arial"/>
              </w:rPr>
              <w:t>ES-1</w:t>
            </w:r>
          </w:p>
        </w:tc>
        <w:tc>
          <w:tcPr>
            <w:tcW w:w="1134" w:type="dxa"/>
            <w:shd w:val="clear" w:color="auto" w:fill="FFFFFF" w:themeFill="background1"/>
          </w:tcPr>
          <w:p w14:paraId="2A5FFBE6" w14:textId="1E748D72" w:rsidR="00FE1A9F" w:rsidRPr="00555623" w:rsidRDefault="00FE1A9F" w:rsidP="00FE1A9F">
            <w:pPr>
              <w:rPr>
                <w:rFonts w:cs="Arial"/>
              </w:rPr>
            </w:pPr>
            <w:r>
              <w:rPr>
                <w:rFonts w:cs="Arial"/>
              </w:rPr>
              <w:t>MEN-2</w:t>
            </w:r>
            <w:r w:rsidR="00596E4F">
              <w:rPr>
                <w:rFonts w:cs="Arial"/>
              </w:rPr>
              <w:t>1</w:t>
            </w:r>
          </w:p>
        </w:tc>
        <w:tc>
          <w:tcPr>
            <w:tcW w:w="5811" w:type="dxa"/>
            <w:shd w:val="clear" w:color="auto" w:fill="FFFFFF" w:themeFill="background1"/>
          </w:tcPr>
          <w:p w14:paraId="5C87FC38" w14:textId="496E5FDA" w:rsidR="00FE1A9F" w:rsidRPr="00642B7C" w:rsidRDefault="00FE1A9F" w:rsidP="00FE1A9F">
            <w:pPr>
              <w:rPr>
                <w:rFonts w:cs="Arial"/>
              </w:rPr>
            </w:pPr>
            <w:r w:rsidRPr="00555623">
              <w:rPr>
                <w:rFonts w:cs="Arial"/>
              </w:rPr>
              <w:t>Integrirano planiranje sigurnosti opskrbe energijom i energentima</w:t>
            </w:r>
          </w:p>
        </w:tc>
        <w:tc>
          <w:tcPr>
            <w:tcW w:w="1240" w:type="dxa"/>
            <w:shd w:val="clear" w:color="auto" w:fill="FFFFFF" w:themeFill="background1"/>
          </w:tcPr>
          <w:p w14:paraId="28A245F6" w14:textId="5E444EA2" w:rsidR="00FE1A9F" w:rsidRPr="00555623" w:rsidRDefault="00FE1A9F" w:rsidP="00FE1A9F">
            <w:pPr>
              <w:rPr>
                <w:rFonts w:cs="Arial"/>
              </w:rPr>
            </w:pPr>
            <w:r>
              <w:rPr>
                <w:rFonts w:cs="Arial"/>
              </w:rPr>
              <w:t>1,2,4</w:t>
            </w:r>
          </w:p>
        </w:tc>
      </w:tr>
      <w:tr w:rsidR="00FE1A9F" w14:paraId="2EAAA685" w14:textId="55E5706A" w:rsidTr="005E4458">
        <w:tc>
          <w:tcPr>
            <w:tcW w:w="1101" w:type="dxa"/>
            <w:shd w:val="clear" w:color="auto" w:fill="FFFFFF" w:themeFill="background1"/>
          </w:tcPr>
          <w:p w14:paraId="2C51E685" w14:textId="769E7F38" w:rsidR="00FE1A9F" w:rsidRPr="00642B7C" w:rsidRDefault="00FE1A9F" w:rsidP="00FE1A9F">
            <w:pPr>
              <w:rPr>
                <w:rFonts w:cs="Arial"/>
              </w:rPr>
            </w:pPr>
            <w:r w:rsidRPr="00555623">
              <w:rPr>
                <w:rFonts w:cs="Arial"/>
              </w:rPr>
              <w:t>ES-2</w:t>
            </w:r>
          </w:p>
        </w:tc>
        <w:tc>
          <w:tcPr>
            <w:tcW w:w="1134" w:type="dxa"/>
            <w:shd w:val="clear" w:color="auto" w:fill="FFFFFF" w:themeFill="background1"/>
          </w:tcPr>
          <w:p w14:paraId="07CE3346" w14:textId="09B0F4FA" w:rsidR="00FE1A9F" w:rsidRPr="00EC2B49" w:rsidRDefault="00FE1A9F" w:rsidP="00FE1A9F">
            <w:pPr>
              <w:rPr>
                <w:rFonts w:cs="Arial"/>
              </w:rPr>
            </w:pPr>
            <w:r>
              <w:rPr>
                <w:rFonts w:cs="Arial"/>
              </w:rPr>
              <w:t>MEN-2</w:t>
            </w:r>
            <w:r w:rsidR="00596E4F">
              <w:rPr>
                <w:rFonts w:cs="Arial"/>
              </w:rPr>
              <w:t>2</w:t>
            </w:r>
          </w:p>
        </w:tc>
        <w:tc>
          <w:tcPr>
            <w:tcW w:w="5811" w:type="dxa"/>
            <w:shd w:val="clear" w:color="auto" w:fill="FFFFFF" w:themeFill="background1"/>
          </w:tcPr>
          <w:p w14:paraId="5D054811" w14:textId="2574AAEE" w:rsidR="00FE1A9F" w:rsidRPr="00642B7C" w:rsidRDefault="00FE1A9F" w:rsidP="00FE1A9F">
            <w:pPr>
              <w:rPr>
                <w:rFonts w:cs="Arial"/>
              </w:rPr>
            </w:pPr>
            <w:r w:rsidRPr="00EC2B49">
              <w:rPr>
                <w:rFonts w:cs="Arial"/>
              </w:rPr>
              <w:t>Izgradnja i korištenje spremnika energije</w:t>
            </w:r>
          </w:p>
        </w:tc>
        <w:tc>
          <w:tcPr>
            <w:tcW w:w="1240" w:type="dxa"/>
            <w:shd w:val="clear" w:color="auto" w:fill="FFFFFF" w:themeFill="background1"/>
          </w:tcPr>
          <w:p w14:paraId="7138B749" w14:textId="08141998" w:rsidR="00FE1A9F" w:rsidRPr="00555623" w:rsidRDefault="00FE1A9F" w:rsidP="00FE1A9F">
            <w:pPr>
              <w:rPr>
                <w:rFonts w:cs="Arial"/>
              </w:rPr>
            </w:pPr>
            <w:r>
              <w:rPr>
                <w:rFonts w:cs="Arial"/>
              </w:rPr>
              <w:t>1,2,4,5</w:t>
            </w:r>
          </w:p>
        </w:tc>
      </w:tr>
      <w:tr w:rsidR="00FE1A9F" w14:paraId="56E3D543" w14:textId="368EB256" w:rsidTr="005E4458">
        <w:tc>
          <w:tcPr>
            <w:tcW w:w="1101" w:type="dxa"/>
            <w:shd w:val="clear" w:color="auto" w:fill="FFFFFF" w:themeFill="background1"/>
          </w:tcPr>
          <w:p w14:paraId="723B93FB" w14:textId="05E57855" w:rsidR="00FE1A9F" w:rsidRPr="00642B7C" w:rsidRDefault="00FE1A9F" w:rsidP="00FE1A9F">
            <w:pPr>
              <w:rPr>
                <w:rFonts w:cs="Arial"/>
              </w:rPr>
            </w:pPr>
            <w:r w:rsidRPr="00555623">
              <w:rPr>
                <w:rFonts w:cs="Arial"/>
              </w:rPr>
              <w:t>ES-3</w:t>
            </w:r>
          </w:p>
        </w:tc>
        <w:tc>
          <w:tcPr>
            <w:tcW w:w="1134" w:type="dxa"/>
            <w:shd w:val="clear" w:color="auto" w:fill="FFFFFF" w:themeFill="background1"/>
          </w:tcPr>
          <w:p w14:paraId="128EFED7" w14:textId="54F122C4" w:rsidR="00FE1A9F" w:rsidRPr="00EC2B49" w:rsidRDefault="00FE1A9F" w:rsidP="00FE1A9F">
            <w:pPr>
              <w:rPr>
                <w:rFonts w:cs="Arial"/>
              </w:rPr>
            </w:pPr>
          </w:p>
        </w:tc>
        <w:tc>
          <w:tcPr>
            <w:tcW w:w="5811" w:type="dxa"/>
            <w:shd w:val="clear" w:color="auto" w:fill="FFFFFF" w:themeFill="background1"/>
          </w:tcPr>
          <w:p w14:paraId="72A8F59F" w14:textId="6BE02F99" w:rsidR="00FE1A9F" w:rsidRPr="00642B7C" w:rsidRDefault="00FE1A9F" w:rsidP="00FE1A9F">
            <w:pPr>
              <w:rPr>
                <w:rFonts w:cs="Arial"/>
              </w:rPr>
            </w:pPr>
            <w:r w:rsidRPr="00EC2B49">
              <w:rPr>
                <w:rFonts w:cs="Arial"/>
              </w:rPr>
              <w:t>Unaprjeđenje sustava vođenja elektroenergetskog sustava</w:t>
            </w:r>
          </w:p>
        </w:tc>
        <w:tc>
          <w:tcPr>
            <w:tcW w:w="1240" w:type="dxa"/>
            <w:shd w:val="clear" w:color="auto" w:fill="FFFFFF" w:themeFill="background1"/>
          </w:tcPr>
          <w:p w14:paraId="7A07A473" w14:textId="3C359F22" w:rsidR="00FE1A9F" w:rsidRPr="00555623" w:rsidRDefault="00E74F71" w:rsidP="00FE1A9F">
            <w:pPr>
              <w:rPr>
                <w:rFonts w:cs="Arial"/>
              </w:rPr>
            </w:pPr>
            <w:r>
              <w:rPr>
                <w:rFonts w:cs="Arial"/>
              </w:rPr>
              <w:t>1,</w:t>
            </w:r>
            <w:r w:rsidR="00FE1A9F">
              <w:rPr>
                <w:rFonts w:cs="Arial"/>
              </w:rPr>
              <w:t>2,4,5</w:t>
            </w:r>
          </w:p>
        </w:tc>
      </w:tr>
      <w:tr w:rsidR="00FE1A9F" w14:paraId="5CC67577" w14:textId="65F89F52" w:rsidTr="005E4458">
        <w:tc>
          <w:tcPr>
            <w:tcW w:w="1101" w:type="dxa"/>
            <w:shd w:val="clear" w:color="auto" w:fill="FFFFFF" w:themeFill="background1"/>
          </w:tcPr>
          <w:p w14:paraId="45DEEC2D" w14:textId="4071E6DC" w:rsidR="00FE1A9F" w:rsidRPr="00555623" w:rsidRDefault="00FE1A9F" w:rsidP="00FE1A9F">
            <w:pPr>
              <w:rPr>
                <w:rFonts w:cs="Arial"/>
              </w:rPr>
            </w:pPr>
            <w:r w:rsidRPr="007145ED">
              <w:rPr>
                <w:rFonts w:cs="Arial"/>
              </w:rPr>
              <w:t>ES-</w:t>
            </w:r>
            <w:r>
              <w:rPr>
                <w:rFonts w:cs="Arial"/>
              </w:rPr>
              <w:t>4</w:t>
            </w:r>
          </w:p>
        </w:tc>
        <w:tc>
          <w:tcPr>
            <w:tcW w:w="1134" w:type="dxa"/>
            <w:shd w:val="clear" w:color="auto" w:fill="FFFFFF" w:themeFill="background1"/>
          </w:tcPr>
          <w:p w14:paraId="7CFB4267" w14:textId="3BF43C05" w:rsidR="00FE1A9F" w:rsidRPr="00EC2B49" w:rsidRDefault="00FE1A9F" w:rsidP="00FE1A9F">
            <w:pPr>
              <w:rPr>
                <w:rFonts w:cs="Arial"/>
              </w:rPr>
            </w:pPr>
            <w:r>
              <w:rPr>
                <w:rFonts w:cs="Arial"/>
              </w:rPr>
              <w:t>MEN-2</w:t>
            </w:r>
            <w:r w:rsidR="00596E4F">
              <w:rPr>
                <w:rFonts w:cs="Arial"/>
              </w:rPr>
              <w:t>3</w:t>
            </w:r>
          </w:p>
        </w:tc>
        <w:tc>
          <w:tcPr>
            <w:tcW w:w="5811" w:type="dxa"/>
            <w:shd w:val="clear" w:color="auto" w:fill="FFFFFF" w:themeFill="background1"/>
          </w:tcPr>
          <w:p w14:paraId="14174BDF" w14:textId="15C68C26" w:rsidR="00FE1A9F" w:rsidRPr="00555623" w:rsidRDefault="00FE1A9F" w:rsidP="00FE1A9F">
            <w:pPr>
              <w:rPr>
                <w:rFonts w:cs="Arial"/>
              </w:rPr>
            </w:pPr>
            <w:r w:rsidRPr="00EC2B49">
              <w:rPr>
                <w:rFonts w:cs="Arial"/>
              </w:rPr>
              <w:t>Razvoj i održavanje sustava centralne proizvodnje toplinske energije</w:t>
            </w:r>
          </w:p>
        </w:tc>
        <w:tc>
          <w:tcPr>
            <w:tcW w:w="1240" w:type="dxa"/>
            <w:shd w:val="clear" w:color="auto" w:fill="FFFFFF" w:themeFill="background1"/>
          </w:tcPr>
          <w:p w14:paraId="0A071191" w14:textId="6FA29522" w:rsidR="00FE1A9F" w:rsidRPr="007145ED" w:rsidRDefault="00A27186" w:rsidP="00FE1A9F">
            <w:pPr>
              <w:rPr>
                <w:rFonts w:cs="Arial"/>
              </w:rPr>
            </w:pPr>
            <w:r>
              <w:rPr>
                <w:rFonts w:cs="Arial"/>
              </w:rPr>
              <w:t>1,</w:t>
            </w:r>
            <w:r w:rsidR="00FE1A9F">
              <w:rPr>
                <w:rFonts w:cs="Arial"/>
              </w:rPr>
              <w:t>2,4</w:t>
            </w:r>
          </w:p>
        </w:tc>
      </w:tr>
      <w:tr w:rsidR="00FE1A9F" w14:paraId="3571EFCA" w14:textId="37B7BDA2" w:rsidTr="005E4458">
        <w:tc>
          <w:tcPr>
            <w:tcW w:w="1101" w:type="dxa"/>
            <w:shd w:val="clear" w:color="auto" w:fill="FFFFFF" w:themeFill="background1"/>
          </w:tcPr>
          <w:p w14:paraId="2881F7EE" w14:textId="6CB26228" w:rsidR="00FE1A9F" w:rsidRPr="00555623" w:rsidRDefault="00FE1A9F" w:rsidP="00FE1A9F">
            <w:pPr>
              <w:rPr>
                <w:rFonts w:cs="Arial"/>
              </w:rPr>
            </w:pPr>
            <w:r w:rsidRPr="007145ED">
              <w:rPr>
                <w:rFonts w:cs="Arial"/>
              </w:rPr>
              <w:t>ES-</w:t>
            </w:r>
            <w:r>
              <w:rPr>
                <w:rFonts w:cs="Arial"/>
              </w:rPr>
              <w:t>5</w:t>
            </w:r>
          </w:p>
        </w:tc>
        <w:tc>
          <w:tcPr>
            <w:tcW w:w="1134" w:type="dxa"/>
            <w:shd w:val="clear" w:color="auto" w:fill="FFFFFF" w:themeFill="background1"/>
          </w:tcPr>
          <w:p w14:paraId="1F6B9AE8" w14:textId="1CA79B03" w:rsidR="00FE1A9F" w:rsidRPr="00EC2B49" w:rsidRDefault="00FE1A9F" w:rsidP="00FE1A9F">
            <w:pPr>
              <w:rPr>
                <w:rFonts w:cs="Arial"/>
              </w:rPr>
            </w:pPr>
            <w:r>
              <w:rPr>
                <w:rFonts w:cs="Arial"/>
              </w:rPr>
              <w:t>MEN-2</w:t>
            </w:r>
            <w:r w:rsidR="00596E4F">
              <w:rPr>
                <w:rFonts w:cs="Arial"/>
              </w:rPr>
              <w:t>4</w:t>
            </w:r>
          </w:p>
        </w:tc>
        <w:tc>
          <w:tcPr>
            <w:tcW w:w="5811" w:type="dxa"/>
            <w:shd w:val="clear" w:color="auto" w:fill="FFFFFF" w:themeFill="background1"/>
          </w:tcPr>
          <w:p w14:paraId="1D1122D4" w14:textId="60B7785B" w:rsidR="00FE1A9F" w:rsidRPr="00555623" w:rsidRDefault="00FE1A9F" w:rsidP="00FE1A9F">
            <w:pPr>
              <w:rPr>
                <w:rFonts w:cs="Arial"/>
              </w:rPr>
            </w:pPr>
            <w:r w:rsidRPr="00EC2B49">
              <w:rPr>
                <w:rFonts w:cs="Arial"/>
              </w:rPr>
              <w:t>Izgradnja terminala</w:t>
            </w:r>
            <w:r>
              <w:rPr>
                <w:rFonts w:cs="Arial"/>
              </w:rPr>
              <w:t xml:space="preserve"> za UPP</w:t>
            </w:r>
          </w:p>
        </w:tc>
        <w:tc>
          <w:tcPr>
            <w:tcW w:w="1240" w:type="dxa"/>
            <w:shd w:val="clear" w:color="auto" w:fill="FFFFFF" w:themeFill="background1"/>
          </w:tcPr>
          <w:p w14:paraId="54B87F74" w14:textId="1CBE89F5" w:rsidR="00FE1A9F" w:rsidRPr="007145ED" w:rsidRDefault="00FE1A9F" w:rsidP="00FE1A9F">
            <w:pPr>
              <w:rPr>
                <w:rFonts w:cs="Arial"/>
              </w:rPr>
            </w:pPr>
            <w:r>
              <w:rPr>
                <w:rFonts w:cs="Arial"/>
              </w:rPr>
              <w:t>4</w:t>
            </w:r>
          </w:p>
        </w:tc>
      </w:tr>
      <w:tr w:rsidR="00FE1A9F" w14:paraId="12248C13" w14:textId="10757B4E" w:rsidTr="005E4458">
        <w:tc>
          <w:tcPr>
            <w:tcW w:w="1101" w:type="dxa"/>
            <w:shd w:val="clear" w:color="auto" w:fill="FFFFFF" w:themeFill="background1"/>
          </w:tcPr>
          <w:p w14:paraId="3D414758" w14:textId="126C8960" w:rsidR="00FE1A9F" w:rsidRPr="00555623" w:rsidRDefault="00FE1A9F" w:rsidP="00FE1A9F">
            <w:pPr>
              <w:rPr>
                <w:rFonts w:cs="Arial"/>
              </w:rPr>
            </w:pPr>
            <w:r w:rsidRPr="007145ED">
              <w:rPr>
                <w:rFonts w:cs="Arial"/>
              </w:rPr>
              <w:t>ES-</w:t>
            </w:r>
            <w:r>
              <w:rPr>
                <w:rFonts w:cs="Arial"/>
              </w:rPr>
              <w:t>6</w:t>
            </w:r>
          </w:p>
        </w:tc>
        <w:tc>
          <w:tcPr>
            <w:tcW w:w="1134" w:type="dxa"/>
            <w:shd w:val="clear" w:color="auto" w:fill="FFFFFF" w:themeFill="background1"/>
          </w:tcPr>
          <w:p w14:paraId="5D03D9C5" w14:textId="77777777" w:rsidR="00FE1A9F" w:rsidRPr="00EC2B49" w:rsidRDefault="00FE1A9F" w:rsidP="00FE1A9F"/>
        </w:tc>
        <w:tc>
          <w:tcPr>
            <w:tcW w:w="5811" w:type="dxa"/>
            <w:shd w:val="clear" w:color="auto" w:fill="FFFFFF" w:themeFill="background1"/>
          </w:tcPr>
          <w:p w14:paraId="0C5ACAD9" w14:textId="41CFA4E0" w:rsidR="00FE1A9F" w:rsidRPr="00555623" w:rsidRDefault="00FE1A9F" w:rsidP="00FE1A9F">
            <w:pPr>
              <w:rPr>
                <w:rFonts w:cs="Arial"/>
              </w:rPr>
            </w:pPr>
            <w:r w:rsidRPr="004A25F9">
              <w:t>Izgradnja i unaprjeđenje vođenja transportnog plinskog sustava</w:t>
            </w:r>
          </w:p>
        </w:tc>
        <w:tc>
          <w:tcPr>
            <w:tcW w:w="1240" w:type="dxa"/>
            <w:shd w:val="clear" w:color="auto" w:fill="FFFFFF" w:themeFill="background1"/>
          </w:tcPr>
          <w:p w14:paraId="64F12CFE" w14:textId="577E7FE1" w:rsidR="00FE1A9F" w:rsidRPr="00D749F6" w:rsidRDefault="00FE1A9F" w:rsidP="00FE1A9F">
            <w:r>
              <w:t>4</w:t>
            </w:r>
          </w:p>
        </w:tc>
      </w:tr>
      <w:tr w:rsidR="00FE1A9F" w14:paraId="5A2E2DB5" w14:textId="2A09F42A" w:rsidTr="005E4458">
        <w:tc>
          <w:tcPr>
            <w:tcW w:w="1101" w:type="dxa"/>
            <w:shd w:val="clear" w:color="auto" w:fill="FFFFFF" w:themeFill="background1"/>
          </w:tcPr>
          <w:p w14:paraId="36641FC8" w14:textId="5BE99F01" w:rsidR="00FE1A9F" w:rsidRPr="007145ED" w:rsidRDefault="00FE1A9F" w:rsidP="00FE1A9F">
            <w:pPr>
              <w:rPr>
                <w:rFonts w:cs="Arial"/>
              </w:rPr>
            </w:pPr>
            <w:r w:rsidRPr="007145ED">
              <w:rPr>
                <w:rFonts w:cs="Arial"/>
              </w:rPr>
              <w:t>ES-</w:t>
            </w:r>
            <w:r>
              <w:rPr>
                <w:rFonts w:cs="Arial"/>
              </w:rPr>
              <w:t>7</w:t>
            </w:r>
          </w:p>
        </w:tc>
        <w:tc>
          <w:tcPr>
            <w:tcW w:w="1134" w:type="dxa"/>
            <w:shd w:val="clear" w:color="auto" w:fill="FFFFFF" w:themeFill="background1"/>
          </w:tcPr>
          <w:p w14:paraId="1A9BD558" w14:textId="77777777" w:rsidR="00FE1A9F" w:rsidRPr="00EC2B49" w:rsidRDefault="00FE1A9F" w:rsidP="00FE1A9F"/>
        </w:tc>
        <w:tc>
          <w:tcPr>
            <w:tcW w:w="5811" w:type="dxa"/>
            <w:shd w:val="clear" w:color="auto" w:fill="FFFFFF" w:themeFill="background1"/>
          </w:tcPr>
          <w:p w14:paraId="3A241DE3" w14:textId="7D755DC9" w:rsidR="00FE1A9F" w:rsidRPr="00EC2B49" w:rsidRDefault="00FE1A9F" w:rsidP="00FE1A9F">
            <w:r w:rsidRPr="00EC2B49">
              <w:t>Razvoj jadranskog tržišta nafte i derivata uz optimizaciju skladišnih kapaciteta za naftu i derivate</w:t>
            </w:r>
          </w:p>
        </w:tc>
        <w:tc>
          <w:tcPr>
            <w:tcW w:w="1240" w:type="dxa"/>
            <w:shd w:val="clear" w:color="auto" w:fill="FFFFFF" w:themeFill="background1"/>
          </w:tcPr>
          <w:p w14:paraId="169B6C54" w14:textId="3B7D4561" w:rsidR="00FE1A9F" w:rsidRPr="00D749F6" w:rsidRDefault="00FE1A9F" w:rsidP="00FE1A9F">
            <w:r>
              <w:t>4</w:t>
            </w:r>
          </w:p>
        </w:tc>
      </w:tr>
      <w:tr w:rsidR="00FE1A9F" w14:paraId="100A1579" w14:textId="04B5640F" w:rsidTr="005E4458">
        <w:tc>
          <w:tcPr>
            <w:tcW w:w="1101" w:type="dxa"/>
            <w:shd w:val="clear" w:color="auto" w:fill="FFFFFF" w:themeFill="background1"/>
          </w:tcPr>
          <w:p w14:paraId="6C669D3F" w14:textId="24FFD826" w:rsidR="00FE1A9F" w:rsidRPr="007145ED" w:rsidRDefault="00FE1A9F" w:rsidP="00FE1A9F">
            <w:pPr>
              <w:rPr>
                <w:rFonts w:cs="Arial"/>
              </w:rPr>
            </w:pPr>
            <w:r w:rsidRPr="007145ED">
              <w:rPr>
                <w:rFonts w:cs="Arial"/>
              </w:rPr>
              <w:t>ES-</w:t>
            </w:r>
            <w:r>
              <w:rPr>
                <w:rFonts w:cs="Arial"/>
              </w:rPr>
              <w:t>8</w:t>
            </w:r>
          </w:p>
        </w:tc>
        <w:tc>
          <w:tcPr>
            <w:tcW w:w="1134" w:type="dxa"/>
            <w:shd w:val="clear" w:color="auto" w:fill="FFFFFF" w:themeFill="background1"/>
          </w:tcPr>
          <w:p w14:paraId="0CA42374" w14:textId="77777777" w:rsidR="00FE1A9F" w:rsidRPr="00EC2B49" w:rsidRDefault="00FE1A9F" w:rsidP="00FE1A9F"/>
        </w:tc>
        <w:tc>
          <w:tcPr>
            <w:tcW w:w="5811" w:type="dxa"/>
            <w:shd w:val="clear" w:color="auto" w:fill="FFFFFF" w:themeFill="background1"/>
          </w:tcPr>
          <w:p w14:paraId="37AB7452" w14:textId="6AC7C381" w:rsidR="00FE1A9F" w:rsidRPr="00EC2B49" w:rsidRDefault="00FE1A9F" w:rsidP="00FE1A9F">
            <w:r w:rsidRPr="00EC2B49">
              <w:t>Istraživanje potencijalnih ležišta ugljikovodika u Slavoniji, Dinaridima i Jadranu</w:t>
            </w:r>
          </w:p>
        </w:tc>
        <w:tc>
          <w:tcPr>
            <w:tcW w:w="1240" w:type="dxa"/>
            <w:shd w:val="clear" w:color="auto" w:fill="FFFFFF" w:themeFill="background1"/>
          </w:tcPr>
          <w:p w14:paraId="479A4023" w14:textId="4A13BF3D" w:rsidR="00FE1A9F" w:rsidRPr="00D749F6" w:rsidRDefault="00FE1A9F" w:rsidP="00FE1A9F">
            <w:r>
              <w:t>4</w:t>
            </w:r>
          </w:p>
        </w:tc>
      </w:tr>
      <w:tr w:rsidR="00FE1A9F" w14:paraId="21F1843F" w14:textId="747561CD" w:rsidTr="00333519">
        <w:tc>
          <w:tcPr>
            <w:tcW w:w="9286" w:type="dxa"/>
            <w:gridSpan w:val="4"/>
            <w:shd w:val="clear" w:color="auto" w:fill="FFFFFF" w:themeFill="background1"/>
          </w:tcPr>
          <w:p w14:paraId="346D96D5" w14:textId="1F2C9ED7" w:rsidR="00FE1A9F" w:rsidRPr="00725326" w:rsidRDefault="00FE1A9F" w:rsidP="00FE1A9F">
            <w:pPr>
              <w:rPr>
                <w:rFonts w:cs="Arial"/>
                <w:b/>
              </w:rPr>
            </w:pPr>
            <w:r w:rsidRPr="00725326">
              <w:rPr>
                <w:rFonts w:cs="Arial"/>
                <w:b/>
              </w:rPr>
              <w:t>Unutarnje energetsko tržište</w:t>
            </w:r>
          </w:p>
        </w:tc>
      </w:tr>
      <w:tr w:rsidR="00FE1A9F" w14:paraId="7317CE13" w14:textId="2FAF696E" w:rsidTr="005E4458">
        <w:tc>
          <w:tcPr>
            <w:tcW w:w="1101" w:type="dxa"/>
            <w:shd w:val="clear" w:color="auto" w:fill="FFFFFF" w:themeFill="background1"/>
          </w:tcPr>
          <w:p w14:paraId="46202920" w14:textId="2ECD400C" w:rsidR="00FE1A9F" w:rsidRPr="007145ED" w:rsidRDefault="00FE1A9F" w:rsidP="00FE1A9F">
            <w:pPr>
              <w:rPr>
                <w:rFonts w:cs="Arial"/>
              </w:rPr>
            </w:pPr>
            <w:r w:rsidRPr="007145ED">
              <w:rPr>
                <w:rFonts w:cs="Arial"/>
              </w:rPr>
              <w:t>UET-1</w:t>
            </w:r>
          </w:p>
        </w:tc>
        <w:tc>
          <w:tcPr>
            <w:tcW w:w="1134" w:type="dxa"/>
            <w:shd w:val="clear" w:color="auto" w:fill="FFFFFF" w:themeFill="background1"/>
          </w:tcPr>
          <w:p w14:paraId="55A69870" w14:textId="492F9853" w:rsidR="00FE1A9F" w:rsidRPr="00927E51" w:rsidRDefault="00FE1A9F" w:rsidP="00FE1A9F">
            <w:pPr>
              <w:rPr>
                <w:rFonts w:cs="Arial"/>
              </w:rPr>
            </w:pPr>
            <w:r>
              <w:rPr>
                <w:rFonts w:cs="Arial"/>
              </w:rPr>
              <w:t>MEN-2</w:t>
            </w:r>
            <w:r w:rsidR="00596E4F">
              <w:rPr>
                <w:rFonts w:cs="Arial"/>
              </w:rPr>
              <w:t>8</w:t>
            </w:r>
          </w:p>
        </w:tc>
        <w:tc>
          <w:tcPr>
            <w:tcW w:w="5811" w:type="dxa"/>
            <w:shd w:val="clear" w:color="auto" w:fill="FFFFFF" w:themeFill="background1"/>
          </w:tcPr>
          <w:p w14:paraId="5AD68777" w14:textId="16765BA5" w:rsidR="00FE1A9F" w:rsidRPr="007145ED" w:rsidRDefault="00FE1A9F" w:rsidP="00FE1A9F">
            <w:pPr>
              <w:rPr>
                <w:rFonts w:cs="Arial"/>
              </w:rPr>
            </w:pPr>
            <w:r w:rsidRPr="00927E51">
              <w:rPr>
                <w:rFonts w:cs="Arial"/>
              </w:rPr>
              <w:t>Razvoj prijenosne elektroenergetske mreže</w:t>
            </w:r>
          </w:p>
        </w:tc>
        <w:tc>
          <w:tcPr>
            <w:tcW w:w="1240" w:type="dxa"/>
            <w:shd w:val="clear" w:color="auto" w:fill="FFFFFF" w:themeFill="background1"/>
          </w:tcPr>
          <w:p w14:paraId="021469E4" w14:textId="420E04DA" w:rsidR="00FE1A9F" w:rsidRPr="007145ED" w:rsidRDefault="00FE1A9F" w:rsidP="00FE1A9F">
            <w:pPr>
              <w:rPr>
                <w:rFonts w:cs="Arial"/>
              </w:rPr>
            </w:pPr>
            <w:r>
              <w:rPr>
                <w:rFonts w:cs="Arial"/>
              </w:rPr>
              <w:t>1,2,3,5</w:t>
            </w:r>
          </w:p>
        </w:tc>
      </w:tr>
      <w:tr w:rsidR="00FE1A9F" w14:paraId="556EF1C8" w14:textId="6FAE5C83" w:rsidTr="005E4458">
        <w:tc>
          <w:tcPr>
            <w:tcW w:w="1101" w:type="dxa"/>
            <w:shd w:val="clear" w:color="auto" w:fill="FFFFFF" w:themeFill="background1"/>
          </w:tcPr>
          <w:p w14:paraId="44727409" w14:textId="299A01AF" w:rsidR="00FE1A9F" w:rsidRPr="007145ED" w:rsidRDefault="00FE1A9F" w:rsidP="00FE1A9F">
            <w:pPr>
              <w:rPr>
                <w:rFonts w:cs="Arial"/>
              </w:rPr>
            </w:pPr>
            <w:r w:rsidRPr="007145ED">
              <w:rPr>
                <w:rFonts w:cs="Arial"/>
              </w:rPr>
              <w:t>UET-2</w:t>
            </w:r>
          </w:p>
        </w:tc>
        <w:tc>
          <w:tcPr>
            <w:tcW w:w="1134" w:type="dxa"/>
            <w:shd w:val="clear" w:color="auto" w:fill="FFFFFF" w:themeFill="background1"/>
          </w:tcPr>
          <w:p w14:paraId="032C72EF" w14:textId="357E4291" w:rsidR="00FE1A9F" w:rsidRPr="00927E51" w:rsidRDefault="00FE1A9F" w:rsidP="00FE1A9F">
            <w:pPr>
              <w:rPr>
                <w:rFonts w:cs="Arial"/>
              </w:rPr>
            </w:pPr>
            <w:r>
              <w:rPr>
                <w:rFonts w:cs="Arial"/>
              </w:rPr>
              <w:t>MEN-2</w:t>
            </w:r>
            <w:r w:rsidR="00596E4F">
              <w:rPr>
                <w:rFonts w:cs="Arial"/>
              </w:rPr>
              <w:t>9</w:t>
            </w:r>
          </w:p>
        </w:tc>
        <w:tc>
          <w:tcPr>
            <w:tcW w:w="5811" w:type="dxa"/>
            <w:shd w:val="clear" w:color="auto" w:fill="FFFFFF" w:themeFill="background1"/>
          </w:tcPr>
          <w:p w14:paraId="75DA5EAC" w14:textId="754F6D99" w:rsidR="00FE1A9F" w:rsidRPr="007145ED" w:rsidRDefault="00FE1A9F" w:rsidP="00FE1A9F">
            <w:pPr>
              <w:rPr>
                <w:rFonts w:cs="Arial"/>
              </w:rPr>
            </w:pPr>
            <w:r w:rsidRPr="00927E51">
              <w:rPr>
                <w:rFonts w:cs="Arial"/>
              </w:rPr>
              <w:t>Razvoj plinskog transportnog sustava</w:t>
            </w:r>
          </w:p>
        </w:tc>
        <w:tc>
          <w:tcPr>
            <w:tcW w:w="1240" w:type="dxa"/>
            <w:shd w:val="clear" w:color="auto" w:fill="FFFFFF" w:themeFill="background1"/>
          </w:tcPr>
          <w:p w14:paraId="04CC360C" w14:textId="5B789683" w:rsidR="00FE1A9F" w:rsidRPr="007145ED" w:rsidRDefault="00FE1A9F" w:rsidP="00FE1A9F">
            <w:pPr>
              <w:rPr>
                <w:rFonts w:cs="Arial"/>
              </w:rPr>
            </w:pPr>
            <w:r>
              <w:rPr>
                <w:rFonts w:cs="Arial"/>
              </w:rPr>
              <w:t>1,2,3,5</w:t>
            </w:r>
          </w:p>
        </w:tc>
      </w:tr>
      <w:tr w:rsidR="00FE1A9F" w14:paraId="17CCDFEB" w14:textId="77D351DD" w:rsidTr="005E4458">
        <w:tc>
          <w:tcPr>
            <w:tcW w:w="1101" w:type="dxa"/>
            <w:shd w:val="clear" w:color="auto" w:fill="FFFFFF" w:themeFill="background1"/>
          </w:tcPr>
          <w:p w14:paraId="1D6ED64A" w14:textId="44FDB69D" w:rsidR="00FE1A9F" w:rsidRPr="007145ED" w:rsidRDefault="00FE1A9F" w:rsidP="00FE1A9F">
            <w:pPr>
              <w:rPr>
                <w:rFonts w:cs="Arial"/>
              </w:rPr>
            </w:pPr>
            <w:r w:rsidRPr="007145ED">
              <w:rPr>
                <w:rFonts w:cs="Arial"/>
              </w:rPr>
              <w:t>UET</w:t>
            </w:r>
            <w:r>
              <w:rPr>
                <w:rFonts w:cs="Arial"/>
              </w:rPr>
              <w:t>-3</w:t>
            </w:r>
          </w:p>
        </w:tc>
        <w:tc>
          <w:tcPr>
            <w:tcW w:w="1134" w:type="dxa"/>
            <w:shd w:val="clear" w:color="auto" w:fill="FFFFFF" w:themeFill="background1"/>
          </w:tcPr>
          <w:p w14:paraId="65155FB6" w14:textId="469712BC" w:rsidR="00FE1A9F" w:rsidRPr="007145ED" w:rsidRDefault="00FE1A9F" w:rsidP="00FE1A9F">
            <w:pPr>
              <w:rPr>
                <w:rFonts w:cs="Arial"/>
              </w:rPr>
            </w:pPr>
            <w:r>
              <w:rPr>
                <w:rFonts w:cs="Arial"/>
              </w:rPr>
              <w:t>MEN-</w:t>
            </w:r>
            <w:r w:rsidR="00596E4F">
              <w:rPr>
                <w:rFonts w:cs="Arial"/>
              </w:rPr>
              <w:t>30</w:t>
            </w:r>
          </w:p>
        </w:tc>
        <w:tc>
          <w:tcPr>
            <w:tcW w:w="5811" w:type="dxa"/>
            <w:shd w:val="clear" w:color="auto" w:fill="FFFFFF" w:themeFill="background1"/>
          </w:tcPr>
          <w:p w14:paraId="401F9CBD" w14:textId="2591CA94" w:rsidR="00FE1A9F" w:rsidRPr="007145ED" w:rsidRDefault="00FE1A9F" w:rsidP="00FE1A9F">
            <w:pPr>
              <w:rPr>
                <w:rFonts w:cs="Arial"/>
              </w:rPr>
            </w:pPr>
            <w:r w:rsidRPr="007145ED">
              <w:rPr>
                <w:rFonts w:cs="Arial"/>
              </w:rPr>
              <w:t xml:space="preserve">Razrada regulatornog okvira za aktivno sudjelovanje </w:t>
            </w:r>
            <w:r>
              <w:rPr>
                <w:rFonts w:cs="Arial"/>
              </w:rPr>
              <w:t>korisnika mreže</w:t>
            </w:r>
            <w:r w:rsidRPr="007145ED">
              <w:rPr>
                <w:rFonts w:cs="Arial"/>
              </w:rPr>
              <w:t xml:space="preserve"> na tržištu električne energije</w:t>
            </w:r>
          </w:p>
        </w:tc>
        <w:tc>
          <w:tcPr>
            <w:tcW w:w="1240" w:type="dxa"/>
            <w:shd w:val="clear" w:color="auto" w:fill="FFFFFF" w:themeFill="background1"/>
          </w:tcPr>
          <w:p w14:paraId="63F02877" w14:textId="728482B7" w:rsidR="00FE1A9F" w:rsidRPr="007145ED" w:rsidRDefault="00FE1A9F" w:rsidP="00FE1A9F">
            <w:pPr>
              <w:rPr>
                <w:rFonts w:cs="Arial"/>
              </w:rPr>
            </w:pPr>
            <w:r>
              <w:rPr>
                <w:rFonts w:cs="Arial"/>
              </w:rPr>
              <w:t>1,3</w:t>
            </w:r>
          </w:p>
        </w:tc>
      </w:tr>
      <w:tr w:rsidR="00FE1A9F" w14:paraId="0B7041DE" w14:textId="280F15D6" w:rsidTr="005E4458">
        <w:tc>
          <w:tcPr>
            <w:tcW w:w="1101" w:type="dxa"/>
            <w:shd w:val="clear" w:color="auto" w:fill="FFFFFF" w:themeFill="background1"/>
          </w:tcPr>
          <w:p w14:paraId="6DCE922E" w14:textId="51FE2B42" w:rsidR="00FE1A9F" w:rsidRPr="007145ED" w:rsidRDefault="00FE1A9F" w:rsidP="00FE1A9F">
            <w:pPr>
              <w:rPr>
                <w:rFonts w:cs="Arial"/>
              </w:rPr>
            </w:pPr>
            <w:r>
              <w:rPr>
                <w:rFonts w:cs="Arial"/>
              </w:rPr>
              <w:t>UET-4</w:t>
            </w:r>
          </w:p>
        </w:tc>
        <w:tc>
          <w:tcPr>
            <w:tcW w:w="1134" w:type="dxa"/>
            <w:shd w:val="clear" w:color="auto" w:fill="FFFFFF" w:themeFill="background1"/>
          </w:tcPr>
          <w:p w14:paraId="623DE478" w14:textId="70EA15B9" w:rsidR="00FE1A9F" w:rsidRPr="006263FE" w:rsidRDefault="00FE1A9F" w:rsidP="00FE1A9F">
            <w:pPr>
              <w:rPr>
                <w:rFonts w:cs="Arial"/>
              </w:rPr>
            </w:pPr>
            <w:r>
              <w:rPr>
                <w:rFonts w:cs="Arial"/>
              </w:rPr>
              <w:t>MEN-3</w:t>
            </w:r>
            <w:r w:rsidR="00596E4F">
              <w:rPr>
                <w:rFonts w:cs="Arial"/>
              </w:rPr>
              <w:t>1</w:t>
            </w:r>
          </w:p>
        </w:tc>
        <w:tc>
          <w:tcPr>
            <w:tcW w:w="5811" w:type="dxa"/>
            <w:shd w:val="clear" w:color="auto" w:fill="FFFFFF" w:themeFill="background1"/>
          </w:tcPr>
          <w:p w14:paraId="28CAE998" w14:textId="258108DE" w:rsidR="00FE1A9F" w:rsidRPr="007145ED" w:rsidRDefault="00FE1A9F" w:rsidP="00FE1A9F">
            <w:pPr>
              <w:rPr>
                <w:rFonts w:cs="Arial"/>
              </w:rPr>
            </w:pPr>
            <w:r w:rsidRPr="006263FE">
              <w:rPr>
                <w:rFonts w:cs="Arial"/>
              </w:rPr>
              <w:t>Uvođenje naprednih sustava mjerenja potrošnje i upravljanja mjernim podacima</w:t>
            </w:r>
          </w:p>
        </w:tc>
        <w:tc>
          <w:tcPr>
            <w:tcW w:w="1240" w:type="dxa"/>
            <w:shd w:val="clear" w:color="auto" w:fill="FFFFFF" w:themeFill="background1"/>
          </w:tcPr>
          <w:p w14:paraId="4F0EF81D" w14:textId="619ACFB6" w:rsidR="00FE1A9F" w:rsidRPr="006661FF" w:rsidRDefault="00FE1A9F" w:rsidP="00FE1A9F">
            <w:pPr>
              <w:rPr>
                <w:rFonts w:cs="Arial"/>
              </w:rPr>
            </w:pPr>
            <w:r>
              <w:rPr>
                <w:rFonts w:cs="Arial"/>
              </w:rPr>
              <w:t>1,3</w:t>
            </w:r>
          </w:p>
        </w:tc>
      </w:tr>
      <w:tr w:rsidR="00FE1A9F" w14:paraId="7B8D231C" w14:textId="759DD2D1" w:rsidTr="005E4458">
        <w:tc>
          <w:tcPr>
            <w:tcW w:w="1101" w:type="dxa"/>
            <w:shd w:val="clear" w:color="auto" w:fill="FFFFFF" w:themeFill="background1"/>
          </w:tcPr>
          <w:p w14:paraId="0E547A2D" w14:textId="5B21E900" w:rsidR="00FE1A9F" w:rsidRPr="007145ED" w:rsidRDefault="00FE1A9F" w:rsidP="00FE1A9F">
            <w:pPr>
              <w:rPr>
                <w:rFonts w:cs="Arial"/>
              </w:rPr>
            </w:pPr>
            <w:r w:rsidRPr="007145ED">
              <w:rPr>
                <w:rFonts w:cs="Arial"/>
              </w:rPr>
              <w:t>UET-</w:t>
            </w:r>
            <w:r>
              <w:rPr>
                <w:rFonts w:cs="Arial"/>
              </w:rPr>
              <w:t>5</w:t>
            </w:r>
          </w:p>
        </w:tc>
        <w:tc>
          <w:tcPr>
            <w:tcW w:w="1134" w:type="dxa"/>
            <w:shd w:val="clear" w:color="auto" w:fill="FFFFFF" w:themeFill="background1"/>
          </w:tcPr>
          <w:p w14:paraId="4E78D42B" w14:textId="2702B2D4" w:rsidR="00FE1A9F" w:rsidRPr="00743326" w:rsidRDefault="00FE1A9F" w:rsidP="00FE1A9F">
            <w:pPr>
              <w:rPr>
                <w:rFonts w:cs="Arial"/>
              </w:rPr>
            </w:pPr>
            <w:r>
              <w:rPr>
                <w:rFonts w:cs="Arial"/>
              </w:rPr>
              <w:t>MEN-3</w:t>
            </w:r>
            <w:r w:rsidR="00596E4F">
              <w:rPr>
                <w:rFonts w:cs="Arial"/>
              </w:rPr>
              <w:t>2</w:t>
            </w:r>
          </w:p>
        </w:tc>
        <w:tc>
          <w:tcPr>
            <w:tcW w:w="5811" w:type="dxa"/>
            <w:shd w:val="clear" w:color="auto" w:fill="FFFFFF" w:themeFill="background1"/>
          </w:tcPr>
          <w:p w14:paraId="59DFD8CD" w14:textId="1225C810" w:rsidR="00FE1A9F" w:rsidRPr="007145ED" w:rsidRDefault="00FE1A9F" w:rsidP="00FE1A9F">
            <w:pPr>
              <w:rPr>
                <w:rFonts w:cs="Arial"/>
              </w:rPr>
            </w:pPr>
            <w:r w:rsidRPr="00743326">
              <w:rPr>
                <w:rFonts w:cs="Arial"/>
              </w:rPr>
              <w:t>Usvajanje i provedba Programa suzbijanja energetskog siromaštva</w:t>
            </w:r>
          </w:p>
        </w:tc>
        <w:tc>
          <w:tcPr>
            <w:tcW w:w="1240" w:type="dxa"/>
            <w:shd w:val="clear" w:color="auto" w:fill="FFFFFF" w:themeFill="background1"/>
          </w:tcPr>
          <w:p w14:paraId="3ACB8A90" w14:textId="3DB84779" w:rsidR="00FE1A9F" w:rsidRPr="007145ED" w:rsidRDefault="00FE1A9F" w:rsidP="00FE1A9F">
            <w:pPr>
              <w:rPr>
                <w:rFonts w:cs="Arial"/>
              </w:rPr>
            </w:pPr>
            <w:r>
              <w:rPr>
                <w:rFonts w:cs="Arial"/>
              </w:rPr>
              <w:t>1,2,3,5</w:t>
            </w:r>
          </w:p>
        </w:tc>
      </w:tr>
      <w:bookmarkEnd w:id="29"/>
      <w:tr w:rsidR="00FE1A9F" w14:paraId="32AC7D32" w14:textId="253525DC" w:rsidTr="00333519">
        <w:tc>
          <w:tcPr>
            <w:tcW w:w="9286" w:type="dxa"/>
            <w:gridSpan w:val="4"/>
            <w:shd w:val="clear" w:color="auto" w:fill="FFFFFF" w:themeFill="background1"/>
          </w:tcPr>
          <w:p w14:paraId="5E7CCB43" w14:textId="555A6C0C" w:rsidR="00FE1A9F" w:rsidRPr="00725326" w:rsidRDefault="00FE1A9F" w:rsidP="00FE1A9F">
            <w:pPr>
              <w:rPr>
                <w:rFonts w:cs="Arial"/>
                <w:b/>
              </w:rPr>
            </w:pPr>
            <w:r w:rsidRPr="00725326">
              <w:rPr>
                <w:rFonts w:cs="Arial"/>
                <w:b/>
              </w:rPr>
              <w:t>Istraživanje, inovacije i konkurentnost</w:t>
            </w:r>
          </w:p>
        </w:tc>
      </w:tr>
      <w:tr w:rsidR="00FE1A9F" w14:paraId="6150203D" w14:textId="67D175F5" w:rsidTr="005E4458">
        <w:tc>
          <w:tcPr>
            <w:tcW w:w="1101" w:type="dxa"/>
            <w:shd w:val="clear" w:color="auto" w:fill="FFFFFF" w:themeFill="background1"/>
          </w:tcPr>
          <w:p w14:paraId="7DC940B5" w14:textId="609798E5" w:rsidR="00FE1A9F" w:rsidRPr="00483D4C" w:rsidRDefault="00FE1A9F" w:rsidP="00FE1A9F">
            <w:pPr>
              <w:rPr>
                <w:rFonts w:cs="Arial"/>
              </w:rPr>
            </w:pPr>
            <w:r>
              <w:rPr>
                <w:rFonts w:cs="Arial"/>
              </w:rPr>
              <w:t>IIK-1</w:t>
            </w:r>
          </w:p>
        </w:tc>
        <w:tc>
          <w:tcPr>
            <w:tcW w:w="1134" w:type="dxa"/>
            <w:shd w:val="clear" w:color="auto" w:fill="FFFFFF" w:themeFill="background1"/>
          </w:tcPr>
          <w:p w14:paraId="4F3EF904" w14:textId="0519F9D9" w:rsidR="00FE1A9F" w:rsidRPr="00FD4C0F" w:rsidRDefault="00FE1A9F" w:rsidP="00FE1A9F">
            <w:pPr>
              <w:rPr>
                <w:rFonts w:cs="Arial"/>
              </w:rPr>
            </w:pPr>
            <w:r>
              <w:t>MCC-1</w:t>
            </w:r>
            <w:r w:rsidR="00596E4F">
              <w:t>7</w:t>
            </w:r>
          </w:p>
        </w:tc>
        <w:tc>
          <w:tcPr>
            <w:tcW w:w="5811" w:type="dxa"/>
            <w:shd w:val="clear" w:color="auto" w:fill="FFFFFF" w:themeFill="background1"/>
          </w:tcPr>
          <w:p w14:paraId="2CC45398" w14:textId="6FEC1718" w:rsidR="00FE1A9F" w:rsidRPr="0063194E" w:rsidRDefault="00FE1A9F" w:rsidP="00FE1A9F">
            <w:pPr>
              <w:rPr>
                <w:rFonts w:cs="Arial"/>
              </w:rPr>
            </w:pPr>
            <w:r w:rsidRPr="00FD4C0F">
              <w:rPr>
                <w:rFonts w:cs="Arial"/>
              </w:rPr>
              <w:t>Utvrđivanje polazišta, nacionalnih ciljeva, indikatora za praćenje ostvarenja te uspostava sustava za praćenje ostvarenja zadanih ciljeva istraživanja, inovacija i konkurentnosti</w:t>
            </w:r>
          </w:p>
        </w:tc>
        <w:tc>
          <w:tcPr>
            <w:tcW w:w="1240" w:type="dxa"/>
            <w:shd w:val="clear" w:color="auto" w:fill="FFFFFF" w:themeFill="background1"/>
          </w:tcPr>
          <w:p w14:paraId="02C7C12B" w14:textId="61111EC9" w:rsidR="00FE1A9F" w:rsidRPr="0063194E" w:rsidRDefault="00FE1A9F" w:rsidP="00FE1A9F">
            <w:pPr>
              <w:rPr>
                <w:rFonts w:cs="Arial"/>
              </w:rPr>
            </w:pPr>
            <w:r>
              <w:rPr>
                <w:rFonts w:cs="Arial"/>
              </w:rPr>
              <w:t>1,2,3,4</w:t>
            </w:r>
          </w:p>
        </w:tc>
      </w:tr>
      <w:tr w:rsidR="00FE1A9F" w14:paraId="4C971D67" w14:textId="33E1A2AF" w:rsidTr="005E4458">
        <w:tc>
          <w:tcPr>
            <w:tcW w:w="1101" w:type="dxa"/>
            <w:shd w:val="clear" w:color="auto" w:fill="FFFFFF" w:themeFill="background1"/>
          </w:tcPr>
          <w:p w14:paraId="2BD9E2E1" w14:textId="554550E0" w:rsidR="00FE1A9F" w:rsidRPr="007145ED" w:rsidRDefault="00FE1A9F" w:rsidP="00FE1A9F">
            <w:pPr>
              <w:rPr>
                <w:rFonts w:cs="Arial"/>
              </w:rPr>
            </w:pPr>
            <w:r w:rsidRPr="00483D4C">
              <w:rPr>
                <w:rFonts w:cs="Arial"/>
              </w:rPr>
              <w:t>IIK-</w:t>
            </w:r>
            <w:r>
              <w:rPr>
                <w:rFonts w:cs="Arial"/>
              </w:rPr>
              <w:t>2</w:t>
            </w:r>
          </w:p>
        </w:tc>
        <w:tc>
          <w:tcPr>
            <w:tcW w:w="1134" w:type="dxa"/>
            <w:shd w:val="clear" w:color="auto" w:fill="FFFFFF" w:themeFill="background1"/>
          </w:tcPr>
          <w:p w14:paraId="0062EBBE" w14:textId="005A3D4B" w:rsidR="00FE1A9F" w:rsidRPr="0063194E" w:rsidRDefault="00FE1A9F" w:rsidP="00FE1A9F">
            <w:pPr>
              <w:rPr>
                <w:rFonts w:cs="Arial"/>
              </w:rPr>
            </w:pPr>
            <w:r>
              <w:t>MCC-1</w:t>
            </w:r>
            <w:r w:rsidR="00C56F08">
              <w:t>8</w:t>
            </w:r>
          </w:p>
        </w:tc>
        <w:tc>
          <w:tcPr>
            <w:tcW w:w="5811" w:type="dxa"/>
            <w:shd w:val="clear" w:color="auto" w:fill="FFFFFF" w:themeFill="background1"/>
          </w:tcPr>
          <w:p w14:paraId="60E1AC2D" w14:textId="7B0816E3" w:rsidR="00FE1A9F" w:rsidRPr="007145ED" w:rsidRDefault="00FE1A9F" w:rsidP="00FE1A9F">
            <w:pPr>
              <w:rPr>
                <w:rFonts w:cs="Arial"/>
              </w:rPr>
            </w:pPr>
            <w:r w:rsidRPr="0063194E">
              <w:rPr>
                <w:rFonts w:cs="Arial"/>
              </w:rPr>
              <w:t xml:space="preserve">Sufinanciranje projekata industrijskog istraživanja i eksperimentalnog razvoja usklađenih </w:t>
            </w:r>
            <w:r w:rsidRPr="005B4A21">
              <w:rPr>
                <w:rFonts w:cs="Arial"/>
              </w:rPr>
              <w:t>s Nacionalnom razvojnom strategijom</w:t>
            </w:r>
          </w:p>
        </w:tc>
        <w:tc>
          <w:tcPr>
            <w:tcW w:w="1240" w:type="dxa"/>
            <w:shd w:val="clear" w:color="auto" w:fill="FFFFFF" w:themeFill="background1"/>
          </w:tcPr>
          <w:p w14:paraId="686E0531" w14:textId="5E1F8654" w:rsidR="00FE1A9F" w:rsidRPr="0063194E" w:rsidRDefault="00FE1A9F" w:rsidP="00FE1A9F">
            <w:pPr>
              <w:rPr>
                <w:rFonts w:cs="Arial"/>
              </w:rPr>
            </w:pPr>
            <w:r>
              <w:rPr>
                <w:rFonts w:cs="Arial"/>
              </w:rPr>
              <w:t>1,2,3,4</w:t>
            </w:r>
          </w:p>
        </w:tc>
      </w:tr>
      <w:tr w:rsidR="00FE1A9F" w14:paraId="141E1E72" w14:textId="2EAF6E6A" w:rsidTr="005E4458">
        <w:tc>
          <w:tcPr>
            <w:tcW w:w="1101" w:type="dxa"/>
            <w:shd w:val="clear" w:color="auto" w:fill="FFFFFF" w:themeFill="background1"/>
          </w:tcPr>
          <w:p w14:paraId="78793610" w14:textId="59498E72" w:rsidR="00FE1A9F" w:rsidRPr="007145ED" w:rsidRDefault="00FE1A9F" w:rsidP="00FE1A9F">
            <w:pPr>
              <w:rPr>
                <w:rFonts w:cs="Arial"/>
              </w:rPr>
            </w:pPr>
            <w:r w:rsidRPr="00483D4C">
              <w:rPr>
                <w:rFonts w:cs="Arial"/>
              </w:rPr>
              <w:t>IIK-</w:t>
            </w:r>
            <w:r>
              <w:rPr>
                <w:rFonts w:cs="Arial"/>
              </w:rPr>
              <w:t>3</w:t>
            </w:r>
          </w:p>
        </w:tc>
        <w:tc>
          <w:tcPr>
            <w:tcW w:w="1134" w:type="dxa"/>
            <w:shd w:val="clear" w:color="auto" w:fill="FFFFFF" w:themeFill="background1"/>
          </w:tcPr>
          <w:p w14:paraId="134F11C4" w14:textId="6874CA5B" w:rsidR="00FE1A9F" w:rsidRPr="005175FF" w:rsidRDefault="00FE1A9F" w:rsidP="00FE1A9F">
            <w:pPr>
              <w:rPr>
                <w:rFonts w:cs="Arial"/>
              </w:rPr>
            </w:pPr>
            <w:r>
              <w:t>MCC-1</w:t>
            </w:r>
            <w:r w:rsidR="00C56F08">
              <w:t>9</w:t>
            </w:r>
          </w:p>
        </w:tc>
        <w:tc>
          <w:tcPr>
            <w:tcW w:w="5811" w:type="dxa"/>
            <w:shd w:val="clear" w:color="auto" w:fill="FFFFFF" w:themeFill="background1"/>
          </w:tcPr>
          <w:p w14:paraId="5D1BF1F5" w14:textId="66317B2B" w:rsidR="00FE1A9F" w:rsidRPr="00483D4C" w:rsidRDefault="00FE1A9F" w:rsidP="00FE1A9F">
            <w:pPr>
              <w:rPr>
                <w:rFonts w:cs="Arial"/>
              </w:rPr>
            </w:pPr>
            <w:r w:rsidRPr="005175FF">
              <w:rPr>
                <w:rFonts w:cs="Arial"/>
              </w:rPr>
              <w:t>Poticanje razvoja poduzetništva na području niskougljičnog gospodarstva</w:t>
            </w:r>
          </w:p>
        </w:tc>
        <w:tc>
          <w:tcPr>
            <w:tcW w:w="1240" w:type="dxa"/>
            <w:shd w:val="clear" w:color="auto" w:fill="FFFFFF" w:themeFill="background1"/>
          </w:tcPr>
          <w:p w14:paraId="0F854206" w14:textId="7DE7D88C" w:rsidR="00FE1A9F" w:rsidRPr="0063194E" w:rsidRDefault="00FE1A9F" w:rsidP="00FE1A9F">
            <w:pPr>
              <w:rPr>
                <w:rFonts w:cs="Arial"/>
              </w:rPr>
            </w:pPr>
            <w:r>
              <w:rPr>
                <w:rFonts w:cs="Arial"/>
              </w:rPr>
              <w:t>1,2,3,4</w:t>
            </w:r>
          </w:p>
        </w:tc>
      </w:tr>
      <w:tr w:rsidR="00FE1A9F" w14:paraId="57C47B39" w14:textId="77777777" w:rsidTr="005E4458">
        <w:tc>
          <w:tcPr>
            <w:tcW w:w="1101" w:type="dxa"/>
            <w:shd w:val="clear" w:color="auto" w:fill="FFFFFF" w:themeFill="background1"/>
          </w:tcPr>
          <w:p w14:paraId="30ACDE3B" w14:textId="472A29AE" w:rsidR="00FE1A9F" w:rsidRPr="00483D4C" w:rsidRDefault="00FE1A9F" w:rsidP="00FE1A9F">
            <w:pPr>
              <w:rPr>
                <w:rFonts w:cs="Arial"/>
              </w:rPr>
            </w:pPr>
            <w:r>
              <w:rPr>
                <w:rFonts w:cs="Arial"/>
              </w:rPr>
              <w:t>IIK-4</w:t>
            </w:r>
          </w:p>
        </w:tc>
        <w:tc>
          <w:tcPr>
            <w:tcW w:w="1134" w:type="dxa"/>
            <w:shd w:val="clear" w:color="auto" w:fill="FFFFFF" w:themeFill="background1"/>
          </w:tcPr>
          <w:p w14:paraId="328BDB21" w14:textId="569C03DA" w:rsidR="00FE1A9F" w:rsidRPr="00AA40BD" w:rsidRDefault="00FE1A9F" w:rsidP="00FE1A9F">
            <w:pPr>
              <w:suppressAutoHyphens w:val="0"/>
              <w:spacing w:after="160" w:line="259" w:lineRule="auto"/>
            </w:pPr>
            <w:r>
              <w:t>MCC-</w:t>
            </w:r>
            <w:r w:rsidR="00C56F08">
              <w:t>20</w:t>
            </w:r>
          </w:p>
        </w:tc>
        <w:tc>
          <w:tcPr>
            <w:tcW w:w="5811" w:type="dxa"/>
            <w:shd w:val="clear" w:color="auto" w:fill="FFFFFF" w:themeFill="background1"/>
          </w:tcPr>
          <w:p w14:paraId="72D64549" w14:textId="230C8660" w:rsidR="00FE1A9F" w:rsidRPr="0063194E" w:rsidRDefault="00FE1A9F" w:rsidP="00FE1A9F">
            <w:pPr>
              <w:suppressAutoHyphens w:val="0"/>
              <w:spacing w:after="160" w:line="259" w:lineRule="auto"/>
              <w:rPr>
                <w:rFonts w:cs="Arial"/>
              </w:rPr>
            </w:pPr>
            <w:r w:rsidRPr="00AA40BD">
              <w:t>Poticanje transfera znanja i tehnologija iz sustava znanosti u sustav gospodarstva s naglaskom na niskougljične tehnologije</w:t>
            </w:r>
            <w:r>
              <w:t xml:space="preserve"> </w:t>
            </w:r>
          </w:p>
        </w:tc>
        <w:tc>
          <w:tcPr>
            <w:tcW w:w="1240" w:type="dxa"/>
            <w:shd w:val="clear" w:color="auto" w:fill="FFFFFF" w:themeFill="background1"/>
          </w:tcPr>
          <w:p w14:paraId="212D0924" w14:textId="0E2A812E" w:rsidR="00FE1A9F" w:rsidRPr="0063194E" w:rsidRDefault="00FE1A9F" w:rsidP="00FE1A9F">
            <w:pPr>
              <w:rPr>
                <w:rFonts w:cs="Arial"/>
              </w:rPr>
            </w:pPr>
            <w:r>
              <w:rPr>
                <w:rFonts w:cs="Arial"/>
              </w:rPr>
              <w:t>1,2,3,4</w:t>
            </w:r>
          </w:p>
        </w:tc>
      </w:tr>
      <w:tr w:rsidR="00FE1A9F" w14:paraId="7022DA5D" w14:textId="77777777" w:rsidTr="005E4458">
        <w:tc>
          <w:tcPr>
            <w:tcW w:w="1101" w:type="dxa"/>
            <w:shd w:val="clear" w:color="auto" w:fill="FFFFFF" w:themeFill="background1"/>
          </w:tcPr>
          <w:p w14:paraId="118E500D" w14:textId="1E5B334D" w:rsidR="00FE1A9F" w:rsidRDefault="00FE1A9F" w:rsidP="00FE1A9F">
            <w:pPr>
              <w:rPr>
                <w:rFonts w:cs="Arial"/>
              </w:rPr>
            </w:pPr>
            <w:r>
              <w:rPr>
                <w:rFonts w:cs="Arial"/>
              </w:rPr>
              <w:t>IIK-5</w:t>
            </w:r>
          </w:p>
        </w:tc>
        <w:tc>
          <w:tcPr>
            <w:tcW w:w="1134" w:type="dxa"/>
            <w:shd w:val="clear" w:color="auto" w:fill="FFFFFF" w:themeFill="background1"/>
          </w:tcPr>
          <w:p w14:paraId="27AF925A" w14:textId="282795A6" w:rsidR="00FE1A9F" w:rsidRPr="00BD2B55" w:rsidRDefault="00FE1A9F" w:rsidP="00FE1A9F">
            <w:pPr>
              <w:suppressAutoHyphens w:val="0"/>
              <w:spacing w:after="160" w:line="259" w:lineRule="auto"/>
            </w:pPr>
            <w:r>
              <w:t>MCC-2</w:t>
            </w:r>
            <w:r w:rsidR="00C56F08">
              <w:t>1</w:t>
            </w:r>
          </w:p>
        </w:tc>
        <w:tc>
          <w:tcPr>
            <w:tcW w:w="5811" w:type="dxa"/>
            <w:shd w:val="clear" w:color="auto" w:fill="FFFFFF" w:themeFill="background1"/>
          </w:tcPr>
          <w:p w14:paraId="1BA1B1C8" w14:textId="7D1B9EFF" w:rsidR="00FE1A9F" w:rsidRPr="00AA40BD" w:rsidRDefault="00FE1A9F" w:rsidP="00FE1A9F">
            <w:pPr>
              <w:suppressAutoHyphens w:val="0"/>
              <w:spacing w:after="160" w:line="259" w:lineRule="auto"/>
            </w:pPr>
            <w:r w:rsidRPr="00BD2B55">
              <w:t>Poticanje daljnjeg rada znanstvenih centara izvrsnosti osnovanih u području prirodnih, tehnički, biotehnički i biomedicinskih znanosti</w:t>
            </w:r>
          </w:p>
        </w:tc>
        <w:tc>
          <w:tcPr>
            <w:tcW w:w="1240" w:type="dxa"/>
            <w:shd w:val="clear" w:color="auto" w:fill="FFFFFF" w:themeFill="background1"/>
          </w:tcPr>
          <w:p w14:paraId="252DFBD5" w14:textId="22DB63A2" w:rsidR="00FE1A9F" w:rsidRPr="0063194E" w:rsidRDefault="00FE1A9F" w:rsidP="00FE1A9F">
            <w:pPr>
              <w:rPr>
                <w:rFonts w:cs="Arial"/>
              </w:rPr>
            </w:pPr>
            <w:r>
              <w:rPr>
                <w:rFonts w:cs="Arial"/>
              </w:rPr>
              <w:t>1,2,3,4</w:t>
            </w:r>
          </w:p>
        </w:tc>
      </w:tr>
      <w:tr w:rsidR="00FE1A9F" w14:paraId="75F3306B" w14:textId="77777777" w:rsidTr="005E4458">
        <w:tc>
          <w:tcPr>
            <w:tcW w:w="1101" w:type="dxa"/>
            <w:shd w:val="clear" w:color="auto" w:fill="FFFFFF" w:themeFill="background1"/>
          </w:tcPr>
          <w:p w14:paraId="26BF9B91" w14:textId="4435B0C9" w:rsidR="00FE1A9F" w:rsidRDefault="00FE1A9F" w:rsidP="00FE1A9F">
            <w:pPr>
              <w:rPr>
                <w:rFonts w:cs="Arial"/>
              </w:rPr>
            </w:pPr>
            <w:r>
              <w:rPr>
                <w:rFonts w:cs="Arial"/>
              </w:rPr>
              <w:lastRenderedPageBreak/>
              <w:t>IIK-6</w:t>
            </w:r>
          </w:p>
        </w:tc>
        <w:tc>
          <w:tcPr>
            <w:tcW w:w="1134" w:type="dxa"/>
            <w:shd w:val="clear" w:color="auto" w:fill="FFFFFF" w:themeFill="background1"/>
          </w:tcPr>
          <w:p w14:paraId="408463C5" w14:textId="7BF971CD" w:rsidR="00FE1A9F" w:rsidRPr="00BD2B55" w:rsidRDefault="00FE1A9F" w:rsidP="00FE1A9F">
            <w:pPr>
              <w:suppressAutoHyphens w:val="0"/>
              <w:spacing w:after="160" w:line="259" w:lineRule="auto"/>
            </w:pPr>
            <w:r>
              <w:t>MCC-2</w:t>
            </w:r>
            <w:r w:rsidR="00C56F08">
              <w:t>2</w:t>
            </w:r>
          </w:p>
        </w:tc>
        <w:tc>
          <w:tcPr>
            <w:tcW w:w="5811" w:type="dxa"/>
            <w:shd w:val="clear" w:color="auto" w:fill="FFFFFF" w:themeFill="background1"/>
          </w:tcPr>
          <w:p w14:paraId="1FBFC35F" w14:textId="48E2D14D" w:rsidR="00FE1A9F" w:rsidRPr="00AA40BD" w:rsidRDefault="00FE1A9F" w:rsidP="00FE1A9F">
            <w:pPr>
              <w:suppressAutoHyphens w:val="0"/>
              <w:spacing w:after="160" w:line="259" w:lineRule="auto"/>
            </w:pPr>
            <w:r w:rsidRPr="00BD2B55">
              <w:t>Izgradnja kapaciteta za poticanje istraživanja i inovacija te povećanje konkurentnosti u području niskougljičnog gospodarstva</w:t>
            </w:r>
          </w:p>
        </w:tc>
        <w:tc>
          <w:tcPr>
            <w:tcW w:w="1240" w:type="dxa"/>
            <w:shd w:val="clear" w:color="auto" w:fill="FFFFFF" w:themeFill="background1"/>
          </w:tcPr>
          <w:p w14:paraId="1AB6E81C" w14:textId="5589FF57" w:rsidR="00FE1A9F" w:rsidRPr="0063194E" w:rsidRDefault="00FE1A9F" w:rsidP="00FE1A9F">
            <w:pPr>
              <w:rPr>
                <w:rFonts w:cs="Arial"/>
              </w:rPr>
            </w:pPr>
            <w:r>
              <w:rPr>
                <w:rFonts w:cs="Arial"/>
              </w:rPr>
              <w:t>1,2,3,4</w:t>
            </w:r>
          </w:p>
        </w:tc>
      </w:tr>
      <w:bookmarkEnd w:id="28"/>
    </w:tbl>
    <w:p w14:paraId="55B0FE62" w14:textId="77777777" w:rsidR="00977626" w:rsidRPr="007145ED" w:rsidRDefault="00977626" w:rsidP="007145ED"/>
    <w:p w14:paraId="190B9CB3" w14:textId="536314FF" w:rsidR="00FF0CF3" w:rsidRDefault="00963D00" w:rsidP="00FF0CF3">
      <w:pPr>
        <w:pStyle w:val="Heading2"/>
      </w:pPr>
      <w:bookmarkStart w:id="31" w:name="_Toc531702922"/>
      <w:bookmarkStart w:id="32" w:name="_Toc531801472"/>
      <w:bookmarkStart w:id="33" w:name="_Toc531801601"/>
      <w:bookmarkStart w:id="34" w:name="_Toc531801727"/>
      <w:bookmarkStart w:id="35" w:name="_Toc531801855"/>
      <w:bookmarkStart w:id="36" w:name="_Toc531702925"/>
      <w:bookmarkStart w:id="37" w:name="_Toc531801475"/>
      <w:bookmarkStart w:id="38" w:name="_Toc531801604"/>
      <w:bookmarkStart w:id="39" w:name="_Toc531801730"/>
      <w:bookmarkStart w:id="40" w:name="_Toc531801858"/>
      <w:bookmarkStart w:id="41" w:name="_Toc531702928"/>
      <w:bookmarkStart w:id="42" w:name="_Toc531801478"/>
      <w:bookmarkStart w:id="43" w:name="_Toc531801607"/>
      <w:bookmarkStart w:id="44" w:name="_Toc531801733"/>
      <w:bookmarkStart w:id="45" w:name="_Toc531801861"/>
      <w:bookmarkStart w:id="46" w:name="_Toc531702931"/>
      <w:bookmarkStart w:id="47" w:name="_Toc531801481"/>
      <w:bookmarkStart w:id="48" w:name="_Toc531801610"/>
      <w:bookmarkStart w:id="49" w:name="_Toc531801736"/>
      <w:bookmarkStart w:id="50" w:name="_Toc531801864"/>
      <w:bookmarkStart w:id="51" w:name="_Toc531702932"/>
      <w:bookmarkStart w:id="52" w:name="_Toc531801482"/>
      <w:bookmarkStart w:id="53" w:name="_Toc531801611"/>
      <w:bookmarkStart w:id="54" w:name="_Toc531801737"/>
      <w:bookmarkStart w:id="55" w:name="_Toc531801865"/>
      <w:bookmarkStart w:id="56" w:name="_Toc531702933"/>
      <w:bookmarkStart w:id="57" w:name="_Toc531801483"/>
      <w:bookmarkStart w:id="58" w:name="_Toc531801612"/>
      <w:bookmarkStart w:id="59" w:name="_Toc531801738"/>
      <w:bookmarkStart w:id="60" w:name="_Toc531801866"/>
      <w:bookmarkStart w:id="61" w:name="_Toc531934947"/>
      <w:bookmarkStart w:id="62" w:name="_Toc531945073"/>
      <w:bookmarkStart w:id="63" w:name="_Toc6302329"/>
      <w:bookmarkStart w:id="64" w:name="_Toc2739609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1.2</w:t>
      </w:r>
      <w:r>
        <w:tab/>
      </w:r>
      <w:r w:rsidR="00FF0CF3">
        <w:t>Pregled trenutačnog stanja u pogledu politika</w:t>
      </w:r>
      <w:bookmarkEnd w:id="61"/>
      <w:bookmarkEnd w:id="62"/>
      <w:bookmarkEnd w:id="63"/>
      <w:bookmarkEnd w:id="64"/>
      <w:r w:rsidR="00FF0CF3">
        <w:t xml:space="preserve"> </w:t>
      </w:r>
    </w:p>
    <w:p w14:paraId="205961CC" w14:textId="2004145D" w:rsidR="00D95386" w:rsidRDefault="00215558" w:rsidP="00D95386">
      <w:pPr>
        <w:pStyle w:val="Heading3"/>
      </w:pPr>
      <w:bookmarkStart w:id="65" w:name="_Toc531934948"/>
      <w:bookmarkStart w:id="66" w:name="_Toc531945074"/>
      <w:bookmarkStart w:id="67" w:name="_Toc6302330"/>
      <w:r>
        <w:t>i</w:t>
      </w:r>
      <w:r>
        <w:tab/>
      </w:r>
      <w:r w:rsidR="00D95386">
        <w:t>Nacionalni energetski sustav te kontekst politika nacionalnog plana</w:t>
      </w:r>
      <w:bookmarkEnd w:id="65"/>
      <w:bookmarkEnd w:id="66"/>
      <w:bookmarkEnd w:id="67"/>
    </w:p>
    <w:p w14:paraId="1C82A2DA" w14:textId="286C6D87" w:rsidR="0072671B" w:rsidRDefault="004E5AE8" w:rsidP="00D95386">
      <w:r w:rsidRPr="00311542">
        <w:t>Osnovn</w:t>
      </w:r>
      <w:r>
        <w:t>e</w:t>
      </w:r>
      <w:r w:rsidRPr="00311542">
        <w:t xml:space="preserve"> pokazatelj</w:t>
      </w:r>
      <w:r>
        <w:t>e</w:t>
      </w:r>
      <w:r w:rsidRPr="00311542">
        <w:t xml:space="preserve"> </w:t>
      </w:r>
      <w:r w:rsidR="00D95386" w:rsidRPr="00311542">
        <w:t xml:space="preserve">razvoja potrošnje energije i </w:t>
      </w:r>
      <w:r w:rsidRPr="00311542">
        <w:t>ekonomsk</w:t>
      </w:r>
      <w:r>
        <w:t>e</w:t>
      </w:r>
      <w:r w:rsidRPr="00311542">
        <w:t xml:space="preserve"> pokazatelj</w:t>
      </w:r>
      <w:r>
        <w:t>e</w:t>
      </w:r>
      <w:r w:rsidR="0072671B">
        <w:t xml:space="preserve">, a to su: </w:t>
      </w:r>
    </w:p>
    <w:p w14:paraId="69CC4420" w14:textId="44256599" w:rsidR="0072671B" w:rsidRDefault="004E5AE8" w:rsidP="00840E2E">
      <w:pPr>
        <w:pStyle w:val="ListParagraph"/>
        <w:numPr>
          <w:ilvl w:val="0"/>
          <w:numId w:val="29"/>
        </w:numPr>
      </w:pPr>
      <w:r>
        <w:t>GDP</w:t>
      </w:r>
      <w:r w:rsidR="004A02A0">
        <w:t xml:space="preserve"> </w:t>
      </w:r>
      <w:r w:rsidR="0072671B">
        <w:t xml:space="preserve">(eng. </w:t>
      </w:r>
      <w:r w:rsidR="004A02A0">
        <w:t>Gross Domestic Product</w:t>
      </w:r>
      <w:r w:rsidR="0072671B">
        <w:t xml:space="preserve">) – </w:t>
      </w:r>
      <w:r w:rsidR="004A02A0">
        <w:t>bruto domaći proizvod;</w:t>
      </w:r>
      <w:r>
        <w:t xml:space="preserve"> </w:t>
      </w:r>
    </w:p>
    <w:p w14:paraId="3057D9D1" w14:textId="30E80D96" w:rsidR="0072671B" w:rsidRDefault="004E5AE8" w:rsidP="00840E2E">
      <w:pPr>
        <w:pStyle w:val="ListParagraph"/>
        <w:numPr>
          <w:ilvl w:val="0"/>
          <w:numId w:val="29"/>
        </w:numPr>
      </w:pPr>
      <w:r>
        <w:t>TPES</w:t>
      </w:r>
      <w:r w:rsidR="004A02A0">
        <w:t xml:space="preserve"> </w:t>
      </w:r>
      <w:r w:rsidR="00161C0C">
        <w:t xml:space="preserve">(eng. </w:t>
      </w:r>
      <w:r w:rsidR="004A02A0">
        <w:t>Total Primary Energy Supply</w:t>
      </w:r>
      <w:r w:rsidR="0072671B">
        <w:t xml:space="preserve">) – </w:t>
      </w:r>
      <w:r w:rsidR="004A02A0">
        <w:t>ukupna potrošnja energije;</w:t>
      </w:r>
      <w:r>
        <w:t xml:space="preserve"> </w:t>
      </w:r>
    </w:p>
    <w:p w14:paraId="3770D761" w14:textId="20BDBB42" w:rsidR="0072671B" w:rsidRDefault="004E5AE8" w:rsidP="00840E2E">
      <w:pPr>
        <w:pStyle w:val="ListParagraph"/>
        <w:numPr>
          <w:ilvl w:val="0"/>
          <w:numId w:val="29"/>
        </w:numPr>
      </w:pPr>
      <w:r>
        <w:t>TFC</w:t>
      </w:r>
      <w:r w:rsidR="0072671B">
        <w:t xml:space="preserve"> </w:t>
      </w:r>
      <w:r w:rsidR="00161C0C">
        <w:t xml:space="preserve">(eng. </w:t>
      </w:r>
      <w:r w:rsidR="0072671B">
        <w:t>Total Final Energy Consumption) – neposredna potrošnja energije</w:t>
      </w:r>
      <w:r w:rsidR="007F7ADA">
        <w:t>;</w:t>
      </w:r>
      <w:r>
        <w:t xml:space="preserve"> </w:t>
      </w:r>
    </w:p>
    <w:p w14:paraId="42174D50" w14:textId="1BC0AAED" w:rsidR="0072671B" w:rsidRDefault="004E5AE8" w:rsidP="00840E2E">
      <w:pPr>
        <w:pStyle w:val="ListParagraph"/>
        <w:numPr>
          <w:ilvl w:val="0"/>
          <w:numId w:val="29"/>
        </w:numPr>
      </w:pPr>
      <w:r>
        <w:t>GEC</w:t>
      </w:r>
      <w:r w:rsidR="004A02A0">
        <w:t xml:space="preserve"> </w:t>
      </w:r>
      <w:r w:rsidR="00161C0C">
        <w:t xml:space="preserve">(eng. </w:t>
      </w:r>
      <w:r w:rsidR="004A02A0">
        <w:t>Gross Electricity Consumption</w:t>
      </w:r>
      <w:r w:rsidR="0072671B">
        <w:t xml:space="preserve">) – </w:t>
      </w:r>
      <w:r w:rsidR="004A02A0">
        <w:t>ukupna potrošnja električne energije;</w:t>
      </w:r>
      <w:r>
        <w:t xml:space="preserve"> </w:t>
      </w:r>
    </w:p>
    <w:p w14:paraId="2BAAFEC9" w14:textId="0172EFC2" w:rsidR="0072671B" w:rsidRDefault="004E5AE8" w:rsidP="00840E2E">
      <w:pPr>
        <w:pStyle w:val="ListParagraph"/>
        <w:numPr>
          <w:ilvl w:val="0"/>
          <w:numId w:val="29"/>
        </w:numPr>
      </w:pPr>
      <w:r>
        <w:t>NEC</w:t>
      </w:r>
      <w:r w:rsidR="004A02A0">
        <w:t xml:space="preserve"> </w:t>
      </w:r>
      <w:r w:rsidR="00161C0C">
        <w:t xml:space="preserve">(eng. </w:t>
      </w:r>
      <w:r w:rsidR="004A02A0">
        <w:t>Net electricity Consumption</w:t>
      </w:r>
      <w:r w:rsidR="0072671B">
        <w:t xml:space="preserve">) – </w:t>
      </w:r>
      <w:r w:rsidR="004A02A0">
        <w:t>neto potrošnja električne energije;</w:t>
      </w:r>
      <w:r>
        <w:t xml:space="preserve"> </w:t>
      </w:r>
    </w:p>
    <w:p w14:paraId="5FF776E8" w14:textId="77777777" w:rsidR="0072671B" w:rsidRDefault="004E5AE8" w:rsidP="00840E2E">
      <w:pPr>
        <w:pStyle w:val="ListParagraph"/>
        <w:numPr>
          <w:ilvl w:val="0"/>
          <w:numId w:val="29"/>
        </w:numPr>
      </w:pPr>
      <w:r>
        <w:t>TPES/</w:t>
      </w:r>
      <w:r w:rsidR="004A02A0">
        <w:t xml:space="preserve">GDP – energetska intenzivnost ukupno utrošene energije; </w:t>
      </w:r>
    </w:p>
    <w:p w14:paraId="25F01842" w14:textId="2EA9CF89" w:rsidR="0072671B" w:rsidRDefault="004A02A0" w:rsidP="00840E2E">
      <w:pPr>
        <w:pStyle w:val="ListParagraph"/>
        <w:numPr>
          <w:ilvl w:val="0"/>
          <w:numId w:val="29"/>
        </w:numPr>
      </w:pPr>
      <w:r>
        <w:t>GEC/GDP – energetska intenz</w:t>
      </w:r>
      <w:r w:rsidR="00631012">
        <w:t>iv</w:t>
      </w:r>
      <w:r>
        <w:t xml:space="preserve">nost ukupne potrošnje električne energije; </w:t>
      </w:r>
    </w:p>
    <w:p w14:paraId="40530A8A" w14:textId="0832DA4C" w:rsidR="0072671B" w:rsidRDefault="004A02A0" w:rsidP="00840E2E">
      <w:pPr>
        <w:pStyle w:val="ListParagraph"/>
        <w:numPr>
          <w:ilvl w:val="0"/>
          <w:numId w:val="29"/>
        </w:numPr>
      </w:pPr>
      <w:r>
        <w:t>NEC/GDP – energetska intenzivnost neto potrošnje električne energije)</w:t>
      </w:r>
      <w:r w:rsidR="009D66F4">
        <w:t>;</w:t>
      </w:r>
    </w:p>
    <w:p w14:paraId="2009989E" w14:textId="30A1C054" w:rsidR="00D95386" w:rsidRDefault="00D95386" w:rsidP="00D95386">
      <w:r w:rsidRPr="00311542">
        <w:t xml:space="preserve">za RH u razdoblju od </w:t>
      </w:r>
      <w:r w:rsidR="00BF7DD8" w:rsidRPr="00311542">
        <w:t>201</w:t>
      </w:r>
      <w:r w:rsidR="00BF7DD8">
        <w:t>3</w:t>
      </w:r>
      <w:r w:rsidRPr="00311542">
        <w:t>. do 201</w:t>
      </w:r>
      <w:r w:rsidR="00BF7DD8">
        <w:t>7</w:t>
      </w:r>
      <w:r w:rsidRPr="00311542">
        <w:t>. godine prikaz</w:t>
      </w:r>
      <w:r w:rsidR="006639F2">
        <w:t xml:space="preserve">uje </w:t>
      </w:r>
      <w:r w:rsidR="006639F2">
        <w:fldChar w:fldCharType="begin"/>
      </w:r>
      <w:r w:rsidR="006639F2">
        <w:instrText xml:space="preserve"> REF _Ref531507336 \h </w:instrText>
      </w:r>
      <w:r w:rsidR="006639F2">
        <w:fldChar w:fldCharType="separate"/>
      </w:r>
      <w:r w:rsidR="00154150">
        <w:t xml:space="preserve">Slika </w:t>
      </w:r>
      <w:r w:rsidR="00154150">
        <w:rPr>
          <w:noProof/>
        </w:rPr>
        <w:t>1</w:t>
      </w:r>
      <w:r w:rsidR="00154150">
        <w:noBreakHyphen/>
      </w:r>
      <w:r w:rsidR="00154150">
        <w:rPr>
          <w:noProof/>
        </w:rPr>
        <w:t>1</w:t>
      </w:r>
      <w:r w:rsidR="006639F2">
        <w:fldChar w:fldCharType="end"/>
      </w:r>
      <w:r w:rsidR="006639F2">
        <w:t xml:space="preserve"> [</w:t>
      </w:r>
      <w:r w:rsidR="0090031F">
        <w:fldChar w:fldCharType="begin"/>
      </w:r>
      <w:r w:rsidR="0090031F">
        <w:instrText xml:space="preserve"> REF _Ref531601146 \r \h </w:instrText>
      </w:r>
      <w:r w:rsidR="0090031F">
        <w:fldChar w:fldCharType="separate"/>
      </w:r>
      <w:r w:rsidR="00154150">
        <w:t>10</w:t>
      </w:r>
      <w:r w:rsidR="0090031F">
        <w:fldChar w:fldCharType="end"/>
      </w:r>
      <w:r w:rsidR="006639F2">
        <w:t>]</w:t>
      </w:r>
      <w:r>
        <w:t>.</w:t>
      </w:r>
    </w:p>
    <w:p w14:paraId="0F985749" w14:textId="0B8FCB56" w:rsidR="00951E32" w:rsidRDefault="00951E32" w:rsidP="00D95386"/>
    <w:p w14:paraId="33B3960A" w14:textId="5E7650B3" w:rsidR="00951E32" w:rsidRDefault="00951E32" w:rsidP="00D95386">
      <w:r>
        <w:rPr>
          <w:noProof/>
        </w:rPr>
        <w:drawing>
          <wp:inline distT="0" distB="0" distL="0" distR="0" wp14:anchorId="1050B4ED" wp14:editId="77514C61">
            <wp:extent cx="5324280" cy="3251528"/>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5978" cy="3258672"/>
                    </a:xfrm>
                    <a:prstGeom prst="rect">
                      <a:avLst/>
                    </a:prstGeom>
                    <a:noFill/>
                  </pic:spPr>
                </pic:pic>
              </a:graphicData>
            </a:graphic>
          </wp:inline>
        </w:drawing>
      </w:r>
    </w:p>
    <w:p w14:paraId="7B33A77B" w14:textId="2E520F81" w:rsidR="000D1070" w:rsidRDefault="006639F2" w:rsidP="009F72DA">
      <w:pPr>
        <w:pStyle w:val="Caption"/>
      </w:pPr>
      <w:bookmarkStart w:id="68" w:name="_Ref531507336"/>
      <w:bookmarkStart w:id="69" w:name="_Toc27396137"/>
      <w:r>
        <w:lastRenderedPageBreak/>
        <w:t xml:space="preserve">Slika </w:t>
      </w:r>
      <w:r w:rsidR="005A7E31">
        <w:fldChar w:fldCharType="begin"/>
      </w:r>
      <w:r w:rsidR="005A7E31">
        <w:rPr>
          <w:noProof/>
        </w:rPr>
        <w:instrText xml:space="preserve"> STYLEREF 1 \s </w:instrText>
      </w:r>
      <w:r w:rsidR="005A7E31">
        <w:fldChar w:fldCharType="separate"/>
      </w:r>
      <w:r w:rsidR="00154150">
        <w:rPr>
          <w:noProof/>
        </w:rPr>
        <w:t>1</w:t>
      </w:r>
      <w:r w:rsidR="005A7E31">
        <w:fldChar w:fldCharType="end"/>
      </w:r>
      <w:r w:rsidR="00C3092A">
        <w:noBreakHyphen/>
      </w:r>
      <w:r w:rsidR="005A7E31">
        <w:fldChar w:fldCharType="begin"/>
      </w:r>
      <w:r w:rsidR="005A7E31">
        <w:rPr>
          <w:noProof/>
        </w:rPr>
        <w:instrText xml:space="preserve"> SEQ Slika \* ARABIC \s 1 </w:instrText>
      </w:r>
      <w:r w:rsidR="005A7E31">
        <w:fldChar w:fldCharType="separate"/>
      </w:r>
      <w:r w:rsidR="00154150">
        <w:rPr>
          <w:noProof/>
        </w:rPr>
        <w:t>1</w:t>
      </w:r>
      <w:r w:rsidR="005A7E31">
        <w:fldChar w:fldCharType="end"/>
      </w:r>
      <w:bookmarkEnd w:id="68"/>
      <w:r w:rsidR="00F458D6">
        <w:t>.</w:t>
      </w:r>
      <w:r w:rsidR="00F458D6" w:rsidRPr="00F458D6">
        <w:t xml:space="preserve"> Osnovni pokazatelji razvoja potrošnje energije i ekonomski pokazatelji u RH u razdoblju 2013.-2017. godine</w:t>
      </w:r>
      <w:bookmarkEnd w:id="69"/>
    </w:p>
    <w:p w14:paraId="47A8EF49" w14:textId="3AD0E6D1" w:rsidR="008D092A" w:rsidRDefault="008D092A" w:rsidP="00D95386">
      <w:r w:rsidRPr="008D092A">
        <w:t xml:space="preserve">Tijekom razdoblja od 2012. do 2017. godine </w:t>
      </w:r>
      <w:r w:rsidR="000B5FEC">
        <w:t>BDP</w:t>
      </w:r>
      <w:r w:rsidRPr="008D092A">
        <w:t xml:space="preserve"> ostvario je porast s prosječnom godišnjom stopom od 1,6 posto. U potrošnji električne energije također je ostvaren porast pa je tako ukupna potrošnja električne energije rasla s prosječnom godišnjom stopom od 0,8 posto, a neto potrošnja električne energije s prosječnom godišnjom stopom od 1 posto. Gubici prijenosa i razdiobe električne energije ostvarili su smanjenje s prosječnom godišnjom stopom od 1,3 posto.</w:t>
      </w:r>
    </w:p>
    <w:p w14:paraId="7F74D85D" w14:textId="605EBE90" w:rsidR="00D95386" w:rsidRDefault="006639F2" w:rsidP="00D95386">
      <w:r>
        <w:t xml:space="preserve">Trendove u proizvodnji primarne energije prikazuje </w:t>
      </w:r>
      <w:r w:rsidR="002C233C">
        <w:fldChar w:fldCharType="begin"/>
      </w:r>
      <w:r w:rsidR="002C233C">
        <w:instrText xml:space="preserve"> REF _Ref531507501 \h </w:instrText>
      </w:r>
      <w:r w:rsidR="002C233C">
        <w:fldChar w:fldCharType="separate"/>
      </w:r>
      <w:r w:rsidR="00154150">
        <w:t xml:space="preserve">Slika </w:t>
      </w:r>
      <w:r w:rsidR="00154150">
        <w:rPr>
          <w:noProof/>
        </w:rPr>
        <w:t>1</w:t>
      </w:r>
      <w:r w:rsidR="00154150">
        <w:noBreakHyphen/>
      </w:r>
      <w:r w:rsidR="00154150">
        <w:rPr>
          <w:noProof/>
        </w:rPr>
        <w:t>2</w:t>
      </w:r>
      <w:r w:rsidR="00154150">
        <w:t xml:space="preserve">. </w:t>
      </w:r>
      <w:r w:rsidR="00154150" w:rsidRPr="002C233C">
        <w:t>Proizvodnja primarne energije</w:t>
      </w:r>
      <w:r w:rsidR="002C233C">
        <w:fldChar w:fldCharType="end"/>
      </w:r>
      <w:r>
        <w:t xml:space="preserve"> </w:t>
      </w:r>
      <w:r w:rsidRPr="00B4224E">
        <w:t>[</w:t>
      </w:r>
      <w:r w:rsidR="0090031F" w:rsidRPr="007145ED">
        <w:fldChar w:fldCharType="begin"/>
      </w:r>
      <w:r w:rsidR="0090031F" w:rsidRPr="007145ED">
        <w:instrText xml:space="preserve"> REF _Ref531601146 \r \h </w:instrText>
      </w:r>
      <w:r w:rsidR="0090031F">
        <w:instrText xml:space="preserve"> \* MERGEFORMAT </w:instrText>
      </w:r>
      <w:r w:rsidR="0090031F" w:rsidRPr="007145ED">
        <w:fldChar w:fldCharType="separate"/>
      </w:r>
      <w:r w:rsidR="00154150">
        <w:t>10</w:t>
      </w:r>
      <w:r w:rsidR="0090031F" w:rsidRPr="007145ED">
        <w:fldChar w:fldCharType="end"/>
      </w:r>
      <w:r w:rsidRPr="00B4224E">
        <w:t>]</w:t>
      </w:r>
      <w:r>
        <w:t xml:space="preserve">. </w:t>
      </w:r>
      <w:r w:rsidR="00951E32" w:rsidRPr="00951E32">
        <w:t xml:space="preserve">Tijekom šestogodišnjeg razdoblja od 2012. do 2017. godine proizvodnja primarne energije u Hrvatskoj povećavala se s prosječnom godišnjom stopom od 0,9 posto. Trend smanjenja ostvaren je u proizvodnji prirodnog plina, dok je proizvodnja ostalih primarnih oblika energije ostvarila trend povećanja. Proizvodnja prirodnog plina smanjivala se s prosječnim godišnjim stopama od 5,6 posto. Najbrže je rasla proizvodnja energije iz obnovljivih izvora gdje je ostvarena godišnja stopa rasta od 23,3 posto, dok je proizvodnja sirove nafte rasla s prosječnom godišnjom stopom od 4,4 posto. Energija iskorištenih vodnih snaga ostvarila je trend porasta s prosječnom godišnjom stopom od 2,6 posto. U proizvodnji toplinske energija proizvedene u </w:t>
      </w:r>
      <w:r w:rsidR="00B739F7">
        <w:t>dizalicama topline</w:t>
      </w:r>
      <w:r w:rsidR="00951E32" w:rsidRPr="00951E32">
        <w:t xml:space="preserve"> i u proizvodnji ogrjevnog drva i ostale krute biomase ostvaren je porast proizvodnje s prosječnim godišnjim stopama od 1,7 posto, odnosno 1,4 posto.</w:t>
      </w:r>
    </w:p>
    <w:p w14:paraId="384B70B9" w14:textId="4248424B" w:rsidR="00951E32" w:rsidRDefault="00951E32" w:rsidP="00D95386">
      <w:r>
        <w:rPr>
          <w:noProof/>
        </w:rPr>
        <w:drawing>
          <wp:inline distT="0" distB="0" distL="0" distR="0" wp14:anchorId="1FE77255" wp14:editId="0E105CC1">
            <wp:extent cx="5191125" cy="31702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0925" cy="3188409"/>
                    </a:xfrm>
                    <a:prstGeom prst="rect">
                      <a:avLst/>
                    </a:prstGeom>
                    <a:noFill/>
                  </pic:spPr>
                </pic:pic>
              </a:graphicData>
            </a:graphic>
          </wp:inline>
        </w:drawing>
      </w:r>
    </w:p>
    <w:p w14:paraId="250D3D32" w14:textId="47E39ECE" w:rsidR="00D95386" w:rsidRDefault="002C233C" w:rsidP="007145ED">
      <w:pPr>
        <w:pStyle w:val="Caption"/>
      </w:pPr>
      <w:bookmarkStart w:id="70" w:name="_Ref531507501"/>
      <w:bookmarkStart w:id="71" w:name="_Toc27396138"/>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1</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w:t>
      </w:r>
      <w:r w:rsidR="005A7E31">
        <w:rPr>
          <w:noProof/>
        </w:rPr>
        <w:fldChar w:fldCharType="end"/>
      </w:r>
      <w:r w:rsidR="00F458D6">
        <w:t>.</w:t>
      </w:r>
      <w:r w:rsidR="00A87274">
        <w:t xml:space="preserve"> </w:t>
      </w:r>
      <w:r w:rsidRPr="002C233C">
        <w:t>Proizvodnja primarne energije</w:t>
      </w:r>
      <w:bookmarkEnd w:id="70"/>
      <w:bookmarkEnd w:id="71"/>
    </w:p>
    <w:p w14:paraId="07F165BC" w14:textId="1E69A77C" w:rsidR="00D95386" w:rsidRDefault="002C233C" w:rsidP="00D95386">
      <w:r>
        <w:t>Tren</w:t>
      </w:r>
      <w:r w:rsidR="0070097E">
        <w:t>d</w:t>
      </w:r>
      <w:r>
        <w:t xml:space="preserve">ove u uvozu energije </w:t>
      </w:r>
      <w:r w:rsidR="00D95386" w:rsidRPr="004175DD">
        <w:t xml:space="preserve">do </w:t>
      </w:r>
      <w:r w:rsidR="00663037" w:rsidRPr="004175DD">
        <w:t>201</w:t>
      </w:r>
      <w:r w:rsidR="00663037">
        <w:t>7</w:t>
      </w:r>
      <w:r w:rsidR="00D95386" w:rsidRPr="004175DD">
        <w:t>. godine</w:t>
      </w:r>
      <w:r>
        <w:t xml:space="preserve"> prikazuje </w:t>
      </w:r>
      <w:r>
        <w:fldChar w:fldCharType="begin"/>
      </w:r>
      <w:r>
        <w:instrText xml:space="preserve"> REF _Ref531507601 \h </w:instrText>
      </w:r>
      <w:r>
        <w:fldChar w:fldCharType="separate"/>
      </w:r>
      <w:r w:rsidR="00154150">
        <w:t xml:space="preserve">Slika </w:t>
      </w:r>
      <w:r w:rsidR="00154150">
        <w:rPr>
          <w:noProof/>
        </w:rPr>
        <w:t>1</w:t>
      </w:r>
      <w:r w:rsidR="00154150">
        <w:noBreakHyphen/>
      </w:r>
      <w:r w:rsidR="00154150">
        <w:rPr>
          <w:noProof/>
        </w:rPr>
        <w:t>3</w:t>
      </w:r>
      <w:r w:rsidR="00154150">
        <w:t xml:space="preserve">. </w:t>
      </w:r>
      <w:r w:rsidR="00154150" w:rsidRPr="002C233C">
        <w:t>Uvoz energije u Hrvatsku</w:t>
      </w:r>
      <w:r>
        <w:fldChar w:fldCharType="end"/>
      </w:r>
      <w:r>
        <w:t xml:space="preserve"> </w:t>
      </w:r>
      <w:r w:rsidR="0090031F" w:rsidRPr="00765552">
        <w:t>[</w:t>
      </w:r>
      <w:r w:rsidR="0090031F" w:rsidRPr="00765552">
        <w:fldChar w:fldCharType="begin"/>
      </w:r>
      <w:r w:rsidR="0090031F" w:rsidRPr="00765552">
        <w:instrText xml:space="preserve"> REF _Ref531601146 \r \h </w:instrText>
      </w:r>
      <w:r w:rsidR="0090031F">
        <w:instrText xml:space="preserve"> \* MERGEFORMAT </w:instrText>
      </w:r>
      <w:r w:rsidR="0090031F" w:rsidRPr="00765552">
        <w:fldChar w:fldCharType="separate"/>
      </w:r>
      <w:r w:rsidR="00154150">
        <w:t>10</w:t>
      </w:r>
      <w:r w:rsidR="0090031F" w:rsidRPr="00765552">
        <w:fldChar w:fldCharType="end"/>
      </w:r>
      <w:r w:rsidR="0090031F" w:rsidRPr="00765552">
        <w:t>]</w:t>
      </w:r>
      <w:r>
        <w:t xml:space="preserve">. </w:t>
      </w:r>
    </w:p>
    <w:p w14:paraId="6F7C8A86" w14:textId="569B5763" w:rsidR="00663037" w:rsidRDefault="00663037" w:rsidP="00D95386">
      <w:r>
        <w:rPr>
          <w:noProof/>
        </w:rPr>
        <w:lastRenderedPageBreak/>
        <w:drawing>
          <wp:inline distT="0" distB="0" distL="0" distR="0" wp14:anchorId="55535F3B" wp14:editId="646E999B">
            <wp:extent cx="5219700" cy="31854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5234" cy="3194949"/>
                    </a:xfrm>
                    <a:prstGeom prst="rect">
                      <a:avLst/>
                    </a:prstGeom>
                    <a:noFill/>
                  </pic:spPr>
                </pic:pic>
              </a:graphicData>
            </a:graphic>
          </wp:inline>
        </w:drawing>
      </w:r>
    </w:p>
    <w:p w14:paraId="59FE7ED0" w14:textId="65D9F9F0" w:rsidR="00D95386" w:rsidRDefault="002C233C" w:rsidP="007145ED">
      <w:pPr>
        <w:pStyle w:val="Caption"/>
      </w:pPr>
      <w:bookmarkStart w:id="72" w:name="_Ref531507601"/>
      <w:bookmarkStart w:id="73" w:name="_Toc27396139"/>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1</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3</w:t>
      </w:r>
      <w:r w:rsidR="005A7E31">
        <w:rPr>
          <w:noProof/>
        </w:rPr>
        <w:fldChar w:fldCharType="end"/>
      </w:r>
      <w:r w:rsidR="00F458D6">
        <w:t xml:space="preserve">. </w:t>
      </w:r>
      <w:r w:rsidRPr="002C233C">
        <w:t>Uvoz energije u Hrvatsku</w:t>
      </w:r>
      <w:bookmarkEnd w:id="72"/>
      <w:bookmarkEnd w:id="73"/>
    </w:p>
    <w:p w14:paraId="075A40DA" w14:textId="1DFC75B3" w:rsidR="00BD4BBF" w:rsidRDefault="00951E32" w:rsidP="00D95386">
      <w:r w:rsidRPr="00951E32">
        <w:t>Tijekom razdoblja od 2012. do 2017. godine ostvaren je trend porasta uvoza energije u Hrvatsku s prosječnom godišnjom stopom od 4,2 posto. Samo je u uvozu ugljena i koksa ostvaren trend smanjenja s prosječnom godišnjim stopom od 3 posto, dok je u uvozu svih ostalih oblika energije ostvaren je trend porasta. Tako se uvoz drva i biomase povećavao s prosječnom godišnjom stopom od 43,7 posto, uvoz prirodnog plina 6,4 posto, uvoz derivata nafte 6,7 posto i uvoz sirove nafte 3,9 posto godišnje. Prosječna godišnja stopa porasta uvoza električne energije iznosila je 0,6 posto.</w:t>
      </w:r>
    </w:p>
    <w:p w14:paraId="1353CD34" w14:textId="46373EEB" w:rsidR="00D95386" w:rsidRDefault="00D95386" w:rsidP="00D95386">
      <w:r>
        <w:t xml:space="preserve">Energetsko zakonodavstvo i klimatsko zakonodavstvo usklađeni su s pravnom stečevinom Europske unije. Na provedbenoj razini, energetika i klima objedinjene su u </w:t>
      </w:r>
      <w:r w:rsidR="00861401">
        <w:t>dva</w:t>
      </w:r>
      <w:r>
        <w:t xml:space="preserve"> ministarstv</w:t>
      </w:r>
      <w:r w:rsidR="00861401">
        <w:t>a</w:t>
      </w:r>
      <w:r>
        <w:t xml:space="preserve"> – Ministarstvu zaštite okoliša i energetike</w:t>
      </w:r>
      <w:r w:rsidR="00BA0CDF">
        <w:t xml:space="preserve"> te Ministarstvu graditeljstva i prostornog uređenja</w:t>
      </w:r>
      <w:r>
        <w:t>.</w:t>
      </w:r>
    </w:p>
    <w:p w14:paraId="10F3FCFD" w14:textId="5C491401" w:rsidR="00D95386" w:rsidRDefault="002522C6" w:rsidP="00D95386">
      <w:r>
        <w:t>I</w:t>
      </w:r>
      <w:r w:rsidR="008C5C6F" w:rsidRPr="00211282">
        <w:t>zrad</w:t>
      </w:r>
      <w:r w:rsidR="008C5C6F">
        <w:t>a</w:t>
      </w:r>
      <w:r w:rsidR="001B5396">
        <w:t xml:space="preserve"> nove</w:t>
      </w:r>
      <w:r w:rsidR="008C5C6F" w:rsidRPr="00211282">
        <w:t xml:space="preserve"> </w:t>
      </w:r>
      <w:r w:rsidR="00045196" w:rsidRPr="00045196">
        <w:t>Strategij</w:t>
      </w:r>
      <w:r w:rsidR="00045196">
        <w:t>e</w:t>
      </w:r>
      <w:r w:rsidR="00045196" w:rsidRPr="00045196">
        <w:t xml:space="preserve"> energetskog razvoja</w:t>
      </w:r>
      <w:r>
        <w:t xml:space="preserve"> započela je</w:t>
      </w:r>
      <w:r w:rsidRPr="00211282">
        <w:t xml:space="preserve"> 2018.</w:t>
      </w:r>
      <w:r>
        <w:t xml:space="preserve"> godine. I</w:t>
      </w:r>
      <w:r w:rsidR="00D95386" w:rsidRPr="00211282">
        <w:t xml:space="preserve">majući u vidu </w:t>
      </w:r>
      <w:r w:rsidR="00DA72A4" w:rsidRPr="00211282">
        <w:t>sve stroža ograničenja u pogledu emisija stakleničkih plinova</w:t>
      </w:r>
      <w:r w:rsidR="00DA72A4">
        <w:t xml:space="preserve"> </w:t>
      </w:r>
      <w:r w:rsidR="00045196">
        <w:t xml:space="preserve">i </w:t>
      </w:r>
      <w:r w:rsidR="005F4277">
        <w:t xml:space="preserve">potrebu za </w:t>
      </w:r>
      <w:r w:rsidR="00D95386" w:rsidRPr="00211282">
        <w:t>dugoročnim energetskim planiranjem</w:t>
      </w:r>
      <w:r w:rsidR="008D1550">
        <w:t>,</w:t>
      </w:r>
      <w:r w:rsidR="006C43BB">
        <w:t xml:space="preserve"> </w:t>
      </w:r>
      <w:r w:rsidR="001A474A">
        <w:t>Strategija energetskog razvoja pokriva razdoblje do 2030. godine,</w:t>
      </w:r>
      <w:r w:rsidR="008D1550">
        <w:t xml:space="preserve"> </w:t>
      </w:r>
      <w:r w:rsidR="00BF7DD8">
        <w:t>s vizijom do</w:t>
      </w:r>
      <w:r w:rsidR="00D95386" w:rsidRPr="00211282">
        <w:t xml:space="preserve"> 20</w:t>
      </w:r>
      <w:r w:rsidR="00BF7DD8">
        <w:t>5</w:t>
      </w:r>
      <w:r w:rsidR="00D95386" w:rsidRPr="00211282">
        <w:t>0. godine</w:t>
      </w:r>
      <w:r w:rsidR="00DD2581">
        <w:t>.</w:t>
      </w:r>
      <w:r w:rsidR="00CB6EA5">
        <w:t xml:space="preserve"> </w:t>
      </w:r>
      <w:r w:rsidR="00493A06">
        <w:t>U trenutku usvajanja ovog dokumenta, p</w:t>
      </w:r>
      <w:r w:rsidR="00DD2581">
        <w:t>rijedlog Strategije energetskog razvoja upućen je</w:t>
      </w:r>
      <w:r w:rsidR="0004362A">
        <w:t xml:space="preserve"> </w:t>
      </w:r>
      <w:r w:rsidR="00DD2581">
        <w:t>Hrvatsko</w:t>
      </w:r>
      <w:r w:rsidR="005D064E">
        <w:t>m</w:t>
      </w:r>
      <w:r w:rsidR="00DD2581">
        <w:t xml:space="preserve"> sabor</w:t>
      </w:r>
      <w:r w:rsidR="005D064E">
        <w:t>u</w:t>
      </w:r>
      <w:r w:rsidR="00D726DA">
        <w:t>.</w:t>
      </w:r>
      <w:r w:rsidR="00D95386" w:rsidRPr="00211282">
        <w:t xml:space="preserve"> </w:t>
      </w:r>
      <w:r w:rsidR="00084C7D">
        <w:t>Paralelno se parametri</w:t>
      </w:r>
      <w:r w:rsidR="00EB30AE">
        <w:t xml:space="preserve"> </w:t>
      </w:r>
      <w:r w:rsidR="00D95386" w:rsidRPr="00211282">
        <w:t xml:space="preserve">Strategije energetskog </w:t>
      </w:r>
      <w:r w:rsidR="00191723" w:rsidRPr="00211282">
        <w:t>razv</w:t>
      </w:r>
      <w:r w:rsidR="00191723">
        <w:t>oj</w:t>
      </w:r>
      <w:r w:rsidR="00191723" w:rsidRPr="00211282">
        <w:t>a</w:t>
      </w:r>
      <w:r w:rsidR="00191723">
        <w:t xml:space="preserve"> </w:t>
      </w:r>
      <w:r w:rsidR="002A69B1">
        <w:t xml:space="preserve">uključuju </w:t>
      </w:r>
      <w:r w:rsidR="00D95386" w:rsidRPr="00211282">
        <w:t>u Nacrt Strategije niskougljičnog razvoja, čime će se na strateškoj razini integrirati energetska i klimatska politika.</w:t>
      </w:r>
    </w:p>
    <w:p w14:paraId="518E6C16" w14:textId="02AA1EEB" w:rsidR="0081767B" w:rsidRDefault="0081767B" w:rsidP="00D95386">
      <w:r>
        <w:t xml:space="preserve">U okviru </w:t>
      </w:r>
      <w:r w:rsidR="00FD4D64">
        <w:t>izrade Nacionalne razvojne strategije do 2030. godine</w:t>
      </w:r>
      <w:r w:rsidR="006F1E78">
        <w:t>, Ministarstvo zaštite okoliša i energetike</w:t>
      </w:r>
      <w:r w:rsidR="00FB31C0">
        <w:t xml:space="preserve"> je</w:t>
      </w:r>
      <w:r w:rsidR="006F1E78">
        <w:t xml:space="preserve"> zajedno s </w:t>
      </w:r>
      <w:r w:rsidR="00101B28">
        <w:t xml:space="preserve">Ministarstvom graditeljstva i </w:t>
      </w:r>
      <w:r w:rsidR="00FB31C0">
        <w:t>prostornoga uređenja</w:t>
      </w:r>
      <w:r w:rsidR="007A79EC">
        <w:t xml:space="preserve"> nositelj Tematske radne skupine </w:t>
      </w:r>
      <w:r w:rsidR="009047D6">
        <w:t xml:space="preserve">za </w:t>
      </w:r>
      <w:r w:rsidR="00D957AA">
        <w:t>energiju i održivi okoliš</w:t>
      </w:r>
      <w:r w:rsidR="007A79EC">
        <w:t xml:space="preserve"> te kr</w:t>
      </w:r>
      <w:r w:rsidR="00D13E71">
        <w:t>ei</w:t>
      </w:r>
      <w:r w:rsidR="007A79EC">
        <w:t>ra ključna područja inte</w:t>
      </w:r>
      <w:r w:rsidR="00D13E71">
        <w:t>r</w:t>
      </w:r>
      <w:r w:rsidR="007A79EC">
        <w:t>vencije i str</w:t>
      </w:r>
      <w:r w:rsidR="00D13E71">
        <w:t>a</w:t>
      </w:r>
      <w:r w:rsidR="007A79EC">
        <w:t>te</w:t>
      </w:r>
      <w:r w:rsidR="00D13E71">
        <w:t>š</w:t>
      </w:r>
      <w:r w:rsidR="007A79EC">
        <w:t xml:space="preserve">ke projekte kako bi se </w:t>
      </w:r>
      <w:r w:rsidR="00D13E71">
        <w:t>do</w:t>
      </w:r>
      <w:r w:rsidR="007A79EC">
        <w:t>pr</w:t>
      </w:r>
      <w:r w:rsidR="00C81D1F">
        <w:t>i</w:t>
      </w:r>
      <w:r w:rsidR="007A79EC">
        <w:t>nijelo naciona</w:t>
      </w:r>
      <w:r w:rsidR="00D13E71">
        <w:t>l</w:t>
      </w:r>
      <w:r w:rsidR="007A79EC">
        <w:t>nim i EU ciljevima smanjenja em</w:t>
      </w:r>
      <w:r w:rsidR="00D13E71">
        <w:t>i</w:t>
      </w:r>
      <w:r w:rsidR="007A79EC">
        <w:t xml:space="preserve">sije CO2 za </w:t>
      </w:r>
      <w:r w:rsidR="00B02A23">
        <w:t>40 % te povećanju energetske učinkovitosti za 32,5 % do 2030. godine.</w:t>
      </w:r>
    </w:p>
    <w:p w14:paraId="7B3D391E" w14:textId="4536D2B7" w:rsidR="00D95386" w:rsidRDefault="00D95386" w:rsidP="00D95386">
      <w:r>
        <w:lastRenderedPageBreak/>
        <w:t xml:space="preserve">U cilju koordinacije politika i mjera za ublažavanje i prilagodbu klimatskim promjenama, Vlada RH je </w:t>
      </w:r>
      <w:r w:rsidR="00FB72F4">
        <w:t>2018</w:t>
      </w:r>
      <w:r>
        <w:t>. godine donijela odluku o osnivanju Povjere</w:t>
      </w:r>
      <w:r w:rsidR="00E00C7D">
        <w:t>n</w:t>
      </w:r>
      <w:r>
        <w:t xml:space="preserve">stva za međusektorsku koordinaciju za politiku i mjere ublažavanja i prilagodbu klimatskim promjenama. Povjerenstvo djeluje kroz rad </w:t>
      </w:r>
      <w:r w:rsidRPr="00004AF8">
        <w:t>Koordinacijske skupine i Tehničke radne skupine</w:t>
      </w:r>
      <w:r>
        <w:t>.</w:t>
      </w:r>
    </w:p>
    <w:p w14:paraId="74EC17C9" w14:textId="77777777" w:rsidR="00D95386" w:rsidRPr="00F16666" w:rsidRDefault="00D95386" w:rsidP="007145ED"/>
    <w:p w14:paraId="71C8A9C7" w14:textId="02E58DC6" w:rsidR="00FF0CF3" w:rsidRDefault="00F66B22" w:rsidP="00302043">
      <w:pPr>
        <w:pStyle w:val="Heading3"/>
      </w:pPr>
      <w:bookmarkStart w:id="74" w:name="_Hlk531604663"/>
      <w:bookmarkStart w:id="75" w:name="_Toc531934949"/>
      <w:bookmarkStart w:id="76" w:name="_Toc531945075"/>
      <w:bookmarkStart w:id="77" w:name="_Toc6302331"/>
      <w:r>
        <w:t>ii</w:t>
      </w:r>
      <w:r>
        <w:tab/>
      </w:r>
      <w:r w:rsidR="00FF0CF3">
        <w:t xml:space="preserve">Trenutačne energetske i klimatske politike </w:t>
      </w:r>
      <w:bookmarkEnd w:id="74"/>
      <w:r w:rsidR="00FF0CF3">
        <w:t xml:space="preserve">i mjere koje se odnose na pet dimenzija </w:t>
      </w:r>
      <w:r w:rsidR="00FF3A27">
        <w:t xml:space="preserve">energetske </w:t>
      </w:r>
      <w:r w:rsidR="00FF0CF3">
        <w:t>unije</w:t>
      </w:r>
      <w:bookmarkEnd w:id="75"/>
      <w:bookmarkEnd w:id="76"/>
      <w:bookmarkEnd w:id="77"/>
    </w:p>
    <w:p w14:paraId="647FB3A9" w14:textId="77777777" w:rsidR="00FF0CF3" w:rsidRPr="00816CF6" w:rsidRDefault="00FF0CF3" w:rsidP="00725326">
      <w:pPr>
        <w:shd w:val="clear" w:color="auto" w:fill="DEEAF6" w:themeFill="accent1" w:themeFillTint="33"/>
        <w:rPr>
          <w:i/>
        </w:rPr>
      </w:pPr>
      <w:r w:rsidRPr="00816CF6">
        <w:rPr>
          <w:i/>
        </w:rPr>
        <w:t xml:space="preserve">Dimenzija </w:t>
      </w:r>
      <w:r>
        <w:rPr>
          <w:i/>
        </w:rPr>
        <w:t>„Dekarbonizacija“</w:t>
      </w:r>
    </w:p>
    <w:p w14:paraId="52409D63" w14:textId="15EA21F9" w:rsidR="00634B7C" w:rsidRDefault="009D2674" w:rsidP="00FF0CF3">
      <w:r>
        <w:t xml:space="preserve">Dimenzija „Dekarbonizacija“ ima dva </w:t>
      </w:r>
      <w:r w:rsidR="001D6358">
        <w:t>ključna elementa</w:t>
      </w:r>
    </w:p>
    <w:p w14:paraId="6136FE00" w14:textId="1FFDD4DD" w:rsidR="001D6358" w:rsidRDefault="001D6358" w:rsidP="00840E2E">
      <w:pPr>
        <w:pStyle w:val="ListParagraph"/>
        <w:numPr>
          <w:ilvl w:val="0"/>
          <w:numId w:val="16"/>
        </w:numPr>
      </w:pPr>
      <w:r>
        <w:t>emisije i uklanjanje emisija;</w:t>
      </w:r>
    </w:p>
    <w:p w14:paraId="67DBD6BC" w14:textId="540FB2B0" w:rsidR="001D6358" w:rsidRDefault="00F571F6" w:rsidP="00840E2E">
      <w:pPr>
        <w:pStyle w:val="ListParagraph"/>
        <w:numPr>
          <w:ilvl w:val="0"/>
          <w:numId w:val="16"/>
        </w:numPr>
      </w:pPr>
      <w:r>
        <w:t>obnovljivi izvori energije (</w:t>
      </w:r>
      <w:r w:rsidR="007F7ADA">
        <w:t>OIE</w:t>
      </w:r>
      <w:r>
        <w:t>)</w:t>
      </w:r>
      <w:r w:rsidR="001D6358">
        <w:t>.</w:t>
      </w:r>
    </w:p>
    <w:p w14:paraId="2EC5276C" w14:textId="78358F94" w:rsidR="00FF0CF3" w:rsidRDefault="00FF0CF3" w:rsidP="007145ED">
      <w:r w:rsidRPr="0057687A">
        <w:t xml:space="preserve">Pitanje klimatskih promjena na globalnom planu rješava se </w:t>
      </w:r>
      <w:r w:rsidRPr="00223709">
        <w:rPr>
          <w:i/>
          <w:iCs/>
        </w:rPr>
        <w:t>Okvirnom konvencijom Ujedinjenih naroda o promjeni klime (UNFCCC)</w:t>
      </w:r>
      <w:r w:rsidRPr="0057687A">
        <w:t>.</w:t>
      </w:r>
      <w:r>
        <w:t xml:space="preserve"> Republika Hrvatska postala je stranka Okvirne konvencije UN-a o promjeni klime (UNFCCC) 1996. godine, donošenjem Zakona o njezinom potvrđivanju u Hrvatskom saboru (Međunarodni ugovori, </w:t>
      </w:r>
      <w:r w:rsidR="00601778">
        <w:t xml:space="preserve">NN </w:t>
      </w:r>
      <w:r>
        <w:t xml:space="preserve">2/96). </w:t>
      </w:r>
      <w:r w:rsidR="000E6972">
        <w:t>Republika Hrvatska je stranka Kyotskog protokola</w:t>
      </w:r>
      <w:r w:rsidR="00A70748">
        <w:t xml:space="preserve"> temeljem</w:t>
      </w:r>
      <w:r w:rsidR="000E6972">
        <w:t xml:space="preserve"> Zakon</w:t>
      </w:r>
      <w:r w:rsidR="00A70748">
        <w:t>a</w:t>
      </w:r>
      <w:r w:rsidR="000E6972">
        <w:t xml:space="preserve"> o potvrđivanju Kyotskog protokola uz Okvirnu konvenciju Ujedinjenih naroda o promjeni klime (Međunarodni ugovori NN 5/07)</w:t>
      </w:r>
      <w:r w:rsidR="00A70748">
        <w:t xml:space="preserve"> i</w:t>
      </w:r>
      <w:r w:rsidR="000E6972">
        <w:t xml:space="preserve"> Zakon</w:t>
      </w:r>
      <w:r w:rsidR="00A70748">
        <w:t>a</w:t>
      </w:r>
      <w:r w:rsidR="000E6972">
        <w:t xml:space="preserve"> o potvrđivanju Izmjene iz Dohe Kyotskog protokola (Međunarodni ugovori, NN 6/15</w:t>
      </w:r>
      <w:r w:rsidR="00593F2D">
        <w:t>)</w:t>
      </w:r>
      <w:r w:rsidR="000E6972">
        <w:t xml:space="preserve"> </w:t>
      </w:r>
      <w:r w:rsidR="00A70748">
        <w:t>te</w:t>
      </w:r>
      <w:r w:rsidR="000E6972">
        <w:t xml:space="preserve"> Pariškog sporazuma</w:t>
      </w:r>
      <w:r w:rsidR="0049025A">
        <w:t>, temeljem</w:t>
      </w:r>
      <w:r w:rsidR="000E6972">
        <w:t xml:space="preserve"> Zakon</w:t>
      </w:r>
      <w:r w:rsidR="0049025A">
        <w:t>a</w:t>
      </w:r>
      <w:r w:rsidR="000E6972">
        <w:t xml:space="preserve"> o potvrđivanju Pariškog sporazuma (Međunarodni ugovori NN 3/17). </w:t>
      </w:r>
      <w:r w:rsidR="004C54F3">
        <w:t>Najvažniji p</w:t>
      </w:r>
      <w:r>
        <w:t>ropis Republike Hrvatske kojim se uređuje područje klimatskih promjena</w:t>
      </w:r>
      <w:r w:rsidR="004C54F3">
        <w:t xml:space="preserve"> je</w:t>
      </w:r>
      <w:r w:rsidR="009D2674">
        <w:t xml:space="preserve"> </w:t>
      </w:r>
      <w:r>
        <w:t>Zakon o zaštiti zraka (</w:t>
      </w:r>
      <w:r w:rsidR="004B2CEF" w:rsidRPr="004B2CEF">
        <w:t>NN 130/11, 47/14, 61/17</w:t>
      </w:r>
      <w:r w:rsidR="00CF0E3E">
        <w:t>, 118/18</w:t>
      </w:r>
      <w:r w:rsidR="004B2CEF">
        <w:t>).</w:t>
      </w:r>
    </w:p>
    <w:p w14:paraId="1F040C65" w14:textId="39D222FE" w:rsidR="00D71B5A" w:rsidRDefault="00D71B5A" w:rsidP="00D71B5A">
      <w:r>
        <w:t xml:space="preserve">Tijekom 2018. godine usvojeno je niz novih EU </w:t>
      </w:r>
      <w:r w:rsidR="0049025A">
        <w:t>propisa</w:t>
      </w:r>
      <w:r>
        <w:t xml:space="preserve">, kojima se uređuje ili restrukturira područje klimatskih promjena. To je razlog zašto se pristupilo donošenju posebnog Zakona o klimatskim promjenama i zaštiti ozonskog sloja, koji je </w:t>
      </w:r>
      <w:r w:rsidR="009E4539">
        <w:t xml:space="preserve">u </w:t>
      </w:r>
      <w:r>
        <w:t>proceduri usvajanja u Hrvatskom saboru prošao prvo čitanje.</w:t>
      </w:r>
    </w:p>
    <w:p w14:paraId="563598EE" w14:textId="43904C23" w:rsidR="00892A72" w:rsidRPr="0057687A" w:rsidRDefault="00892A72" w:rsidP="007145ED">
      <w:pPr>
        <w:suppressAutoHyphens w:val="0"/>
        <w:spacing w:after="160" w:line="259" w:lineRule="auto"/>
        <w:contextualSpacing/>
      </w:pPr>
      <w:r>
        <w:t xml:space="preserve">Republika Hrvatska kao Stranka Okvirne konvencije UN-a o promjeni klime </w:t>
      </w:r>
      <w:r w:rsidR="00536D73">
        <w:t>(</w:t>
      </w:r>
      <w:r>
        <w:t>UNFCCC</w:t>
      </w:r>
      <w:r w:rsidR="00536D73">
        <w:t>)</w:t>
      </w:r>
      <w:r>
        <w:t xml:space="preserve"> svake četiri godine </w:t>
      </w:r>
      <w:r w:rsidR="009D2674">
        <w:t xml:space="preserve">izrađuje i dostavlja </w:t>
      </w:r>
      <w:r>
        <w:t xml:space="preserve">nacionalno izvješće o promjeni klime kojim izvještava o provedbi obveza Konvencije. </w:t>
      </w:r>
      <w:r w:rsidR="009D2674">
        <w:t xml:space="preserve">Najnovije izvješće je Sedmo nacionalno izvješće i treće dvogodišnje izvješće </w:t>
      </w:r>
      <w:r w:rsidR="009D2674" w:rsidRPr="00B4224E">
        <w:t>Republike Hrvatske prema Okvirnoj konvenciji Ujedinjenih Naroda o promjeni klime (UNFCCC) [</w:t>
      </w:r>
      <w:r w:rsidR="00E00C7D" w:rsidRPr="007145ED">
        <w:fldChar w:fldCharType="begin"/>
      </w:r>
      <w:r w:rsidR="00E00C7D" w:rsidRPr="007145ED">
        <w:instrText xml:space="preserve"> REF _Ref531604343 \r \h </w:instrText>
      </w:r>
      <w:r w:rsidR="00E00C7D">
        <w:instrText xml:space="preserve"> \* MERGEFORMAT </w:instrText>
      </w:r>
      <w:r w:rsidR="00E00C7D" w:rsidRPr="007145ED">
        <w:fldChar w:fldCharType="separate"/>
      </w:r>
      <w:r w:rsidR="00154150">
        <w:t>1</w:t>
      </w:r>
      <w:r w:rsidR="00E00C7D" w:rsidRPr="007145ED">
        <w:fldChar w:fldCharType="end"/>
      </w:r>
      <w:r w:rsidR="009D2674" w:rsidRPr="00B4224E">
        <w:t>].</w:t>
      </w:r>
    </w:p>
    <w:p w14:paraId="4E949D0C" w14:textId="65C9BE7E" w:rsidR="00FF0CF3" w:rsidRDefault="00892A72" w:rsidP="001D6358">
      <w:r w:rsidRPr="00892A72">
        <w:t xml:space="preserve">Kao stranka Kyotskog protokola Republika Hrvatska je uspostavila nacionalni sustav za praćenje emisija stakleničkih plinova u državi </w:t>
      </w:r>
      <w:r w:rsidRPr="004B2CEF">
        <w:t xml:space="preserve">te </w:t>
      </w:r>
      <w:r w:rsidRPr="007145ED">
        <w:t>na godišnjoj osnovi</w:t>
      </w:r>
      <w:r w:rsidRPr="004B2CEF">
        <w:t xml:space="preserve"> izrađuje Izvješće</w:t>
      </w:r>
      <w:r w:rsidRPr="00892A72">
        <w:t xml:space="preserve"> o emisijama stakleničkih plinova i dostavlja ga u tajništvo UNFCCC (do 15. travnja tekuće godine) i Europsk</w:t>
      </w:r>
      <w:r w:rsidR="008612FD">
        <w:t>oj</w:t>
      </w:r>
      <w:r w:rsidRPr="00892A72">
        <w:t xml:space="preserve"> Komisij</w:t>
      </w:r>
      <w:r w:rsidR="008612FD">
        <w:t>i</w:t>
      </w:r>
      <w:r w:rsidRPr="00892A72">
        <w:t xml:space="preserve"> (do 15. siječnja tekuće godine).</w:t>
      </w:r>
      <w:r w:rsidR="009D2674">
        <w:t xml:space="preserve"> Najnovije </w:t>
      </w:r>
      <w:r w:rsidR="001D6358">
        <w:t>Izvješće o inventaru stakleničkih plinova na području Republike Hrvatske za razdoblje 1990.-</w:t>
      </w:r>
      <w:r w:rsidR="006E56E0">
        <w:t>2017</w:t>
      </w:r>
      <w:r w:rsidR="001D6358">
        <w:t xml:space="preserve">. objavljeno je </w:t>
      </w:r>
      <w:r w:rsidR="006E56E0" w:rsidRPr="00B4224E">
        <w:t>201</w:t>
      </w:r>
      <w:r w:rsidR="006E56E0">
        <w:t>9</w:t>
      </w:r>
      <w:r w:rsidR="001D6358" w:rsidRPr="00B4224E">
        <w:t>. godine [</w:t>
      </w:r>
      <w:r w:rsidR="00E00C7D" w:rsidRPr="007145ED">
        <w:fldChar w:fldCharType="begin"/>
      </w:r>
      <w:r w:rsidR="00E00C7D" w:rsidRPr="007145ED">
        <w:instrText xml:space="preserve"> REF _Ref531604458 \r \h </w:instrText>
      </w:r>
      <w:r w:rsidR="00E00C7D">
        <w:instrText xml:space="preserve"> \* MERGEFORMAT </w:instrText>
      </w:r>
      <w:r w:rsidR="00E00C7D" w:rsidRPr="007145ED">
        <w:fldChar w:fldCharType="separate"/>
      </w:r>
      <w:r w:rsidR="00154150">
        <w:t>11</w:t>
      </w:r>
      <w:r w:rsidR="00E00C7D" w:rsidRPr="007145ED">
        <w:fldChar w:fldCharType="end"/>
      </w:r>
      <w:r w:rsidR="001D6358" w:rsidRPr="00B4224E">
        <w:t>].</w:t>
      </w:r>
    </w:p>
    <w:p w14:paraId="19B7926F" w14:textId="77777777" w:rsidR="004527B9" w:rsidRDefault="004527B9" w:rsidP="004527B9">
      <w:r>
        <w:t>Osim navedenih konvencija, k</w:t>
      </w:r>
      <w:r w:rsidRPr="00BE1ECD">
        <w:t>ljučni zakoni relevantni za dimenziju</w:t>
      </w:r>
      <w:r>
        <w:t xml:space="preserve"> Dekarbonizacija su:</w:t>
      </w:r>
    </w:p>
    <w:p w14:paraId="3279723C" w14:textId="77777777" w:rsidR="004527B9" w:rsidRDefault="004527B9" w:rsidP="00840E2E">
      <w:pPr>
        <w:pStyle w:val="ListParagraph"/>
        <w:numPr>
          <w:ilvl w:val="0"/>
          <w:numId w:val="44"/>
        </w:numPr>
      </w:pPr>
      <w:r>
        <w:lastRenderedPageBreak/>
        <w:t xml:space="preserve">Zakon o zaštiti okoliša (NN </w:t>
      </w:r>
      <w:r w:rsidRPr="003F3194">
        <w:t>80/13, 153/13, 78/15, 12/18, 118/18</w:t>
      </w:r>
      <w:r>
        <w:t>),</w:t>
      </w:r>
    </w:p>
    <w:p w14:paraId="78202D54" w14:textId="77777777" w:rsidR="004527B9" w:rsidRDefault="004527B9" w:rsidP="00840E2E">
      <w:pPr>
        <w:pStyle w:val="ListParagraph"/>
        <w:numPr>
          <w:ilvl w:val="0"/>
          <w:numId w:val="44"/>
        </w:numPr>
      </w:pPr>
      <w:r>
        <w:t xml:space="preserve">Zakon o zaštiti zraka (NN </w:t>
      </w:r>
      <w:r w:rsidRPr="003F3194">
        <w:t>130/11, 47/14, 61/17, 118/18</w:t>
      </w:r>
      <w:r>
        <w:t>),</w:t>
      </w:r>
    </w:p>
    <w:p w14:paraId="0577DEF0" w14:textId="4D95386C" w:rsidR="004527B9" w:rsidRDefault="004527B9" w:rsidP="00840E2E">
      <w:pPr>
        <w:pStyle w:val="ListParagraph"/>
        <w:numPr>
          <w:ilvl w:val="0"/>
          <w:numId w:val="44"/>
        </w:numPr>
      </w:pPr>
      <w:r w:rsidRPr="00D51A4E">
        <w:t>Zakon o uspostavi infrastrukture za alternativna goriva (NN 120/16)</w:t>
      </w:r>
      <w:r>
        <w:t>,</w:t>
      </w:r>
    </w:p>
    <w:p w14:paraId="62B0548F" w14:textId="70A27261" w:rsidR="004527B9" w:rsidRDefault="004527B9" w:rsidP="00840E2E">
      <w:pPr>
        <w:pStyle w:val="ListParagraph"/>
        <w:numPr>
          <w:ilvl w:val="0"/>
          <w:numId w:val="44"/>
        </w:numPr>
      </w:pPr>
      <w:r>
        <w:t xml:space="preserve">Zakon o energiji (NN </w:t>
      </w:r>
      <w:r w:rsidRPr="00551075">
        <w:t>120/12, 14/14,</w:t>
      </w:r>
      <w:r w:rsidR="00EB1290">
        <w:t xml:space="preserve"> 95/15,</w:t>
      </w:r>
      <w:r w:rsidRPr="00551075">
        <w:t xml:space="preserve"> 102/15,68/18</w:t>
      </w:r>
      <w:r>
        <w:t>),</w:t>
      </w:r>
    </w:p>
    <w:p w14:paraId="21A8D4B5" w14:textId="230AE9B4" w:rsidR="004527B9" w:rsidRDefault="004527B9" w:rsidP="00840E2E">
      <w:pPr>
        <w:pStyle w:val="ListParagraph"/>
        <w:numPr>
          <w:ilvl w:val="0"/>
          <w:numId w:val="44"/>
        </w:numPr>
      </w:pPr>
      <w:r w:rsidRPr="00551075">
        <w:t xml:space="preserve">Zakon o </w:t>
      </w:r>
      <w:r>
        <w:t xml:space="preserve">tržištu električne energije (NN </w:t>
      </w:r>
      <w:r w:rsidRPr="003F3194">
        <w:t>22/13,102/15,</w:t>
      </w:r>
      <w:r w:rsidR="00E223DA">
        <w:t xml:space="preserve"> </w:t>
      </w:r>
      <w:r w:rsidRPr="003F3194">
        <w:t>68/18</w:t>
      </w:r>
      <w:r>
        <w:t>),</w:t>
      </w:r>
    </w:p>
    <w:p w14:paraId="64F4E6AA" w14:textId="77777777" w:rsidR="004527B9" w:rsidRDefault="004527B9" w:rsidP="00840E2E">
      <w:pPr>
        <w:pStyle w:val="ListParagraph"/>
        <w:numPr>
          <w:ilvl w:val="0"/>
          <w:numId w:val="44"/>
        </w:numPr>
      </w:pPr>
      <w:r w:rsidRPr="00551075">
        <w:t>Zakon o Fondu za zaštitu oko</w:t>
      </w:r>
      <w:r>
        <w:t xml:space="preserve">liša i energetsku učinkovitost (NN </w:t>
      </w:r>
      <w:r w:rsidRPr="003F3194">
        <w:t>107/03, 144/12</w:t>
      </w:r>
      <w:r>
        <w:t>),</w:t>
      </w:r>
    </w:p>
    <w:p w14:paraId="2241E977" w14:textId="712900B0" w:rsidR="004527B9" w:rsidRDefault="004527B9" w:rsidP="00840E2E">
      <w:pPr>
        <w:pStyle w:val="ListParagraph"/>
        <w:numPr>
          <w:ilvl w:val="0"/>
          <w:numId w:val="44"/>
        </w:numPr>
      </w:pPr>
      <w:r w:rsidRPr="00551075">
        <w:t>Zakon o OIE i visoko</w:t>
      </w:r>
      <w:r>
        <w:t xml:space="preserve">učinkovitoj kogeneraciji (VUK) (NN </w:t>
      </w:r>
      <w:r w:rsidRPr="003F3194">
        <w:t>100/15, 111/18</w:t>
      </w:r>
      <w:r>
        <w:t>),</w:t>
      </w:r>
    </w:p>
    <w:p w14:paraId="4D0C6529" w14:textId="31D2573E" w:rsidR="003D36EA" w:rsidRDefault="003D36EA" w:rsidP="00840E2E">
      <w:pPr>
        <w:pStyle w:val="ListParagraph"/>
        <w:numPr>
          <w:ilvl w:val="0"/>
          <w:numId w:val="44"/>
        </w:numPr>
      </w:pPr>
      <w:r w:rsidRPr="003D36EA">
        <w:t>Zakon o biogorivima za prijevoz (NN 65/09, 145/10, 26/11, 144/12, 14/14</w:t>
      </w:r>
      <w:r>
        <w:t>,</w:t>
      </w:r>
      <w:r w:rsidRPr="003D36EA">
        <w:t xml:space="preserve"> 94/18)</w:t>
      </w:r>
      <w:r>
        <w:t>,</w:t>
      </w:r>
    </w:p>
    <w:p w14:paraId="55A64EAC" w14:textId="77777777" w:rsidR="004527B9" w:rsidRPr="00551075" w:rsidRDefault="004527B9" w:rsidP="00840E2E">
      <w:pPr>
        <w:pStyle w:val="ListParagraph"/>
        <w:numPr>
          <w:ilvl w:val="0"/>
          <w:numId w:val="44"/>
        </w:numPr>
      </w:pPr>
      <w:r w:rsidRPr="00551075">
        <w:t>podzakonski akti za provedbu tih zakona.</w:t>
      </w:r>
    </w:p>
    <w:p w14:paraId="0209EEC3" w14:textId="7B15CEDD" w:rsidR="00222E54" w:rsidRDefault="00262E76" w:rsidP="009C30B5">
      <w:r>
        <w:t xml:space="preserve">U </w:t>
      </w:r>
      <w:r w:rsidRPr="00D920C6">
        <w:rPr>
          <w:b/>
        </w:rPr>
        <w:t>sektoru zgradarstva</w:t>
      </w:r>
      <w:r>
        <w:rPr>
          <w:b/>
        </w:rPr>
        <w:t xml:space="preserve">, </w:t>
      </w:r>
      <w:r>
        <w:t>Republika Hrvatska</w:t>
      </w:r>
      <w:r w:rsidR="00223B7C">
        <w:t xml:space="preserve"> snažno se opredijelila za ostvarivanje energetski visokoučinkovitog i dekarboniziranog </w:t>
      </w:r>
      <w:r w:rsidR="00221899">
        <w:t>fonda zgrada do 2050. godine. S ciljem mobilizacije svih dionika</w:t>
      </w:r>
      <w:r w:rsidR="0065038E">
        <w:t xml:space="preserve"> u procesu građenja i obnavljanja zgrada za postizanje </w:t>
      </w:r>
      <w:r w:rsidR="00556DB3">
        <w:t xml:space="preserve">dugoročnog cilja </w:t>
      </w:r>
      <w:r w:rsidR="0092049D">
        <w:t>smanjenja emisija CO</w:t>
      </w:r>
      <w:r w:rsidR="0092049D" w:rsidRPr="00D920C6">
        <w:rPr>
          <w:vertAlign w:val="subscript"/>
        </w:rPr>
        <w:t>2</w:t>
      </w:r>
      <w:r w:rsidR="0092049D">
        <w:t xml:space="preserve"> iz sektora zgradarstva od 80% do kraja 2050. godine, </w:t>
      </w:r>
      <w:r w:rsidR="00093174">
        <w:t xml:space="preserve">Ministarstvo graditeljstva i prostornoga uređenja iniciralo je </w:t>
      </w:r>
      <w:r w:rsidR="00093174" w:rsidRPr="00594C11">
        <w:t>Povelj</w:t>
      </w:r>
      <w:r w:rsidR="00093174">
        <w:t>u</w:t>
      </w:r>
      <w:r w:rsidR="00093174" w:rsidRPr="00594C11">
        <w:t xml:space="preserve"> o suradnji u cilju dekarbonizacije zgrada do 2050.</w:t>
      </w:r>
      <w:r w:rsidR="00093174">
        <w:t xml:space="preserve"> Sadržaj povelje odnosi se na postizanje energetskih i klimatskih ciljeva na nacionalnoj i EU razini kroz dekarbonizaciju fonda zgrada, obnovom zgrada i građenjem zgrada gotovo nulte energije, čime se ističe važnost dodatnog smanjenja emisija stakleničkih plinova, povećanja udjela obnovljivih izvora energije, poboljšanja energetske sigurnosti te uvođenja inovacija i pametnih tehnologija koje omogućuju zgradama da potpomognu sveukupnu dekarbonizaciju gospodarstva. Potpisivanjem povelje potiče se kontinuirana suradnja na izradi Dugoročne strategije obnove nacionalnog fonda zgrada i prelazak na standard gradnje zgrada gotovo nulte energije (nZEB). </w:t>
      </w:r>
    </w:p>
    <w:p w14:paraId="45BDF7D8" w14:textId="4B1B2431" w:rsidR="007822E6" w:rsidRPr="00262E76" w:rsidRDefault="00093174" w:rsidP="009C30B5">
      <w:r>
        <w:t>Potpisnici Povelje pružaju potporu te promiču dekarbonizaciju zgrada u svojim daljnjim aktivnostima, gdje god je to moguće. Do kraja listopada 2019. godine povelju je potpisalo oko 50 dionika iz poslovnog i javnog sektora</w:t>
      </w:r>
      <w:r>
        <w:rPr>
          <w:rStyle w:val="FootnoteReference"/>
        </w:rPr>
        <w:footnoteReference w:id="6"/>
      </w:r>
      <w:r>
        <w:t>.</w:t>
      </w:r>
      <w:r w:rsidR="00622DB1">
        <w:t xml:space="preserve"> </w:t>
      </w:r>
    </w:p>
    <w:p w14:paraId="3F008DF2" w14:textId="7F5046ED" w:rsidR="003C4085" w:rsidRDefault="003C4085" w:rsidP="009C30B5">
      <w:r w:rsidRPr="001A3870">
        <w:t xml:space="preserve">U </w:t>
      </w:r>
      <w:r w:rsidRPr="007145ED">
        <w:rPr>
          <w:b/>
        </w:rPr>
        <w:t>sektoru prometa</w:t>
      </w:r>
      <w:r w:rsidRPr="001A3870">
        <w:t xml:space="preserve">, udio vozila s pogonom na alternativna goriva je još uvijek relativno mali (manji od </w:t>
      </w:r>
      <w:r w:rsidR="00901345">
        <w:t>3</w:t>
      </w:r>
      <w:r w:rsidRPr="001A3870">
        <w:t xml:space="preserve"> posto). Republika Hrvatska je u prosincu 2016. godine </w:t>
      </w:r>
      <w:r w:rsidRPr="00223709">
        <w:rPr>
          <w:i/>
          <w:iCs/>
        </w:rPr>
        <w:t>Zakonom o uspostavi infrastrukture za alternativna goriva (NN 120/16)</w:t>
      </w:r>
      <w:r w:rsidRPr="001A3870">
        <w:t xml:space="preserve"> u pravni poredak prenijela odredbe Direktive 2014/94/EU Europskog parlamenta i Vijeća od 22. listopada 2014. </w:t>
      </w:r>
      <w:r w:rsidR="00FC73A4">
        <w:t xml:space="preserve">godine </w:t>
      </w:r>
      <w:r w:rsidRPr="001A3870">
        <w:t xml:space="preserve">o uspostavi infrastrukture za alternativna goriva u onom dijelu koji se odnosi na državu članicu. Sukladno Zakonu, zajednički okvir mjera za razvoj tržišta u pogledu alternativnih goriva u prometnom sektoru i za postavljanje odgovarajuće infrastrukture određuje se </w:t>
      </w:r>
      <w:r w:rsidRPr="00223709">
        <w:rPr>
          <w:i/>
          <w:iCs/>
        </w:rPr>
        <w:t>Nacionalnim okvirom politike</w:t>
      </w:r>
      <w:r w:rsidR="007F7ADA" w:rsidRPr="00223709">
        <w:rPr>
          <w:i/>
          <w:iCs/>
        </w:rPr>
        <w:t xml:space="preserve"> za uspostavu infrastrukture za alternativna goriva Republike Hrvatske</w:t>
      </w:r>
      <w:r w:rsidRPr="00223709">
        <w:rPr>
          <w:i/>
          <w:iCs/>
        </w:rPr>
        <w:t xml:space="preserve"> (NOP)</w:t>
      </w:r>
      <w:r w:rsidRPr="001A3870">
        <w:t xml:space="preserve">, koji je u Hrvatskoj donesen u 2017. godini (NN 34/17). NOP-om su utvrđeni minimalni ciljevi za izgradnju infrastrukture za alternativna goriva, uključujući mjesta za punjenje, zajedničke tehničke specifikacije za mjesta za punjenje i opskrbu, zahtjevi za informiranje korisnika, kao i </w:t>
      </w:r>
      <w:r w:rsidRPr="001A3870">
        <w:lastRenderedPageBreak/>
        <w:t xml:space="preserve">mjere potrebne za ostvarivanje nacionalnih ciljeva. Na sva ostala pitanja uspostave infrastrukture za alternativna goriva koja nisu uređena ovim Zakonom, odnosno NOP-om, primjenjuju se propisi kojima se uređuje područje prometne infrastrukture, područje prostornog uređenja, područje infrastrukture prostornih podataka, područje gradnje, područje energetike, područje energetske učinkovitosti, područje zaštite okoliša, te zakoni kojima </w:t>
      </w:r>
      <w:r w:rsidR="009F4828">
        <w:t>je</w:t>
      </w:r>
      <w:r w:rsidRPr="001A3870">
        <w:t xml:space="preserve"> osnovan i koji određuju djelokrug Fonda za zaštitu okoliša i energetsku učinkovitost.</w:t>
      </w:r>
    </w:p>
    <w:p w14:paraId="5D3A641A" w14:textId="509C561E" w:rsidR="00634B7C" w:rsidRDefault="009C30B5" w:rsidP="00FF0CF3">
      <w:r w:rsidRPr="007145ED">
        <w:t xml:space="preserve">U okviru dimenzije dekarbonizacija, važnu ulogu ima </w:t>
      </w:r>
      <w:r w:rsidRPr="007145ED">
        <w:rPr>
          <w:b/>
        </w:rPr>
        <w:t>poljoprivredni sektor</w:t>
      </w:r>
      <w:r w:rsidRPr="007145ED">
        <w:t xml:space="preserve"> – kako u kontekstu vlastitih emisija, tako i u kontekstu njegov</w:t>
      </w:r>
      <w:r>
        <w:t>a</w:t>
      </w:r>
      <w:r w:rsidRPr="007145ED">
        <w:t xml:space="preserve"> doprinosa korištenju obnovljivih izvora. </w:t>
      </w:r>
      <w:r w:rsidRPr="00223709">
        <w:rPr>
          <w:i/>
          <w:iCs/>
        </w:rPr>
        <w:t>Program ruralnog razvoja Republike Hrvatske za razdoblje 2014. –2020.</w:t>
      </w:r>
      <w:r w:rsidR="005E3C10">
        <w:t xml:space="preserve"> [</w:t>
      </w:r>
      <w:r w:rsidR="005E3C10">
        <w:fldChar w:fldCharType="begin"/>
      </w:r>
      <w:r w:rsidR="005E3C10">
        <w:instrText xml:space="preserve"> REF _Ref531607463 \r \h </w:instrText>
      </w:r>
      <w:r w:rsidR="005E3C10">
        <w:fldChar w:fldCharType="separate"/>
      </w:r>
      <w:r w:rsidR="00154150">
        <w:t>12</w:t>
      </w:r>
      <w:r w:rsidR="005E3C10">
        <w:fldChar w:fldCharType="end"/>
      </w:r>
      <w:r w:rsidR="005E3C10">
        <w:t>]</w:t>
      </w:r>
      <w:r w:rsidRPr="009C30B5">
        <w:t>, definira prioritete i područja intervencije, izbor relevantnih mjera i dodjelu financijskih sredstava na temelju očekivanih ishoda. Jedan od ciljeva Programa je i učinkovito korištenje resursa i</w:t>
      </w:r>
      <w:r w:rsidR="00DB61FC">
        <w:t xml:space="preserve"> jačanje</w:t>
      </w:r>
      <w:r w:rsidRPr="009C30B5">
        <w:t xml:space="preserve"> otpornost</w:t>
      </w:r>
      <w:r w:rsidR="00DB61FC">
        <w:t>i</w:t>
      </w:r>
      <w:r w:rsidRPr="009C30B5">
        <w:t xml:space="preserve"> na klimatske promjene u poljoprivredi, prehrambeno-prerađivačkoj industriji i šumarstvu, gdje se naglašava kako je proizvodnja energije OIE iz navedenih sektora prioritet za razvoj bio</w:t>
      </w:r>
      <w:r w:rsidR="00677C35">
        <w:t>gospodarstva</w:t>
      </w:r>
      <w:r w:rsidRPr="009C30B5">
        <w:t xml:space="preserve"> i smanjenje stakleničkih plinova do 2020. </w:t>
      </w:r>
      <w:r w:rsidR="00A60FB2">
        <w:t xml:space="preserve">godine. </w:t>
      </w:r>
      <w:r w:rsidRPr="009C30B5">
        <w:t>Nadalje, ističe se značaj korištenja drvne biomase, biomase iz poljoprivrede te solarne energije u poljoprivredi i prehrambeno-prerađivačkoj industriji</w:t>
      </w:r>
      <w:r w:rsidR="003220D3">
        <w:t>.</w:t>
      </w:r>
      <w:r w:rsidR="00386A47">
        <w:t xml:space="preserve"> </w:t>
      </w:r>
      <w:r w:rsidR="00634B7C">
        <w:t xml:space="preserve">Trenutne mjere koje se odnose na dimenziju Dekarbonizacija prikazuje </w:t>
      </w:r>
      <w:r w:rsidR="003D7C3D">
        <w:fldChar w:fldCharType="begin"/>
      </w:r>
      <w:r w:rsidR="003D7C3D">
        <w:instrText xml:space="preserve"> REF _Ref531512768 \h </w:instrText>
      </w:r>
      <w:r w:rsidR="003D7C3D">
        <w:fldChar w:fldCharType="separate"/>
      </w:r>
      <w:r w:rsidR="00154150">
        <w:t xml:space="preserve">Tablica </w:t>
      </w:r>
      <w:r w:rsidR="00154150">
        <w:rPr>
          <w:noProof/>
        </w:rPr>
        <w:t>1</w:t>
      </w:r>
      <w:r w:rsidR="00154150">
        <w:t>–</w:t>
      </w:r>
      <w:r w:rsidR="00154150">
        <w:rPr>
          <w:noProof/>
        </w:rPr>
        <w:t>4</w:t>
      </w:r>
      <w:r w:rsidR="003D7C3D">
        <w:fldChar w:fldCharType="end"/>
      </w:r>
      <w:r w:rsidR="00634B7C">
        <w:t>.</w:t>
      </w:r>
      <w:r w:rsidR="00EE1DD4">
        <w:t xml:space="preserve"> </w:t>
      </w:r>
      <w:r w:rsidR="003D7C3D">
        <w:t>U</w:t>
      </w:r>
      <w:r w:rsidR="00EE1DD4" w:rsidRPr="00EE1DD4">
        <w:t xml:space="preserve">z naziv </w:t>
      </w:r>
      <w:r w:rsidR="00EE1DD4" w:rsidRPr="00B4224E">
        <w:t xml:space="preserve">svake mjere naveden </w:t>
      </w:r>
      <w:r w:rsidR="003D7C3D" w:rsidRPr="007145ED">
        <w:t>je</w:t>
      </w:r>
      <w:r w:rsidR="00EE1DD4" w:rsidRPr="00B4224E">
        <w:t xml:space="preserve"> dokument kojim je mjera usvojena.</w:t>
      </w:r>
    </w:p>
    <w:p w14:paraId="777A428D" w14:textId="09D067C8" w:rsidR="00634B7C" w:rsidRDefault="00EE1DD4">
      <w:pPr>
        <w:pStyle w:val="Caption"/>
        <w:keepNext/>
      </w:pPr>
      <w:bookmarkStart w:id="78" w:name="_Ref531512768"/>
      <w:bookmarkStart w:id="79" w:name="_Toc27396196"/>
      <w:r>
        <w:t xml:space="preserve">Tablica </w:t>
      </w:r>
      <w:fldSimple w:instr=" STYLEREF 1 \s ">
        <w:r w:rsidR="00154150">
          <w:rPr>
            <w:noProof/>
          </w:rPr>
          <w:t>1</w:t>
        </w:r>
      </w:fldSimple>
      <w:r w:rsidR="00562DF0">
        <w:t>–</w:t>
      </w:r>
      <w:fldSimple w:instr=" SEQ Tablica \* ARABIC \s 1 ">
        <w:r w:rsidR="00154150">
          <w:rPr>
            <w:noProof/>
          </w:rPr>
          <w:t>4</w:t>
        </w:r>
      </w:fldSimple>
      <w:bookmarkStart w:id="80" w:name="_Hlk531607566"/>
      <w:bookmarkEnd w:id="78"/>
      <w:r w:rsidR="00F458D6">
        <w:t>.:</w:t>
      </w:r>
      <w:r w:rsidR="00A87274">
        <w:rPr>
          <w:noProof/>
        </w:rPr>
        <w:t xml:space="preserve"> </w:t>
      </w:r>
      <w:r>
        <w:t>Trenutne mjere unutar dimenzije „dekarbonizacija“</w:t>
      </w:r>
      <w:bookmarkEnd w:id="79"/>
      <w:bookmarkEnd w:id="80"/>
    </w:p>
    <w:tbl>
      <w:tblPr>
        <w:tblStyle w:val="Svijetlatablicareetke11"/>
        <w:tblW w:w="5000" w:type="pct"/>
        <w:tblLook w:val="04A0" w:firstRow="1" w:lastRow="0" w:firstColumn="1" w:lastColumn="0" w:noHBand="0" w:noVBand="1"/>
      </w:tblPr>
      <w:tblGrid>
        <w:gridCol w:w="2915"/>
        <w:gridCol w:w="3050"/>
        <w:gridCol w:w="3095"/>
      </w:tblGrid>
      <w:tr w:rsidR="00EE1DD4" w:rsidRPr="00EF5587" w14:paraId="1BB94DBB" w14:textId="77777777" w:rsidTr="00286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shd w:val="clear" w:color="auto" w:fill="DEEAF6" w:themeFill="accent1" w:themeFillTint="33"/>
          </w:tcPr>
          <w:p w14:paraId="779FEF31" w14:textId="77777777" w:rsidR="00EE1DD4" w:rsidRPr="00EF5587" w:rsidRDefault="00EE1DD4" w:rsidP="00A004BA">
            <w:pPr>
              <w:spacing w:before="0" w:after="0" w:line="240" w:lineRule="auto"/>
              <w:rPr>
                <w:rFonts w:cs="Arial"/>
                <w:sz w:val="20"/>
                <w:szCs w:val="20"/>
              </w:rPr>
            </w:pPr>
            <w:r w:rsidRPr="00EF5587">
              <w:rPr>
                <w:rFonts w:cs="Arial"/>
                <w:sz w:val="20"/>
                <w:szCs w:val="20"/>
              </w:rPr>
              <w:t>Naziv mjere</w:t>
            </w:r>
          </w:p>
        </w:tc>
        <w:tc>
          <w:tcPr>
            <w:tcW w:w="1683" w:type="pct"/>
            <w:shd w:val="clear" w:color="auto" w:fill="DEEAF6" w:themeFill="accent1" w:themeFillTint="33"/>
          </w:tcPr>
          <w:p w14:paraId="4DA81666" w14:textId="7D26D82B" w:rsidR="00EE1DD4" w:rsidRPr="00EF5587" w:rsidRDefault="00EE1DD4" w:rsidP="00A004BA">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w:t>
            </w:r>
            <w:r w:rsidR="00566C04">
              <w:rPr>
                <w:rFonts w:cs="Arial"/>
                <w:sz w:val="20"/>
                <w:szCs w:val="20"/>
              </w:rPr>
              <w:t>i</w:t>
            </w:r>
          </w:p>
        </w:tc>
        <w:tc>
          <w:tcPr>
            <w:tcW w:w="1708" w:type="pct"/>
            <w:shd w:val="clear" w:color="auto" w:fill="DEEAF6" w:themeFill="accent1" w:themeFillTint="33"/>
          </w:tcPr>
          <w:p w14:paraId="44701A9A" w14:textId="77777777" w:rsidR="00EE1DD4" w:rsidRPr="00EF5587" w:rsidRDefault="00EE1DD4" w:rsidP="00A004BA">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EE1DD4" w:rsidRPr="00EF5587" w14:paraId="09C5770B" w14:textId="77777777" w:rsidTr="00286B4C">
        <w:tc>
          <w:tcPr>
            <w:cnfStyle w:val="001000000000" w:firstRow="0" w:lastRow="0" w:firstColumn="1" w:lastColumn="0" w:oddVBand="0" w:evenVBand="0" w:oddHBand="0" w:evenHBand="0" w:firstRowFirstColumn="0" w:firstRowLastColumn="0" w:lastRowFirstColumn="0" w:lastRowLastColumn="0"/>
            <w:tcW w:w="0" w:type="pct"/>
            <w:gridSpan w:val="3"/>
          </w:tcPr>
          <w:p w14:paraId="2EE7B2DC" w14:textId="6168725A" w:rsidR="00EE1DD4" w:rsidRPr="00EF5587" w:rsidRDefault="00EE1DD4" w:rsidP="006B5E93">
            <w:pPr>
              <w:spacing w:before="0" w:after="0" w:line="240" w:lineRule="auto"/>
              <w:jc w:val="center"/>
              <w:rPr>
                <w:rFonts w:cs="Arial"/>
                <w:sz w:val="20"/>
                <w:szCs w:val="20"/>
              </w:rPr>
            </w:pPr>
            <w:r>
              <w:rPr>
                <w:rFonts w:cs="Arial"/>
                <w:sz w:val="20"/>
                <w:szCs w:val="20"/>
              </w:rPr>
              <w:t>Međusektorske politike i mjere</w:t>
            </w:r>
          </w:p>
        </w:tc>
      </w:tr>
      <w:tr w:rsidR="004C7FEF" w:rsidRPr="00EF5587" w14:paraId="16C22C48"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66043384" w14:textId="53EA3F19" w:rsidR="004C7FEF" w:rsidRPr="004C7FEF" w:rsidRDefault="004C7FEF" w:rsidP="004C7FEF">
            <w:pPr>
              <w:pStyle w:val="Default"/>
              <w:rPr>
                <w:b w:val="0"/>
                <w:bCs w:val="0"/>
                <w:sz w:val="20"/>
                <w:szCs w:val="20"/>
              </w:rPr>
            </w:pPr>
            <w:r w:rsidRPr="006B5E93">
              <w:rPr>
                <w:b w:val="0"/>
                <w:sz w:val="20"/>
                <w:szCs w:val="20"/>
              </w:rPr>
              <w:t>Povjerenstvo za međusektorsku koordinaciju za politiku i mjere za ublaživanje i prilagodbu klimatskim promjenama</w:t>
            </w:r>
          </w:p>
        </w:tc>
        <w:tc>
          <w:tcPr>
            <w:tcW w:w="1683" w:type="pct"/>
          </w:tcPr>
          <w:p w14:paraId="4A392977" w14:textId="5C839193" w:rsidR="004C7FEF" w:rsidRPr="004C7FEF" w:rsidRDefault="004C7FEF" w:rsidP="004C7FE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6B5E93">
              <w:rPr>
                <w:sz w:val="20"/>
                <w:szCs w:val="20"/>
              </w:rPr>
              <w:t>Zakon o zaštiti zraka (NN 130/11, 47/14, 61/17, 118/18), Odluka Vlade RH (NN 9/18)</w:t>
            </w:r>
          </w:p>
        </w:tc>
        <w:tc>
          <w:tcPr>
            <w:tcW w:w="1708" w:type="pct"/>
          </w:tcPr>
          <w:p w14:paraId="0DF8A442" w14:textId="5AFBAB43" w:rsidR="004C7FEF" w:rsidRPr="004C7FEF" w:rsidRDefault="004C7FEF" w:rsidP="004C7FEF">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6B5E93">
              <w:rPr>
                <w:sz w:val="20"/>
                <w:szCs w:val="20"/>
              </w:rPr>
              <w:t xml:space="preserve">Povjerenstvo je nadležno za praćenje i ocjenu provedbe i planiranja politike i mjera za ublažavanje i prilagodbu klimatskim promjenama u Republici Hrvatskoj. U Povjerenstvo su imenovani </w:t>
            </w:r>
            <w:r w:rsidR="00736FEF">
              <w:rPr>
                <w:sz w:val="20"/>
                <w:szCs w:val="20"/>
              </w:rPr>
              <w:t>dužnosnici iz</w:t>
            </w:r>
            <w:r w:rsidRPr="006B5E93">
              <w:rPr>
                <w:sz w:val="20"/>
                <w:szCs w:val="20"/>
              </w:rPr>
              <w:t xml:space="preserve"> nadležnih tijela državne. Sastav Povjerenstva, poslove i način rada povjerenstva određuje Vlada Republike Hrvatske na prijedlog ministarstva nadležnog za zaštitu okoliša. </w:t>
            </w:r>
          </w:p>
        </w:tc>
      </w:tr>
      <w:tr w:rsidR="00EE1DD4" w:rsidRPr="00EF5587" w14:paraId="69651A9C"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1CFF1936" w14:textId="37A39D67" w:rsidR="00EE1DD4" w:rsidRPr="007145ED" w:rsidRDefault="00F16666" w:rsidP="00A004BA">
            <w:pPr>
              <w:pStyle w:val="Default"/>
              <w:rPr>
                <w:b w:val="0"/>
                <w:sz w:val="20"/>
                <w:szCs w:val="20"/>
              </w:rPr>
            </w:pPr>
            <w:r w:rsidRPr="00F16666">
              <w:rPr>
                <w:b w:val="0"/>
                <w:sz w:val="20"/>
                <w:szCs w:val="20"/>
              </w:rPr>
              <w:t>Promicanje korištenja inovativnih informacijskih i komunikacijskih tehnologija (I</w:t>
            </w:r>
            <w:r w:rsidR="008959CD">
              <w:rPr>
                <w:b w:val="0"/>
                <w:sz w:val="20"/>
                <w:szCs w:val="20"/>
              </w:rPr>
              <w:t>K</w:t>
            </w:r>
            <w:r w:rsidRPr="00F16666">
              <w:rPr>
                <w:b w:val="0"/>
                <w:sz w:val="20"/>
                <w:szCs w:val="20"/>
              </w:rPr>
              <w:t>T) radi smanjenja emisija stakleničkih plinova</w:t>
            </w:r>
          </w:p>
        </w:tc>
        <w:tc>
          <w:tcPr>
            <w:tcW w:w="1683" w:type="pct"/>
          </w:tcPr>
          <w:p w14:paraId="0176E4F8" w14:textId="728131B1" w:rsidR="00EE1DD4" w:rsidRPr="005A25C9" w:rsidRDefault="000358CB"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w:t>
            </w:r>
            <w:r w:rsidRPr="00ED739D">
              <w:rPr>
                <w:sz w:val="20"/>
                <w:szCs w:val="20"/>
              </w:rPr>
              <w:t xml:space="preserve"> zaštite zraka, ozonskog sloja i ublažavanja klimatskih promjena u Republici Hrvatskoj za razdoblje od 2013. do 2017. godine (NN 139/13)</w:t>
            </w:r>
            <w:r w:rsidR="001749F6">
              <w:rPr>
                <w:sz w:val="20"/>
                <w:szCs w:val="20"/>
              </w:rPr>
              <w:t>]</w:t>
            </w:r>
          </w:p>
        </w:tc>
        <w:tc>
          <w:tcPr>
            <w:tcW w:w="1708" w:type="pct"/>
          </w:tcPr>
          <w:p w14:paraId="493AA1FC" w14:textId="5491EFC1" w:rsidR="00EE1DD4" w:rsidRPr="0031468F" w:rsidRDefault="0070212E"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w:t>
            </w:r>
            <w:r w:rsidRPr="0031468F">
              <w:rPr>
                <w:sz w:val="20"/>
                <w:szCs w:val="20"/>
              </w:rPr>
              <w:lastRenderedPageBreak/>
              <w:t>I</w:t>
            </w:r>
            <w:r w:rsidR="008959CD">
              <w:rPr>
                <w:sz w:val="20"/>
                <w:szCs w:val="20"/>
              </w:rPr>
              <w:t>K</w:t>
            </w:r>
            <w:r w:rsidRPr="0031468F">
              <w:rPr>
                <w:sz w:val="20"/>
                <w:szCs w:val="20"/>
              </w:rPr>
              <w:t>T i praćenje stvarnih ušteda energije te smanjenja emisija stakleničkih plinova.</w:t>
            </w:r>
          </w:p>
        </w:tc>
      </w:tr>
      <w:tr w:rsidR="00F16666" w:rsidRPr="00EF5587" w14:paraId="6299797A"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177FE9CC" w14:textId="6FD25834" w:rsidR="00F16666" w:rsidRPr="00977A99" w:rsidRDefault="00F16666" w:rsidP="00A004BA">
            <w:pPr>
              <w:pStyle w:val="Default"/>
              <w:rPr>
                <w:b w:val="0"/>
                <w:sz w:val="20"/>
                <w:szCs w:val="20"/>
              </w:rPr>
            </w:pPr>
            <w:r w:rsidRPr="00F16666">
              <w:rPr>
                <w:b w:val="0"/>
                <w:sz w:val="20"/>
                <w:szCs w:val="20"/>
              </w:rPr>
              <w:lastRenderedPageBreak/>
              <w:t>Europski sustav trgovanja emisijskim jedinicama</w:t>
            </w:r>
          </w:p>
        </w:tc>
        <w:tc>
          <w:tcPr>
            <w:tcW w:w="1683" w:type="pct"/>
          </w:tcPr>
          <w:p w14:paraId="2138ECC3" w14:textId="1E183B49" w:rsidR="00F16666" w:rsidRPr="005A25C9" w:rsidRDefault="00412098"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887BE7">
              <w:rPr>
                <w:sz w:val="20"/>
                <w:szCs w:val="20"/>
              </w:rPr>
              <w:t xml:space="preserve">Zakon o zaštiti zraka (NN 130/11, 47/14, 61/17, 118/18), </w:t>
            </w:r>
            <w:r w:rsidR="0070212E" w:rsidRPr="0070212E">
              <w:rPr>
                <w:sz w:val="20"/>
                <w:szCs w:val="20"/>
              </w:rPr>
              <w:t>Uredb</w:t>
            </w:r>
            <w:r w:rsidR="0070212E">
              <w:rPr>
                <w:sz w:val="20"/>
                <w:szCs w:val="20"/>
              </w:rPr>
              <w:t>a</w:t>
            </w:r>
            <w:r w:rsidR="0070212E" w:rsidRPr="0070212E">
              <w:rPr>
                <w:sz w:val="20"/>
                <w:szCs w:val="20"/>
              </w:rPr>
              <w:t xml:space="preserve"> o načinu trgovanja emisijskim jedinicama stakleničkih plinova (NN 69/12, 154/14)</w:t>
            </w:r>
          </w:p>
        </w:tc>
        <w:tc>
          <w:tcPr>
            <w:tcW w:w="1708" w:type="pct"/>
          </w:tcPr>
          <w:p w14:paraId="1FDFAA6A" w14:textId="272A0BE5" w:rsidR="00F16666" w:rsidRPr="0031468F" w:rsidRDefault="0070212E"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Kroz ravnomjernu raspodjelu emisijskih jedinica obveze za smanjenjem podijeljene su </w:t>
            </w:r>
            <w:r w:rsidR="001C2E8C">
              <w:rPr>
                <w:sz w:val="20"/>
                <w:szCs w:val="20"/>
              </w:rPr>
              <w:t xml:space="preserve">sudionicima </w:t>
            </w:r>
            <w:r w:rsidR="005D0166">
              <w:rPr>
                <w:sz w:val="20"/>
                <w:szCs w:val="20"/>
              </w:rPr>
              <w:t xml:space="preserve">sustava iz </w:t>
            </w:r>
            <w:r w:rsidRPr="0031468F">
              <w:rPr>
                <w:sz w:val="20"/>
                <w:szCs w:val="20"/>
              </w:rPr>
              <w:t>svi</w:t>
            </w:r>
            <w:r w:rsidR="005D0166">
              <w:rPr>
                <w:sz w:val="20"/>
                <w:szCs w:val="20"/>
              </w:rPr>
              <w:t>h</w:t>
            </w:r>
            <w:r w:rsidRPr="0031468F">
              <w:rPr>
                <w:sz w:val="20"/>
                <w:szCs w:val="20"/>
              </w:rPr>
              <w:t xml:space="preserve"> država članica s ciljem doprinosa smanjenju emisija </w:t>
            </w:r>
            <w:r w:rsidR="003B5505">
              <w:rPr>
                <w:sz w:val="20"/>
                <w:szCs w:val="20"/>
              </w:rPr>
              <w:t xml:space="preserve">na razini EU </w:t>
            </w:r>
            <w:r w:rsidRPr="0031468F">
              <w:rPr>
                <w:sz w:val="20"/>
                <w:szCs w:val="20"/>
              </w:rPr>
              <w:t xml:space="preserve">za </w:t>
            </w:r>
            <w:r w:rsidR="00A77954">
              <w:rPr>
                <w:sz w:val="20"/>
                <w:szCs w:val="20"/>
              </w:rPr>
              <w:t>najmanje 43</w:t>
            </w:r>
            <w:r w:rsidRPr="0031468F">
              <w:rPr>
                <w:sz w:val="20"/>
                <w:szCs w:val="20"/>
              </w:rPr>
              <w:t>% do 20</w:t>
            </w:r>
            <w:r w:rsidR="00A77954">
              <w:rPr>
                <w:sz w:val="20"/>
                <w:szCs w:val="20"/>
              </w:rPr>
              <w:t>3</w:t>
            </w:r>
            <w:r w:rsidRPr="0031468F">
              <w:rPr>
                <w:sz w:val="20"/>
                <w:szCs w:val="20"/>
              </w:rPr>
              <w:t>0. godine u odnosu na razinu iz 2005. godine</w:t>
            </w:r>
            <w:r w:rsidRPr="005A25C9">
              <w:rPr>
                <w:sz w:val="20"/>
                <w:szCs w:val="20"/>
              </w:rPr>
              <w:t>.</w:t>
            </w:r>
          </w:p>
        </w:tc>
      </w:tr>
      <w:tr w:rsidR="002D4571" w:rsidRPr="00EF5587" w14:paraId="454F67D9"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335FEEB5" w14:textId="4387ABAB" w:rsidR="002D4571" w:rsidRPr="00517A22" w:rsidRDefault="0068709B" w:rsidP="002D4571">
            <w:pPr>
              <w:pStyle w:val="Default"/>
              <w:rPr>
                <w:b w:val="0"/>
                <w:sz w:val="20"/>
                <w:szCs w:val="20"/>
              </w:rPr>
            </w:pPr>
            <w:r w:rsidRPr="0068709B">
              <w:rPr>
                <w:b w:val="0"/>
                <w:sz w:val="20"/>
                <w:szCs w:val="20"/>
              </w:rPr>
              <w:t>Porez na emisiju CO</w:t>
            </w:r>
            <w:r w:rsidRPr="00517A22">
              <w:rPr>
                <w:sz w:val="20"/>
                <w:szCs w:val="20"/>
                <w:vertAlign w:val="subscript"/>
              </w:rPr>
              <w:t>2</w:t>
            </w:r>
            <w:r w:rsidRPr="0068709B">
              <w:rPr>
                <w:b w:val="0"/>
                <w:sz w:val="20"/>
                <w:szCs w:val="20"/>
              </w:rPr>
              <w:t xml:space="preserve"> za stacionarne izvore koji nisu u EU ETS-u</w:t>
            </w:r>
          </w:p>
        </w:tc>
        <w:tc>
          <w:tcPr>
            <w:tcW w:w="1683" w:type="pct"/>
          </w:tcPr>
          <w:p w14:paraId="02557764" w14:textId="70257B36" w:rsidR="002D4571" w:rsidRPr="002D4571" w:rsidRDefault="0068709B" w:rsidP="002D4571">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68709B">
              <w:rPr>
                <w:sz w:val="20"/>
                <w:szCs w:val="20"/>
              </w:rPr>
              <w:t>Uredba o jediničnim naknadama, korektivnim koeficijentima i pobližim kriterijima i mjerilima za utvrđivanje naknade na emisiju u okoliš ugljikovog dioksida (NN 73/07, 48/09, 2/18)</w:t>
            </w:r>
          </w:p>
        </w:tc>
        <w:tc>
          <w:tcPr>
            <w:tcW w:w="1708" w:type="pct"/>
          </w:tcPr>
          <w:p w14:paraId="23D1DE71" w14:textId="684B19A2" w:rsidR="002D4571" w:rsidRPr="002D4571" w:rsidRDefault="00B728AB" w:rsidP="002D4571">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B728AB">
              <w:rPr>
                <w:sz w:val="20"/>
                <w:szCs w:val="20"/>
              </w:rPr>
              <w:t>Uredba o jediničnim naknadama, korektivnim koeficijentima i pobližim kriterijima i mjerilima za utvrđivanje naknade na emisiju u okoliš ugljikovog dioksida (NN 73/07, 48/09, 2/18) propisuje obvezu plaćanja naknade na emisiju CO</w:t>
            </w:r>
            <w:r w:rsidRPr="00517A22">
              <w:rPr>
                <w:sz w:val="20"/>
                <w:szCs w:val="20"/>
                <w:vertAlign w:val="subscript"/>
              </w:rPr>
              <w:t>2</w:t>
            </w:r>
            <w:r w:rsidRPr="00B728AB">
              <w:rPr>
                <w:sz w:val="20"/>
                <w:szCs w:val="20"/>
              </w:rPr>
              <w:t xml:space="preserve"> za sve stacionarne izvore koji emitiraju više od 450 tona CO</w:t>
            </w:r>
            <w:r w:rsidRPr="00517A22">
              <w:rPr>
                <w:sz w:val="20"/>
                <w:szCs w:val="20"/>
                <w:vertAlign w:val="subscript"/>
              </w:rPr>
              <w:t>2</w:t>
            </w:r>
            <w:r w:rsidRPr="00B728AB">
              <w:rPr>
                <w:sz w:val="20"/>
                <w:szCs w:val="20"/>
              </w:rPr>
              <w:t xml:space="preserve"> godišnje</w:t>
            </w:r>
            <w:r w:rsidR="001714F3">
              <w:rPr>
                <w:sz w:val="20"/>
                <w:szCs w:val="20"/>
              </w:rPr>
              <w:t>.</w:t>
            </w:r>
            <w:r w:rsidR="00C10892">
              <w:t xml:space="preserve"> </w:t>
            </w:r>
            <w:r w:rsidR="00C10892" w:rsidRPr="00C10892">
              <w:rPr>
                <w:sz w:val="20"/>
                <w:szCs w:val="20"/>
              </w:rPr>
              <w:t xml:space="preserve">Obveznicima plaćanja naknada koji ulažu u energetsku učinkovitost, </w:t>
            </w:r>
            <w:r w:rsidR="004A37C4">
              <w:rPr>
                <w:sz w:val="20"/>
                <w:szCs w:val="20"/>
              </w:rPr>
              <w:t xml:space="preserve">OIE </w:t>
            </w:r>
            <w:r w:rsidR="00C10892" w:rsidRPr="00C10892">
              <w:rPr>
                <w:sz w:val="20"/>
                <w:szCs w:val="20"/>
              </w:rPr>
              <w:t>i druge mjere za smanjenje emisije CO</w:t>
            </w:r>
            <w:r w:rsidR="00C10892" w:rsidRPr="00517A22">
              <w:rPr>
                <w:sz w:val="20"/>
                <w:szCs w:val="20"/>
                <w:vertAlign w:val="subscript"/>
              </w:rPr>
              <w:t>2</w:t>
            </w:r>
            <w:r w:rsidR="00C10892" w:rsidRPr="00C10892">
              <w:rPr>
                <w:sz w:val="20"/>
                <w:szCs w:val="20"/>
              </w:rPr>
              <w:t xml:space="preserve"> i ostalih emisija stakleničkih plinova naplaćuje se niža naknada. Fond za zaštitu okoliša i energetsku učinkovitost ovlašten je za obračun i naplatu troškova.</w:t>
            </w:r>
            <w:r w:rsidR="00C10892" w:rsidRPr="00517A22">
              <w:rPr>
                <w:sz w:val="20"/>
                <w:szCs w:val="20"/>
              </w:rPr>
              <w:t xml:space="preserve"> </w:t>
            </w:r>
            <w:r w:rsidR="003C17AE" w:rsidRPr="00517A22">
              <w:rPr>
                <w:sz w:val="20"/>
                <w:szCs w:val="20"/>
              </w:rPr>
              <w:t>O</w:t>
            </w:r>
            <w:r w:rsidR="003C17AE" w:rsidRPr="003C17AE">
              <w:rPr>
                <w:sz w:val="20"/>
                <w:szCs w:val="20"/>
              </w:rPr>
              <w:t>d 2013. nadalje, obveza plaćanja naknade na emisiju CO</w:t>
            </w:r>
            <w:r w:rsidR="003C17AE" w:rsidRPr="00517A22">
              <w:rPr>
                <w:sz w:val="20"/>
                <w:szCs w:val="20"/>
                <w:vertAlign w:val="subscript"/>
              </w:rPr>
              <w:t>2</w:t>
            </w:r>
            <w:r w:rsidR="003C17AE" w:rsidRPr="003C17AE">
              <w:rPr>
                <w:sz w:val="20"/>
                <w:szCs w:val="20"/>
              </w:rPr>
              <w:t xml:space="preserve"> odnosi </w:t>
            </w:r>
            <w:r w:rsidR="00BE3BC5">
              <w:rPr>
                <w:sz w:val="20"/>
                <w:szCs w:val="20"/>
              </w:rPr>
              <w:t xml:space="preserve">se </w:t>
            </w:r>
            <w:r w:rsidR="003C17AE" w:rsidRPr="003C17AE">
              <w:rPr>
                <w:sz w:val="20"/>
                <w:szCs w:val="20"/>
              </w:rPr>
              <w:t>samo na izvore koji nisu obuhvaćeni ETS-om</w:t>
            </w:r>
            <w:r w:rsidR="00C10892" w:rsidRPr="00C10892">
              <w:rPr>
                <w:sz w:val="20"/>
                <w:szCs w:val="20"/>
              </w:rPr>
              <w:t>.</w:t>
            </w:r>
          </w:p>
        </w:tc>
      </w:tr>
      <w:tr w:rsidR="00C9563C" w:rsidRPr="00EF5587" w14:paraId="2575D91A"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54CFF0DC" w14:textId="03D0D567" w:rsidR="00C9563C" w:rsidRPr="00AB58C6" w:rsidRDefault="00580851" w:rsidP="00977A99">
            <w:pPr>
              <w:pStyle w:val="Default"/>
              <w:rPr>
                <w:b w:val="0"/>
                <w:sz w:val="20"/>
                <w:szCs w:val="20"/>
              </w:rPr>
            </w:pPr>
            <w:r w:rsidRPr="00AB58C6">
              <w:rPr>
                <w:b w:val="0"/>
                <w:sz w:val="20"/>
                <w:szCs w:val="20"/>
              </w:rPr>
              <w:t>Sporazum gradonačelnika za klimu i energiju u Republici Hrvatskoj</w:t>
            </w:r>
          </w:p>
        </w:tc>
        <w:tc>
          <w:tcPr>
            <w:tcW w:w="1683" w:type="pct"/>
          </w:tcPr>
          <w:p w14:paraId="485819AA" w14:textId="77777777" w:rsidR="00C9563C" w:rsidRPr="00455E1D" w:rsidRDefault="00C9563C"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1708" w:type="pct"/>
          </w:tcPr>
          <w:p w14:paraId="76DD5E41" w14:textId="43FCD23C" w:rsidR="00C9563C" w:rsidRPr="0031468F" w:rsidRDefault="00A77954" w:rsidP="00F8799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77954">
              <w:rPr>
                <w:sz w:val="20"/>
                <w:szCs w:val="20"/>
              </w:rPr>
              <w:t>Potpisnici Sporazuma podržavaju zajedničku viziju za 2050. godinu: ubrzavanje dekarbonizacije njihovih teritorija, osnaživanje kapaciteta za prilagodbu na neizbježan utjecaj klimatskih promjena te omogućavanje građanima pristup sigurnoj, održivoj i povoljnoj energiji.</w:t>
            </w:r>
            <w:r w:rsidR="00891862" w:rsidRPr="007145ED">
              <w:rPr>
                <w:sz w:val="20"/>
                <w:szCs w:val="20"/>
              </w:rPr>
              <w:t xml:space="preserve"> Sporazumom</w:t>
            </w:r>
            <w:r w:rsidR="00891862" w:rsidRPr="00891862">
              <w:rPr>
                <w:sz w:val="20"/>
                <w:szCs w:val="20"/>
              </w:rPr>
              <w:t xml:space="preserve"> je obuhvaćeno </w:t>
            </w:r>
            <w:r w:rsidR="00DD3DC1">
              <w:rPr>
                <w:sz w:val="20"/>
                <w:szCs w:val="20"/>
              </w:rPr>
              <w:t>82</w:t>
            </w:r>
            <w:r w:rsidR="00DD3DC1" w:rsidRPr="00891862">
              <w:rPr>
                <w:sz w:val="20"/>
                <w:szCs w:val="20"/>
              </w:rPr>
              <w:t xml:space="preserve"> </w:t>
            </w:r>
            <w:r w:rsidR="00891862" w:rsidRPr="00891862">
              <w:rPr>
                <w:sz w:val="20"/>
                <w:szCs w:val="20"/>
              </w:rPr>
              <w:t>gradova i općina, odnosno preko 2 milijuna stanovnika u Republici Hrvatskoj.</w:t>
            </w:r>
          </w:p>
        </w:tc>
      </w:tr>
      <w:tr w:rsidR="00173175" w:rsidRPr="00EF5587" w14:paraId="61935CF9"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4F183DAA" w14:textId="0F21DDAF" w:rsidR="00173175" w:rsidRPr="00805295" w:rsidRDefault="008227AC" w:rsidP="00977A99">
            <w:pPr>
              <w:pStyle w:val="Default"/>
              <w:rPr>
                <w:b w:val="0"/>
                <w:sz w:val="20"/>
                <w:szCs w:val="20"/>
              </w:rPr>
            </w:pPr>
            <w:r w:rsidRPr="008227AC">
              <w:rPr>
                <w:b w:val="0"/>
                <w:sz w:val="20"/>
                <w:szCs w:val="20"/>
              </w:rPr>
              <w:t>Povelja o dekarbonizaciji nacionalnog fonda zgrada do 2050.</w:t>
            </w:r>
          </w:p>
        </w:tc>
        <w:tc>
          <w:tcPr>
            <w:tcW w:w="1683" w:type="pct"/>
          </w:tcPr>
          <w:p w14:paraId="7002800A" w14:textId="77777777" w:rsidR="00173175" w:rsidRPr="00455E1D" w:rsidRDefault="00173175"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1708" w:type="pct"/>
          </w:tcPr>
          <w:p w14:paraId="2AF7054E" w14:textId="0D3DBA55" w:rsidR="00173175" w:rsidRPr="00A77954" w:rsidRDefault="00263EA7" w:rsidP="00F8799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263EA7">
              <w:rPr>
                <w:sz w:val="20"/>
                <w:szCs w:val="20"/>
              </w:rPr>
              <w:t xml:space="preserve">Potpisnici Povelje su predstavnici državne i lokalne uprave, akademske zajednice i stručne javnosti, građevinskog i energetskog sektora te pratećih industrija koji pružaju potporu te promiču dekarbonizaciju zgrada </w:t>
            </w:r>
            <w:r w:rsidRPr="00263EA7">
              <w:rPr>
                <w:sz w:val="20"/>
                <w:szCs w:val="20"/>
              </w:rPr>
              <w:lastRenderedPageBreak/>
              <w:t>u svojim daljnjim aktivnostima, gdje god je to moguće. Partnere-Potpisnike Povelje se kroz otvorene dijaloge partnera potiče na aktivnu i kontinuiranu suradnju na izradi Dugoročne strategije obnove nacionalnog fonda zgrada i prelazak na standard gradnje zgrada gotovo nulte energije (nZEB).</w:t>
            </w:r>
          </w:p>
        </w:tc>
      </w:tr>
      <w:tr w:rsidR="00501745" w:rsidRPr="00EF5587" w14:paraId="20D357D1" w14:textId="77777777" w:rsidTr="00286B4C">
        <w:tc>
          <w:tcPr>
            <w:cnfStyle w:val="001000000000" w:firstRow="0" w:lastRow="0" w:firstColumn="1" w:lastColumn="0" w:oddVBand="0" w:evenVBand="0" w:oddHBand="0" w:evenHBand="0" w:firstRowFirstColumn="0" w:firstRowLastColumn="0" w:lastRowFirstColumn="0" w:lastRowLastColumn="0"/>
            <w:tcW w:w="0" w:type="pct"/>
            <w:gridSpan w:val="3"/>
          </w:tcPr>
          <w:p w14:paraId="7A29634C" w14:textId="26845F9D" w:rsidR="00501745" w:rsidRPr="00EF5587" w:rsidRDefault="00501745" w:rsidP="00223709">
            <w:pPr>
              <w:pStyle w:val="Default"/>
              <w:jc w:val="center"/>
              <w:rPr>
                <w:bCs w:val="0"/>
                <w:sz w:val="20"/>
                <w:szCs w:val="20"/>
              </w:rPr>
            </w:pPr>
            <w:r>
              <w:rPr>
                <w:sz w:val="20"/>
                <w:szCs w:val="20"/>
              </w:rPr>
              <w:lastRenderedPageBreak/>
              <w:t>OIE</w:t>
            </w:r>
          </w:p>
        </w:tc>
      </w:tr>
      <w:tr w:rsidR="00566C04" w:rsidRPr="00EF5587" w14:paraId="1506C4F9" w14:textId="77777777" w:rsidTr="004432C0">
        <w:tc>
          <w:tcPr>
            <w:cnfStyle w:val="001000000000" w:firstRow="0" w:lastRow="0" w:firstColumn="1" w:lastColumn="0" w:oddVBand="0" w:evenVBand="0" w:oddHBand="0" w:evenHBand="0" w:firstRowFirstColumn="0" w:firstRowLastColumn="0" w:lastRowFirstColumn="0" w:lastRowLastColumn="0"/>
            <w:tcW w:w="1609" w:type="pct"/>
          </w:tcPr>
          <w:p w14:paraId="0D649B00" w14:textId="64CCEADA" w:rsidR="00566C04" w:rsidRPr="00CD1977" w:rsidRDefault="004A37C4" w:rsidP="00A004BA">
            <w:pPr>
              <w:pStyle w:val="Default"/>
              <w:rPr>
                <w:b w:val="0"/>
                <w:sz w:val="20"/>
                <w:szCs w:val="20"/>
              </w:rPr>
            </w:pPr>
            <w:r>
              <w:rPr>
                <w:b w:val="0"/>
                <w:sz w:val="20"/>
                <w:szCs w:val="20"/>
              </w:rPr>
              <w:t>Poticajne cijene (f</w:t>
            </w:r>
            <w:r w:rsidR="00566C04" w:rsidRPr="00566C04">
              <w:rPr>
                <w:b w:val="0"/>
                <w:sz w:val="20"/>
                <w:szCs w:val="20"/>
              </w:rPr>
              <w:t>eed-in tarife</w:t>
            </w:r>
            <w:r>
              <w:rPr>
                <w:b w:val="0"/>
                <w:sz w:val="20"/>
                <w:szCs w:val="20"/>
              </w:rPr>
              <w:t>)</w:t>
            </w:r>
            <w:r w:rsidR="00566C04" w:rsidRPr="00566C04">
              <w:rPr>
                <w:b w:val="0"/>
                <w:sz w:val="20"/>
                <w:szCs w:val="20"/>
              </w:rPr>
              <w:t xml:space="preserve"> i sustav premija za potporu korištenja </w:t>
            </w:r>
            <w:r w:rsidRPr="004A37C4">
              <w:rPr>
                <w:b w:val="0"/>
                <w:sz w:val="20"/>
                <w:szCs w:val="20"/>
              </w:rPr>
              <w:t xml:space="preserve">OIE i </w:t>
            </w:r>
            <w:r w:rsidR="00566C04" w:rsidRPr="00566C04">
              <w:rPr>
                <w:b w:val="0"/>
                <w:sz w:val="20"/>
                <w:szCs w:val="20"/>
              </w:rPr>
              <w:t xml:space="preserve">u proizvodnji električne energije i za </w:t>
            </w:r>
            <w:r>
              <w:rPr>
                <w:b w:val="0"/>
                <w:sz w:val="20"/>
                <w:szCs w:val="20"/>
              </w:rPr>
              <w:t>VUK</w:t>
            </w:r>
          </w:p>
        </w:tc>
        <w:tc>
          <w:tcPr>
            <w:tcW w:w="1683" w:type="pct"/>
          </w:tcPr>
          <w:p w14:paraId="679B1415" w14:textId="626AB1D9" w:rsidR="00566C04" w:rsidRPr="00EF5587" w:rsidRDefault="00F8799A" w:rsidP="00A004BA">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F8799A">
              <w:rPr>
                <w:sz w:val="20"/>
                <w:szCs w:val="20"/>
              </w:rPr>
              <w:t xml:space="preserve">Zakon o </w:t>
            </w:r>
            <w:r w:rsidR="004A37C4" w:rsidRPr="00725326">
              <w:rPr>
                <w:sz w:val="20"/>
                <w:szCs w:val="20"/>
              </w:rPr>
              <w:t>OIE i VUK</w:t>
            </w:r>
            <w:r w:rsidR="004A37C4" w:rsidRPr="00F8799A" w:rsidDel="004A37C4">
              <w:rPr>
                <w:sz w:val="20"/>
                <w:szCs w:val="20"/>
              </w:rPr>
              <w:t xml:space="preserve"> </w:t>
            </w:r>
            <w:r w:rsidRPr="00F8799A">
              <w:rPr>
                <w:sz w:val="20"/>
                <w:szCs w:val="20"/>
              </w:rPr>
              <w:t>(NN 100/15</w:t>
            </w:r>
            <w:r w:rsidR="005E3C10">
              <w:rPr>
                <w:sz w:val="20"/>
                <w:szCs w:val="20"/>
              </w:rPr>
              <w:t xml:space="preserve">, </w:t>
            </w:r>
            <w:r w:rsidR="005E3C10" w:rsidRPr="005E3C10">
              <w:rPr>
                <w:sz w:val="20"/>
                <w:szCs w:val="20"/>
              </w:rPr>
              <w:t>123/16, 131/17</w:t>
            </w:r>
            <w:r w:rsidR="004A37C4">
              <w:rPr>
                <w:sz w:val="20"/>
                <w:szCs w:val="20"/>
              </w:rPr>
              <w:t>, 111/18</w:t>
            </w:r>
            <w:r w:rsidRPr="00F8799A">
              <w:rPr>
                <w:sz w:val="20"/>
                <w:szCs w:val="20"/>
              </w:rPr>
              <w:t>)</w:t>
            </w:r>
            <w:r w:rsidR="00A004BA">
              <w:rPr>
                <w:sz w:val="20"/>
                <w:szCs w:val="20"/>
              </w:rPr>
              <w:t>,</w:t>
            </w:r>
            <w:r w:rsidRPr="00F8799A">
              <w:rPr>
                <w:sz w:val="20"/>
                <w:szCs w:val="20"/>
              </w:rPr>
              <w:t xml:space="preserve"> Nacionaln</w:t>
            </w:r>
            <w:r>
              <w:rPr>
                <w:sz w:val="20"/>
                <w:szCs w:val="20"/>
              </w:rPr>
              <w:t>i</w:t>
            </w:r>
            <w:r w:rsidRPr="00F8799A">
              <w:rPr>
                <w:sz w:val="20"/>
                <w:szCs w:val="20"/>
              </w:rPr>
              <w:t xml:space="preserve"> akcijsk</w:t>
            </w:r>
            <w:r>
              <w:rPr>
                <w:sz w:val="20"/>
                <w:szCs w:val="20"/>
              </w:rPr>
              <w:t>i</w:t>
            </w:r>
            <w:r w:rsidRPr="00F8799A">
              <w:rPr>
                <w:sz w:val="20"/>
                <w:szCs w:val="20"/>
              </w:rPr>
              <w:t xml:space="preserve"> plan za </w:t>
            </w:r>
            <w:r w:rsidR="00531499">
              <w:rPr>
                <w:sz w:val="20"/>
                <w:szCs w:val="20"/>
              </w:rPr>
              <w:t xml:space="preserve">OIE </w:t>
            </w:r>
            <w:r w:rsidR="005E3C10">
              <w:rPr>
                <w:sz w:val="20"/>
                <w:szCs w:val="20"/>
              </w:rPr>
              <w:t xml:space="preserve">do 2020. </w:t>
            </w:r>
            <w:r w:rsidR="005E3C10" w:rsidRPr="00B4224E">
              <w:rPr>
                <w:sz w:val="20"/>
                <w:szCs w:val="20"/>
              </w:rPr>
              <w:t>godine</w:t>
            </w:r>
            <w:r w:rsidRPr="00B4224E">
              <w:rPr>
                <w:sz w:val="20"/>
                <w:szCs w:val="20"/>
              </w:rPr>
              <w:t xml:space="preserve"> [</w:t>
            </w:r>
            <w:r w:rsidR="005E3C10" w:rsidRPr="007145ED">
              <w:rPr>
                <w:sz w:val="20"/>
                <w:szCs w:val="20"/>
              </w:rPr>
              <w:fldChar w:fldCharType="begin"/>
            </w:r>
            <w:r w:rsidR="005E3C10" w:rsidRPr="007145ED">
              <w:rPr>
                <w:sz w:val="20"/>
                <w:szCs w:val="20"/>
              </w:rPr>
              <w:instrText xml:space="preserve"> REF _Ref531607925 \r \h </w:instrText>
            </w:r>
            <w:r w:rsidR="005E3C10">
              <w:rPr>
                <w:sz w:val="20"/>
                <w:szCs w:val="20"/>
              </w:rPr>
              <w:instrText xml:space="preserve"> \* MERGEFORMAT </w:instrText>
            </w:r>
            <w:r w:rsidR="005E3C10" w:rsidRPr="007145ED">
              <w:rPr>
                <w:sz w:val="20"/>
                <w:szCs w:val="20"/>
              </w:rPr>
            </w:r>
            <w:r w:rsidR="005E3C10" w:rsidRPr="007145ED">
              <w:rPr>
                <w:sz w:val="20"/>
                <w:szCs w:val="20"/>
              </w:rPr>
              <w:fldChar w:fldCharType="separate"/>
            </w:r>
            <w:r w:rsidR="00154150">
              <w:rPr>
                <w:sz w:val="20"/>
                <w:szCs w:val="20"/>
              </w:rPr>
              <w:t>13</w:t>
            </w:r>
            <w:r w:rsidR="005E3C10" w:rsidRPr="007145ED">
              <w:rPr>
                <w:sz w:val="20"/>
                <w:szCs w:val="20"/>
              </w:rPr>
              <w:fldChar w:fldCharType="end"/>
            </w:r>
            <w:r>
              <w:rPr>
                <w:sz w:val="20"/>
                <w:szCs w:val="20"/>
              </w:rPr>
              <w:t>]</w:t>
            </w:r>
          </w:p>
        </w:tc>
        <w:tc>
          <w:tcPr>
            <w:tcW w:w="1708" w:type="pct"/>
          </w:tcPr>
          <w:p w14:paraId="435E559A" w14:textId="6B6C1B60" w:rsidR="00566C04" w:rsidRPr="00EF5587" w:rsidRDefault="00A004BA" w:rsidP="00A004BA">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A004BA">
              <w:rPr>
                <w:bCs/>
                <w:sz w:val="20"/>
                <w:szCs w:val="20"/>
              </w:rPr>
              <w:t xml:space="preserve">Glavni mehanizam zaslužan za </w:t>
            </w:r>
            <w:r w:rsidR="004A37C4" w:rsidRPr="00A004BA">
              <w:rPr>
                <w:bCs/>
                <w:sz w:val="20"/>
                <w:szCs w:val="20"/>
              </w:rPr>
              <w:t>prethod</w:t>
            </w:r>
            <w:r w:rsidR="004A37C4">
              <w:rPr>
                <w:bCs/>
                <w:sz w:val="20"/>
                <w:szCs w:val="20"/>
              </w:rPr>
              <w:t>ni</w:t>
            </w:r>
            <w:r w:rsidR="004A37C4" w:rsidRPr="00A004BA">
              <w:rPr>
                <w:bCs/>
                <w:sz w:val="20"/>
                <w:szCs w:val="20"/>
              </w:rPr>
              <w:t xml:space="preserve"> </w:t>
            </w:r>
            <w:r w:rsidRPr="00A004BA">
              <w:rPr>
                <w:bCs/>
                <w:sz w:val="20"/>
                <w:szCs w:val="20"/>
              </w:rPr>
              <w:t xml:space="preserve">razvoj </w:t>
            </w:r>
            <w:r w:rsidR="004A37C4">
              <w:rPr>
                <w:bCs/>
                <w:sz w:val="20"/>
                <w:szCs w:val="20"/>
              </w:rPr>
              <w:t xml:space="preserve">OIE </w:t>
            </w:r>
            <w:r w:rsidRPr="00A004BA">
              <w:rPr>
                <w:bCs/>
                <w:sz w:val="20"/>
                <w:szCs w:val="20"/>
              </w:rPr>
              <w:t xml:space="preserve">su poticajne cijene (feed-in tarife). </w:t>
            </w:r>
            <w:r>
              <w:rPr>
                <w:bCs/>
                <w:sz w:val="20"/>
                <w:szCs w:val="20"/>
              </w:rPr>
              <w:t>Očekuje se kako će se ova</w:t>
            </w:r>
            <w:r w:rsidR="00E95937">
              <w:rPr>
                <w:bCs/>
                <w:sz w:val="20"/>
                <w:szCs w:val="20"/>
              </w:rPr>
              <w:t>j</w:t>
            </w:r>
            <w:r>
              <w:rPr>
                <w:bCs/>
                <w:sz w:val="20"/>
                <w:szCs w:val="20"/>
              </w:rPr>
              <w:t xml:space="preserve"> vid poticanja nastaviti i u narednom razdoblju, za postrojenja instalirane snage do 500 kW. </w:t>
            </w:r>
            <w:r w:rsidRPr="00A004BA">
              <w:rPr>
                <w:bCs/>
                <w:sz w:val="20"/>
                <w:szCs w:val="20"/>
              </w:rPr>
              <w:t xml:space="preserve">Zakon o </w:t>
            </w:r>
            <w:r w:rsidR="004A37C4" w:rsidRPr="00725326">
              <w:rPr>
                <w:sz w:val="20"/>
                <w:szCs w:val="20"/>
              </w:rPr>
              <w:t>OIE i VUK</w:t>
            </w:r>
            <w:r w:rsidR="004A37C4">
              <w:rPr>
                <w:bCs/>
                <w:sz w:val="20"/>
                <w:szCs w:val="20"/>
              </w:rPr>
              <w:t xml:space="preserve"> </w:t>
            </w:r>
            <w:r>
              <w:rPr>
                <w:bCs/>
                <w:sz w:val="20"/>
                <w:szCs w:val="20"/>
              </w:rPr>
              <w:t>uveo je</w:t>
            </w:r>
            <w:r w:rsidRPr="00A004BA">
              <w:rPr>
                <w:bCs/>
                <w:sz w:val="20"/>
                <w:szCs w:val="20"/>
              </w:rPr>
              <w:t xml:space="preserve"> premijski</w:t>
            </w:r>
            <w:r>
              <w:rPr>
                <w:bCs/>
                <w:sz w:val="20"/>
                <w:szCs w:val="20"/>
              </w:rPr>
              <w:t xml:space="preserve"> sustav poticanja</w:t>
            </w:r>
            <w:r w:rsidRPr="00A004BA">
              <w:rPr>
                <w:bCs/>
                <w:sz w:val="20"/>
                <w:szCs w:val="20"/>
              </w:rPr>
              <w:t>.</w:t>
            </w:r>
          </w:p>
        </w:tc>
      </w:tr>
      <w:tr w:rsidR="00CE47EE" w:rsidRPr="00EF5587" w14:paraId="7C6823CA"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3303C540" w14:textId="6112D6FF" w:rsidR="00CE47EE" w:rsidRPr="00977A99" w:rsidRDefault="00566C04" w:rsidP="00A004BA">
            <w:pPr>
              <w:pStyle w:val="Default"/>
              <w:rPr>
                <w:b w:val="0"/>
                <w:sz w:val="20"/>
                <w:szCs w:val="20"/>
              </w:rPr>
            </w:pPr>
            <w:r w:rsidRPr="00566C04">
              <w:rPr>
                <w:b w:val="0"/>
                <w:sz w:val="20"/>
                <w:szCs w:val="20"/>
              </w:rPr>
              <w:t xml:space="preserve">Povećanje korištenja </w:t>
            </w:r>
            <w:r w:rsidR="004A37C4">
              <w:rPr>
                <w:b w:val="0"/>
                <w:sz w:val="20"/>
                <w:szCs w:val="20"/>
              </w:rPr>
              <w:t>OIE</w:t>
            </w:r>
            <w:r w:rsidRPr="00566C04">
              <w:rPr>
                <w:b w:val="0"/>
                <w:sz w:val="20"/>
                <w:szCs w:val="20"/>
              </w:rPr>
              <w:t xml:space="preserve"> i energetske učinkovitosti u industrijskom sektoru</w:t>
            </w:r>
          </w:p>
        </w:tc>
        <w:tc>
          <w:tcPr>
            <w:tcW w:w="1683" w:type="pct"/>
          </w:tcPr>
          <w:p w14:paraId="32B300D1" w14:textId="5EF5ED3C" w:rsidR="00CE47EE" w:rsidRPr="005A25C9" w:rsidRDefault="000358CB"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w:t>
            </w:r>
            <w:r w:rsidRPr="00ED739D">
              <w:rPr>
                <w:sz w:val="20"/>
                <w:szCs w:val="20"/>
              </w:rPr>
              <w:t xml:space="preserve"> zaštite zraka, ozonskog sloja i ublažavanja klimatskih promjena u Republici Hrvatskoj za razdoblje od 2013. do 2017. godine (NN 139/13)</w:t>
            </w:r>
          </w:p>
        </w:tc>
        <w:tc>
          <w:tcPr>
            <w:tcW w:w="1708" w:type="pct"/>
          </w:tcPr>
          <w:p w14:paraId="1833203B" w14:textId="0C33AF7E" w:rsidR="00CE47EE" w:rsidRPr="0031468F"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Korištenje raspoloživih sredstava iz ESIF</w:t>
            </w:r>
            <w:r w:rsidR="00DB489E">
              <w:rPr>
                <w:sz w:val="20"/>
                <w:szCs w:val="20"/>
              </w:rPr>
              <w:t>-a</w:t>
            </w:r>
            <w:r w:rsidRPr="0031468F">
              <w:rPr>
                <w:sz w:val="20"/>
                <w:szCs w:val="20"/>
              </w:rPr>
              <w:t xml:space="preserve"> i sredstava dostupnih na aukcijama emisijskih jedinica u EU ETS za korištenje </w:t>
            </w:r>
            <w:r w:rsidR="004A37C4">
              <w:rPr>
                <w:sz w:val="20"/>
                <w:szCs w:val="20"/>
              </w:rPr>
              <w:t xml:space="preserve">OIE </w:t>
            </w:r>
            <w:r w:rsidRPr="0031468F">
              <w:rPr>
                <w:sz w:val="20"/>
                <w:szCs w:val="20"/>
              </w:rPr>
              <w:t>i energetsku učinkovitost u industrijskom sektoru.</w:t>
            </w:r>
          </w:p>
        </w:tc>
      </w:tr>
      <w:tr w:rsidR="001E0162" w:rsidRPr="00EF5587" w14:paraId="4AF333EA"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69AA45CB" w14:textId="5E51E7C5" w:rsidR="001E0162" w:rsidRPr="00977A99" w:rsidRDefault="00566C04" w:rsidP="00A004BA">
            <w:pPr>
              <w:pStyle w:val="Default"/>
              <w:rPr>
                <w:b w:val="0"/>
                <w:sz w:val="20"/>
                <w:szCs w:val="20"/>
              </w:rPr>
            </w:pPr>
            <w:r w:rsidRPr="00566C04">
              <w:rPr>
                <w:b w:val="0"/>
                <w:sz w:val="20"/>
                <w:szCs w:val="20"/>
              </w:rPr>
              <w:t xml:space="preserve">Poticanje korištenja </w:t>
            </w:r>
            <w:r w:rsidR="004A37C4">
              <w:rPr>
                <w:b w:val="0"/>
                <w:sz w:val="20"/>
                <w:szCs w:val="20"/>
              </w:rPr>
              <w:t xml:space="preserve">OIE </w:t>
            </w:r>
            <w:r w:rsidRPr="00566C04">
              <w:rPr>
                <w:b w:val="0"/>
                <w:sz w:val="20"/>
                <w:szCs w:val="20"/>
              </w:rPr>
              <w:t>i energetske učinkovitosti putem HBOR-a</w:t>
            </w:r>
          </w:p>
        </w:tc>
        <w:tc>
          <w:tcPr>
            <w:tcW w:w="1683" w:type="pct"/>
          </w:tcPr>
          <w:p w14:paraId="4444795A" w14:textId="5D8292EE" w:rsidR="001E0162" w:rsidRPr="005A25C9" w:rsidRDefault="000358CB"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w:t>
            </w:r>
            <w:r w:rsidRPr="00ED739D">
              <w:rPr>
                <w:sz w:val="20"/>
                <w:szCs w:val="20"/>
              </w:rPr>
              <w:t xml:space="preserve"> zaštite zraka, ozonskog sloja i ublažavanja klimatskih promjena u Republici Hrvatskoj za razdoblje od 2013. do 2017. godine (NN 139/13)</w:t>
            </w:r>
          </w:p>
        </w:tc>
        <w:tc>
          <w:tcPr>
            <w:tcW w:w="1708" w:type="pct"/>
          </w:tcPr>
          <w:p w14:paraId="11F04E29" w14:textId="25CA030C" w:rsidR="001E0162" w:rsidRPr="0031468F"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Cilj programa kreditiranja projekata zaštite okoliša, energetske učinkovitosti i </w:t>
            </w:r>
            <w:r w:rsidR="004A37C4">
              <w:rPr>
                <w:sz w:val="20"/>
                <w:szCs w:val="20"/>
              </w:rPr>
              <w:t xml:space="preserve">OIE </w:t>
            </w:r>
            <w:r w:rsidRPr="0031468F">
              <w:rPr>
                <w:sz w:val="20"/>
                <w:szCs w:val="20"/>
              </w:rPr>
              <w:t xml:space="preserve">je realizacija investicijskih projekata usmjerenih na zaštitu okoliša, poboljšanje energetske učinkovitosti i poticanje korištenja </w:t>
            </w:r>
            <w:r w:rsidR="004A37C4">
              <w:rPr>
                <w:sz w:val="20"/>
                <w:szCs w:val="20"/>
              </w:rPr>
              <w:t>OIE</w:t>
            </w:r>
            <w:r w:rsidRPr="0031468F">
              <w:rPr>
                <w:sz w:val="20"/>
                <w:szCs w:val="20"/>
              </w:rPr>
              <w:t>. Krediti su namijenjeni za ulaganja u zemljišta, građevinske objekte, opremu i uređaje. Krajnji korisnici kredita mogu biti jedinice lokalne i područne (regionalne) samouprave, komunalna društva, trgovačka društva, obrtnici i ostale pravne osobe.</w:t>
            </w:r>
          </w:p>
        </w:tc>
      </w:tr>
      <w:tr w:rsidR="001E0162" w:rsidRPr="00EF5587" w14:paraId="2ADDFFC0"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7666846E" w14:textId="51E39A0E" w:rsidR="001E0162" w:rsidRPr="00977A99" w:rsidRDefault="00566C04" w:rsidP="00A004BA">
            <w:pPr>
              <w:pStyle w:val="Default"/>
              <w:rPr>
                <w:b w:val="0"/>
                <w:sz w:val="20"/>
                <w:szCs w:val="20"/>
              </w:rPr>
            </w:pPr>
            <w:r w:rsidRPr="00566C04">
              <w:rPr>
                <w:b w:val="0"/>
                <w:sz w:val="20"/>
                <w:szCs w:val="20"/>
              </w:rPr>
              <w:t xml:space="preserve">Poticanje korištenja </w:t>
            </w:r>
            <w:r w:rsidR="004A37C4">
              <w:rPr>
                <w:b w:val="0"/>
                <w:sz w:val="20"/>
                <w:szCs w:val="20"/>
              </w:rPr>
              <w:t xml:space="preserve">OIE </w:t>
            </w:r>
            <w:r w:rsidRPr="00566C04">
              <w:rPr>
                <w:b w:val="0"/>
                <w:sz w:val="20"/>
                <w:szCs w:val="20"/>
              </w:rPr>
              <w:t>i energetske učinkovitosti sredstvima Fonda za zaštitu okoliša i energetsku učinkovitost</w:t>
            </w:r>
          </w:p>
        </w:tc>
        <w:tc>
          <w:tcPr>
            <w:tcW w:w="1683" w:type="pct"/>
          </w:tcPr>
          <w:p w14:paraId="55F367EC" w14:textId="7B71F067" w:rsidR="001E0162" w:rsidRPr="005A25C9" w:rsidRDefault="000358CB"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w:t>
            </w:r>
            <w:r w:rsidRPr="00ED739D">
              <w:rPr>
                <w:sz w:val="20"/>
                <w:szCs w:val="20"/>
              </w:rPr>
              <w:t xml:space="preserve"> zaštite zraka, ozonskog sloja i ublažavanja klimatskih promjena u Republici Hrvatskoj za razdoblje od 2013. do 2017. godine (NN 139/13)</w:t>
            </w:r>
          </w:p>
        </w:tc>
        <w:tc>
          <w:tcPr>
            <w:tcW w:w="1708" w:type="pct"/>
          </w:tcPr>
          <w:p w14:paraId="75E69B3A" w14:textId="10AD334A" w:rsidR="001E0162" w:rsidRPr="0031468F" w:rsidRDefault="00A004B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Sredstva za financiranje osiguravaju se iz namjenskih prihoda Fonda od naknada onečišćivača okoliša, što uključuje naknade na emisij</w:t>
            </w:r>
            <w:r w:rsidR="001155A4">
              <w:rPr>
                <w:sz w:val="20"/>
                <w:szCs w:val="20"/>
              </w:rPr>
              <w:t>u</w:t>
            </w:r>
            <w:r w:rsidRPr="0031468F">
              <w:rPr>
                <w:sz w:val="20"/>
                <w:szCs w:val="20"/>
              </w:rPr>
              <w:t xml:space="preserve"> ugljikovog dioksida, naknade za opterećivanje okoliša otpadom, naknade korisnika okoliša i posebne naknade za okoliš za vozila na motorni pogon. Projekti </w:t>
            </w:r>
            <w:r w:rsidR="004A37C4">
              <w:rPr>
                <w:sz w:val="20"/>
                <w:szCs w:val="20"/>
              </w:rPr>
              <w:t xml:space="preserve">OIE </w:t>
            </w:r>
            <w:r w:rsidRPr="0031468F">
              <w:rPr>
                <w:sz w:val="20"/>
                <w:szCs w:val="20"/>
              </w:rPr>
              <w:t xml:space="preserve">za koja Fond za zaštitu okoliša i energetsku učinkovitost dodjeljuje sredstva uključuju </w:t>
            </w:r>
            <w:r w:rsidR="00655004">
              <w:rPr>
                <w:sz w:val="20"/>
                <w:szCs w:val="20"/>
              </w:rPr>
              <w:t>S</w:t>
            </w:r>
            <w:r w:rsidR="00655004" w:rsidRPr="0031468F">
              <w:rPr>
                <w:sz w:val="20"/>
                <w:szCs w:val="20"/>
              </w:rPr>
              <w:t xml:space="preserve">unčevu </w:t>
            </w:r>
            <w:r w:rsidRPr="0031468F">
              <w:rPr>
                <w:sz w:val="20"/>
                <w:szCs w:val="20"/>
              </w:rPr>
              <w:t xml:space="preserve">energiju, </w:t>
            </w:r>
            <w:r w:rsidRPr="0031468F">
              <w:rPr>
                <w:sz w:val="20"/>
                <w:szCs w:val="20"/>
              </w:rPr>
              <w:lastRenderedPageBreak/>
              <w:t>energiju vjetra, energiju biomase, energiju iz malih hidroelektrana i geotermalnu energiju.</w:t>
            </w:r>
          </w:p>
        </w:tc>
      </w:tr>
      <w:tr w:rsidR="00511C1A" w:rsidRPr="00EF5587" w14:paraId="7B28DC63" w14:textId="77777777" w:rsidTr="004432C0">
        <w:tc>
          <w:tcPr>
            <w:cnfStyle w:val="001000000000" w:firstRow="0" w:lastRow="0" w:firstColumn="1" w:lastColumn="0" w:oddVBand="0" w:evenVBand="0" w:oddHBand="0" w:evenHBand="0" w:firstRowFirstColumn="0" w:firstRowLastColumn="0" w:lastRowFirstColumn="0" w:lastRowLastColumn="0"/>
            <w:tcW w:w="1609" w:type="pct"/>
          </w:tcPr>
          <w:p w14:paraId="1823B7FB" w14:textId="30AF7464" w:rsidR="00511C1A" w:rsidRPr="00566C04" w:rsidRDefault="00511C1A" w:rsidP="00A004BA">
            <w:pPr>
              <w:pStyle w:val="Default"/>
              <w:rPr>
                <w:b w:val="0"/>
                <w:sz w:val="20"/>
                <w:szCs w:val="20"/>
              </w:rPr>
            </w:pPr>
            <w:r w:rsidRPr="00511C1A">
              <w:rPr>
                <w:b w:val="0"/>
                <w:sz w:val="20"/>
                <w:szCs w:val="20"/>
              </w:rPr>
              <w:lastRenderedPageBreak/>
              <w:t>Djelovanje na lokalnoj razini</w:t>
            </w:r>
          </w:p>
        </w:tc>
        <w:tc>
          <w:tcPr>
            <w:tcW w:w="1683" w:type="pct"/>
          </w:tcPr>
          <w:p w14:paraId="2D55E523" w14:textId="55153CF5" w:rsidR="00511C1A" w:rsidRPr="00566C04" w:rsidRDefault="00511C1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11C1A">
              <w:rPr>
                <w:sz w:val="20"/>
                <w:szCs w:val="20"/>
              </w:rPr>
              <w:t xml:space="preserve">Nacionalni akcijski plan za </w:t>
            </w:r>
            <w:r w:rsidR="00531499">
              <w:rPr>
                <w:sz w:val="20"/>
                <w:szCs w:val="20"/>
              </w:rPr>
              <w:t xml:space="preserve">OIE </w:t>
            </w:r>
            <w:r w:rsidR="005E3C10" w:rsidRPr="00765552">
              <w:rPr>
                <w:sz w:val="20"/>
                <w:szCs w:val="20"/>
              </w:rPr>
              <w:t>[</w:t>
            </w:r>
            <w:r w:rsidR="005E3C10" w:rsidRPr="00765552">
              <w:fldChar w:fldCharType="begin"/>
            </w:r>
            <w:r w:rsidR="005E3C10" w:rsidRPr="00765552">
              <w:rPr>
                <w:sz w:val="20"/>
                <w:szCs w:val="20"/>
              </w:rPr>
              <w:instrText xml:space="preserve"> REF _Ref531607925 \r \h </w:instrText>
            </w:r>
            <w:r w:rsidR="005E3C10">
              <w:rPr>
                <w:sz w:val="20"/>
                <w:szCs w:val="20"/>
              </w:rPr>
              <w:instrText xml:space="preserve"> \* MERGEFORMAT </w:instrText>
            </w:r>
            <w:r w:rsidR="005E3C10" w:rsidRPr="00765552">
              <w:rPr>
                <w:sz w:val="20"/>
                <w:szCs w:val="20"/>
              </w:rPr>
              <w:fldChar w:fldCharType="separate"/>
            </w:r>
            <w:r w:rsidR="00154150">
              <w:rPr>
                <w:sz w:val="20"/>
                <w:szCs w:val="20"/>
              </w:rPr>
              <w:t>13</w:t>
            </w:r>
            <w:r w:rsidR="005E3C10" w:rsidRPr="00765552">
              <w:rPr>
                <w:sz w:val="20"/>
                <w:szCs w:val="20"/>
              </w:rPr>
              <w:fldChar w:fldCharType="end"/>
            </w:r>
            <w:r w:rsidR="005E3C10">
              <w:rPr>
                <w:sz w:val="20"/>
                <w:szCs w:val="20"/>
              </w:rPr>
              <w:t>]</w:t>
            </w:r>
          </w:p>
        </w:tc>
        <w:tc>
          <w:tcPr>
            <w:tcW w:w="1708" w:type="pct"/>
          </w:tcPr>
          <w:p w14:paraId="53443818" w14:textId="431AFC28" w:rsidR="00511C1A" w:rsidRPr="0031468F" w:rsidRDefault="00511C1A" w:rsidP="00977A99">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w:t>
            </w:r>
            <w:r w:rsidRPr="0031468F">
              <w:rPr>
                <w:sz w:val="20"/>
                <w:szCs w:val="20"/>
              </w:rPr>
              <w:t>odizanje svijesti o OIE, s očekivanim rezultatom promjene ponašanja. Ciljne skupine su lokalne vlasti, interesne skupine, javnost.</w:t>
            </w:r>
          </w:p>
        </w:tc>
      </w:tr>
      <w:tr w:rsidR="00EE1DD4" w:rsidRPr="00EF5587" w14:paraId="2619657E" w14:textId="77777777" w:rsidTr="00286B4C">
        <w:tc>
          <w:tcPr>
            <w:cnfStyle w:val="001000000000" w:firstRow="0" w:lastRow="0" w:firstColumn="1" w:lastColumn="0" w:oddVBand="0" w:evenVBand="0" w:oddHBand="0" w:evenHBand="0" w:firstRowFirstColumn="0" w:firstRowLastColumn="0" w:lastRowFirstColumn="0" w:lastRowLastColumn="0"/>
            <w:tcW w:w="0" w:type="pct"/>
            <w:gridSpan w:val="3"/>
          </w:tcPr>
          <w:p w14:paraId="66BAC4B6" w14:textId="340EC939" w:rsidR="00EE1DD4" w:rsidRPr="00CB7357" w:rsidRDefault="0070662D" w:rsidP="00223709">
            <w:pPr>
              <w:spacing w:before="0" w:after="0" w:line="240" w:lineRule="auto"/>
              <w:jc w:val="center"/>
              <w:rPr>
                <w:rFonts w:cs="Arial"/>
                <w:sz w:val="20"/>
                <w:szCs w:val="20"/>
              </w:rPr>
            </w:pPr>
            <w:r>
              <w:rPr>
                <w:rFonts w:cs="Arial"/>
                <w:sz w:val="20"/>
                <w:szCs w:val="20"/>
              </w:rPr>
              <w:t>Promet</w:t>
            </w:r>
          </w:p>
        </w:tc>
      </w:tr>
      <w:tr w:rsidR="00EE1DD4" w:rsidRPr="00EF5587" w14:paraId="2F75C2EE"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3757516A" w14:textId="0D46202D" w:rsidR="00EE1DD4" w:rsidRPr="0064414F" w:rsidRDefault="0070662D" w:rsidP="00A004BA">
            <w:pPr>
              <w:pStyle w:val="Default"/>
              <w:rPr>
                <w:b w:val="0"/>
                <w:sz w:val="20"/>
                <w:szCs w:val="20"/>
              </w:rPr>
            </w:pPr>
            <w:r w:rsidRPr="0064414F">
              <w:rPr>
                <w:b w:val="0"/>
                <w:sz w:val="20"/>
                <w:szCs w:val="20"/>
              </w:rPr>
              <w:t>Informiranje potrošača o ekonomičnosti potrošnje goriva i emisiji CO</w:t>
            </w:r>
            <w:r w:rsidRPr="0064414F">
              <w:rPr>
                <w:b w:val="0"/>
                <w:sz w:val="20"/>
                <w:szCs w:val="20"/>
                <w:vertAlign w:val="subscript"/>
              </w:rPr>
              <w:t>2</w:t>
            </w:r>
            <w:r w:rsidRPr="0064414F">
              <w:rPr>
                <w:b w:val="0"/>
                <w:sz w:val="20"/>
                <w:szCs w:val="20"/>
              </w:rPr>
              <w:t xml:space="preserve"> novih osobnih automobila</w:t>
            </w:r>
          </w:p>
        </w:tc>
        <w:tc>
          <w:tcPr>
            <w:tcW w:w="1683" w:type="pct"/>
          </w:tcPr>
          <w:p w14:paraId="10F396D6" w14:textId="5D20A0BE" w:rsidR="00EE1DD4" w:rsidRPr="0031468F" w:rsidRDefault="00C0559D"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Zakon o zaštiti okoliša </w:t>
            </w:r>
            <w:r w:rsidRPr="00C27713">
              <w:rPr>
                <w:sz w:val="20"/>
                <w:szCs w:val="20"/>
              </w:rPr>
              <w:t>(NN 80/13, 153/13, 78/15, 12/18, 118/18),</w:t>
            </w:r>
            <w:r>
              <w:rPr>
                <w:sz w:val="20"/>
                <w:szCs w:val="20"/>
              </w:rPr>
              <w:t xml:space="preserve"> </w:t>
            </w:r>
            <w:r w:rsidR="0030194C" w:rsidRPr="005A25C9">
              <w:rPr>
                <w:sz w:val="20"/>
                <w:szCs w:val="20"/>
              </w:rPr>
              <w:t>Pravilnik o dostupnosti podataka o ekonomičnosti potrošnje goriva i emisiji CO</w:t>
            </w:r>
            <w:r w:rsidR="0030194C" w:rsidRPr="007145ED">
              <w:rPr>
                <w:sz w:val="20"/>
                <w:szCs w:val="20"/>
                <w:vertAlign w:val="subscript"/>
              </w:rPr>
              <w:t>2</w:t>
            </w:r>
            <w:r w:rsidR="0030194C" w:rsidRPr="005A25C9">
              <w:rPr>
                <w:sz w:val="20"/>
                <w:szCs w:val="20"/>
              </w:rPr>
              <w:t xml:space="preserve"> iz novih putničkih vozila (NN 7/15)</w:t>
            </w:r>
          </w:p>
        </w:tc>
        <w:tc>
          <w:tcPr>
            <w:tcW w:w="1708" w:type="pct"/>
          </w:tcPr>
          <w:p w14:paraId="6BEE490F" w14:textId="5EE63DFB" w:rsidR="00EE1DD4" w:rsidRPr="0031468F" w:rsidRDefault="006B0F64"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Svaki dobavljač novih osobnih vozila namijenjenih prodaji dužan je omogućiti potrošačima dostupne informacije o razini potrošnje goriva i specifičnoj emisiji CO</w:t>
            </w:r>
            <w:r w:rsidRPr="007145ED">
              <w:rPr>
                <w:rFonts w:cs="Arial"/>
                <w:sz w:val="20"/>
                <w:szCs w:val="20"/>
                <w:vertAlign w:val="subscript"/>
              </w:rPr>
              <w:t>2</w:t>
            </w:r>
            <w:r w:rsidRPr="005A25C9">
              <w:rPr>
                <w:rFonts w:cs="Arial"/>
                <w:sz w:val="20"/>
                <w:szCs w:val="20"/>
              </w:rPr>
              <w:t xml:space="preserve"> putničkih vozila. Ministarstvo unutarnjih poslova jedanput godišnje, najkasnije do 31. ožujka tekuće godine izrađuje Vodič o ekonomičnosti potrošnje goriva i emisiji CO</w:t>
            </w:r>
            <w:r w:rsidRPr="007145ED">
              <w:rPr>
                <w:rFonts w:cs="Arial"/>
                <w:sz w:val="20"/>
                <w:szCs w:val="20"/>
                <w:vertAlign w:val="subscript"/>
              </w:rPr>
              <w:t>2</w:t>
            </w:r>
            <w:r w:rsidRPr="005A25C9">
              <w:rPr>
                <w:rFonts w:cs="Arial"/>
                <w:sz w:val="20"/>
                <w:szCs w:val="20"/>
              </w:rPr>
              <w:t xml:space="preserve"> novih osobnih</w:t>
            </w:r>
            <w:r w:rsidRPr="0031468F">
              <w:rPr>
                <w:rFonts w:cs="Arial"/>
                <w:sz w:val="20"/>
                <w:szCs w:val="20"/>
              </w:rPr>
              <w:t xml:space="preserve"> automobila koji </w:t>
            </w:r>
            <w:r w:rsidR="000E2082">
              <w:rPr>
                <w:rFonts w:cs="Arial"/>
                <w:sz w:val="20"/>
                <w:szCs w:val="20"/>
              </w:rPr>
              <w:t>je</w:t>
            </w:r>
            <w:r w:rsidR="000E2082" w:rsidRPr="0031468F">
              <w:rPr>
                <w:rFonts w:cs="Arial"/>
                <w:sz w:val="20"/>
                <w:szCs w:val="20"/>
              </w:rPr>
              <w:t xml:space="preserve"> </w:t>
            </w:r>
            <w:r w:rsidRPr="0031468F">
              <w:rPr>
                <w:rFonts w:cs="Arial"/>
                <w:sz w:val="20"/>
                <w:szCs w:val="20"/>
              </w:rPr>
              <w:t>dostup</w:t>
            </w:r>
            <w:r w:rsidR="000E2082">
              <w:rPr>
                <w:rFonts w:cs="Arial"/>
                <w:sz w:val="20"/>
                <w:szCs w:val="20"/>
              </w:rPr>
              <w:t>a</w:t>
            </w:r>
            <w:r w:rsidRPr="0031468F">
              <w:rPr>
                <w:rFonts w:cs="Arial"/>
                <w:sz w:val="20"/>
                <w:szCs w:val="20"/>
              </w:rPr>
              <w:t>n za kupovinu na tržištu u Republici Hrvatskoj. Vodič sadrži potrebne podatke za svaki model novih osobnih automobila dostupnih na domaćem tržištu.</w:t>
            </w:r>
          </w:p>
        </w:tc>
      </w:tr>
      <w:tr w:rsidR="00EE1DD4" w:rsidRPr="00EF5587" w14:paraId="2E00A901" w14:textId="77777777" w:rsidTr="004432C0">
        <w:tc>
          <w:tcPr>
            <w:cnfStyle w:val="001000000000" w:firstRow="0" w:lastRow="0" w:firstColumn="1" w:lastColumn="0" w:oddVBand="0" w:evenVBand="0" w:oddHBand="0" w:evenHBand="0" w:firstRowFirstColumn="0" w:firstRowLastColumn="0" w:lastRowFirstColumn="0" w:lastRowLastColumn="0"/>
            <w:tcW w:w="1609" w:type="pct"/>
          </w:tcPr>
          <w:p w14:paraId="53C3EF50" w14:textId="6028CA90" w:rsidR="00EE1DD4" w:rsidRPr="007145ED" w:rsidRDefault="0070662D" w:rsidP="00A004BA">
            <w:pPr>
              <w:pStyle w:val="Default"/>
              <w:rPr>
                <w:b w:val="0"/>
                <w:sz w:val="20"/>
                <w:szCs w:val="20"/>
              </w:rPr>
            </w:pPr>
            <w:r w:rsidRPr="0070662D">
              <w:rPr>
                <w:b w:val="0"/>
                <w:sz w:val="20"/>
                <w:szCs w:val="20"/>
              </w:rPr>
              <w:t>Obuka vozača cestovnih vozila za eko vožnju</w:t>
            </w:r>
          </w:p>
        </w:tc>
        <w:tc>
          <w:tcPr>
            <w:tcW w:w="1683" w:type="pct"/>
          </w:tcPr>
          <w:p w14:paraId="3985B28D" w14:textId="1A40F135" w:rsidR="00EE1DD4" w:rsidRPr="005A25C9" w:rsidRDefault="000358CB"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w:t>
            </w:r>
            <w:r w:rsidRPr="00ED739D">
              <w:rPr>
                <w:sz w:val="20"/>
                <w:szCs w:val="20"/>
              </w:rPr>
              <w:t xml:space="preserve"> zaštite zraka, ozonskog sloja i ublažavanja klimatskih promjena u Republici Hrvatskoj za razdoblje od 2013. do 2017. godine (NN 139/13)</w:t>
            </w:r>
            <w:r w:rsidR="00CE3A58">
              <w:rPr>
                <w:sz w:val="20"/>
                <w:szCs w:val="20"/>
              </w:rPr>
              <w:t xml:space="preserve">, </w:t>
            </w:r>
            <w:r w:rsidR="00531499" w:rsidRPr="002934E4">
              <w:rPr>
                <w:sz w:val="20"/>
                <w:szCs w:val="20"/>
              </w:rPr>
              <w:t>Četvrti nacionalni akcijski plan energetske učinkovitosti za razdoblje do kraja 2019</w:t>
            </w:r>
            <w:r w:rsidR="00E87AF9">
              <w:rPr>
                <w:sz w:val="20"/>
                <w:szCs w:val="20"/>
              </w:rPr>
              <w:t>.</w:t>
            </w:r>
            <w:r w:rsidR="00CE3A58">
              <w:rPr>
                <w:sz w:val="20"/>
                <w:szCs w:val="20"/>
              </w:rPr>
              <w:t xml:space="preserve"> [</w:t>
            </w:r>
            <w:r w:rsidR="006D4506">
              <w:rPr>
                <w:sz w:val="20"/>
                <w:szCs w:val="20"/>
              </w:rPr>
              <w:fldChar w:fldCharType="begin"/>
            </w:r>
            <w:r w:rsidR="006D4506">
              <w:rPr>
                <w:sz w:val="20"/>
                <w:szCs w:val="20"/>
              </w:rPr>
              <w:instrText xml:space="preserve"> REF _Ref531609660 \r \h </w:instrText>
            </w:r>
            <w:r w:rsidR="006D4506">
              <w:rPr>
                <w:sz w:val="20"/>
                <w:szCs w:val="20"/>
              </w:rPr>
            </w:r>
            <w:r w:rsidR="006D4506">
              <w:rPr>
                <w:sz w:val="20"/>
                <w:szCs w:val="20"/>
              </w:rPr>
              <w:fldChar w:fldCharType="separate"/>
            </w:r>
            <w:r w:rsidR="00154150">
              <w:rPr>
                <w:sz w:val="20"/>
                <w:szCs w:val="20"/>
              </w:rPr>
              <w:t>15</w:t>
            </w:r>
            <w:r w:rsidR="006D4506">
              <w:rPr>
                <w:sz w:val="20"/>
                <w:szCs w:val="20"/>
              </w:rPr>
              <w:fldChar w:fldCharType="end"/>
            </w:r>
            <w:r w:rsidR="00CE3A58">
              <w:rPr>
                <w:sz w:val="20"/>
                <w:szCs w:val="20"/>
              </w:rPr>
              <w:t>]</w:t>
            </w:r>
            <w:r w:rsidR="351A17E0" w:rsidRPr="007145ED">
              <w:rPr>
                <w:sz w:val="20"/>
                <w:szCs w:val="20"/>
              </w:rPr>
              <w:t xml:space="preserve"> </w:t>
            </w:r>
          </w:p>
        </w:tc>
        <w:tc>
          <w:tcPr>
            <w:tcW w:w="1708" w:type="pct"/>
          </w:tcPr>
          <w:p w14:paraId="591FA4C3" w14:textId="3D7D093D" w:rsidR="00EE1DD4" w:rsidRPr="00EF5587" w:rsidRDefault="006B0F64"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B0F64">
              <w:rPr>
                <w:rFonts w:cs="Arial"/>
                <w:sz w:val="20"/>
                <w:szCs w:val="20"/>
              </w:rPr>
              <w:t>Provedeni su pilot projekti i izvršena je sustavna izobrazba vozača cestovnih vozila za eko vožnju. Time se štedi energija i povećava razina svijesti svih građana i vozača u Republici Hrvatskoj o prednostima ovog modernog, inteligentnog i ekološki prihvatljivog stila vožnje. Posebni elementi posvećeni su edukaciji vozača osobnih automobila, autobusa i kamiona o eko vožnji.</w:t>
            </w:r>
            <w:r w:rsidR="00D002CA">
              <w:rPr>
                <w:rFonts w:cs="Arial"/>
                <w:sz w:val="20"/>
                <w:szCs w:val="20"/>
              </w:rPr>
              <w:t xml:space="preserve"> </w:t>
            </w:r>
            <w:r w:rsidR="00D002CA" w:rsidRPr="00D002CA">
              <w:rPr>
                <w:rFonts w:cs="Arial"/>
                <w:sz w:val="20"/>
                <w:szCs w:val="20"/>
              </w:rPr>
              <w:t>Obrazovanje o elementima eko vožnje provodi</w:t>
            </w:r>
            <w:r w:rsidR="00D002CA">
              <w:rPr>
                <w:rFonts w:cs="Arial"/>
                <w:sz w:val="20"/>
                <w:szCs w:val="20"/>
              </w:rPr>
              <w:t xml:space="preserve"> </w:t>
            </w:r>
            <w:r w:rsidR="00AE5C47">
              <w:rPr>
                <w:rFonts w:cs="Arial"/>
                <w:sz w:val="20"/>
                <w:szCs w:val="20"/>
              </w:rPr>
              <w:t xml:space="preserve">se </w:t>
            </w:r>
            <w:r w:rsidR="00D002CA" w:rsidRPr="00D002CA">
              <w:rPr>
                <w:rFonts w:cs="Arial"/>
                <w:sz w:val="20"/>
                <w:szCs w:val="20"/>
              </w:rPr>
              <w:t>među vozačima koji su vozačku dozvolu dobili prije stupanja na snagu</w:t>
            </w:r>
            <w:r w:rsidR="00250EE2">
              <w:rPr>
                <w:rFonts w:cs="Arial"/>
                <w:sz w:val="20"/>
                <w:szCs w:val="20"/>
              </w:rPr>
              <w:t xml:space="preserve"> </w:t>
            </w:r>
            <w:r w:rsidR="00D002CA" w:rsidRPr="00D002CA">
              <w:rPr>
                <w:rFonts w:cs="Arial"/>
                <w:sz w:val="20"/>
                <w:szCs w:val="20"/>
              </w:rPr>
              <w:t xml:space="preserve">Pravilnika o osposobljavanju kandidata za vozače </w:t>
            </w:r>
            <w:r w:rsidR="00E94AAB">
              <w:rPr>
                <w:rFonts w:cs="Arial"/>
                <w:sz w:val="20"/>
                <w:szCs w:val="20"/>
              </w:rPr>
              <w:t xml:space="preserve">iz 2009. godine, </w:t>
            </w:r>
            <w:r w:rsidR="00D002CA" w:rsidRPr="00D002CA">
              <w:rPr>
                <w:rFonts w:cs="Arial"/>
                <w:sz w:val="20"/>
                <w:szCs w:val="20"/>
              </w:rPr>
              <w:t>kojim je za sve autoškole i instruktore postavljena obveza provođenja izobrazbe o elementima eko-vožnje tijekom standardne izobrazbe vozača kandidata.</w:t>
            </w:r>
          </w:p>
        </w:tc>
      </w:tr>
      <w:tr w:rsidR="00EE1DD4" w:rsidRPr="00EF5587" w14:paraId="3C267931"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6A604EDF" w14:textId="2DD07FC3" w:rsidR="00EE1DD4" w:rsidRPr="00977A99" w:rsidRDefault="0070662D" w:rsidP="00A004BA">
            <w:pPr>
              <w:pStyle w:val="Default"/>
              <w:rPr>
                <w:b w:val="0"/>
                <w:bCs w:val="0"/>
                <w:sz w:val="20"/>
                <w:szCs w:val="20"/>
              </w:rPr>
            </w:pPr>
            <w:r w:rsidRPr="0070662D">
              <w:rPr>
                <w:b w:val="0"/>
                <w:bCs w:val="0"/>
                <w:sz w:val="20"/>
                <w:szCs w:val="20"/>
              </w:rPr>
              <w:t>Obveza korištenja biogoriva u prometu</w:t>
            </w:r>
          </w:p>
        </w:tc>
        <w:tc>
          <w:tcPr>
            <w:tcW w:w="1683" w:type="pct"/>
          </w:tcPr>
          <w:p w14:paraId="0BBEB41B" w14:textId="6D00F81A" w:rsidR="00EE1DD4" w:rsidRPr="00EF5587" w:rsidRDefault="006B0F64" w:rsidP="00A004BA">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6B0F64">
              <w:rPr>
                <w:bCs/>
                <w:sz w:val="20"/>
                <w:szCs w:val="20"/>
              </w:rPr>
              <w:t>Zakon o biogorivima za prijevoz (NN 65/09, 145/10, 26/11, 144/12, 14/14</w:t>
            </w:r>
            <w:r w:rsidR="00A9605B">
              <w:rPr>
                <w:bCs/>
                <w:sz w:val="20"/>
                <w:szCs w:val="20"/>
              </w:rPr>
              <w:t>, 94/18</w:t>
            </w:r>
            <w:r w:rsidRPr="006B0F64">
              <w:rPr>
                <w:bCs/>
                <w:sz w:val="20"/>
                <w:szCs w:val="20"/>
              </w:rPr>
              <w:t>)</w:t>
            </w:r>
            <w:r w:rsidR="003A6103">
              <w:rPr>
                <w:bCs/>
                <w:sz w:val="20"/>
                <w:szCs w:val="20"/>
              </w:rPr>
              <w:t>; Zakon o trošarinama (NN 106/</w:t>
            </w:r>
            <w:r w:rsidR="006C5CE3">
              <w:rPr>
                <w:bCs/>
                <w:sz w:val="20"/>
                <w:szCs w:val="20"/>
              </w:rPr>
              <w:t>18</w:t>
            </w:r>
            <w:r w:rsidR="003A6103">
              <w:rPr>
                <w:bCs/>
                <w:sz w:val="20"/>
                <w:szCs w:val="20"/>
              </w:rPr>
              <w:t xml:space="preserve">); Pravilnik o trošarinama (NN 1/19); Nacionalni akcijski plan </w:t>
            </w:r>
            <w:r w:rsidR="003A6103">
              <w:rPr>
                <w:bCs/>
                <w:sz w:val="20"/>
                <w:szCs w:val="20"/>
              </w:rPr>
              <w:lastRenderedPageBreak/>
              <w:t xml:space="preserve">poticanja proizvodnje i korištenja biogoriva u </w:t>
            </w:r>
            <w:r w:rsidR="003A6103" w:rsidRPr="002B2D01">
              <w:rPr>
                <w:sz w:val="20"/>
                <w:szCs w:val="20"/>
              </w:rPr>
              <w:t>prijevoz</w:t>
            </w:r>
            <w:r w:rsidR="6DCF1E7F" w:rsidRPr="00F22530">
              <w:rPr>
                <w:sz w:val="20"/>
                <w:szCs w:val="20"/>
              </w:rPr>
              <w:t>u za razdoblje 2011.-</w:t>
            </w:r>
            <w:r w:rsidR="20AE32A1" w:rsidRPr="00286B4C">
              <w:rPr>
                <w:sz w:val="20"/>
                <w:szCs w:val="20"/>
              </w:rPr>
              <w:t>2020. (Ministarstvo gospodarstva, rada i poduzetništva, 2010.)</w:t>
            </w:r>
          </w:p>
        </w:tc>
        <w:tc>
          <w:tcPr>
            <w:tcW w:w="1708" w:type="pct"/>
          </w:tcPr>
          <w:p w14:paraId="2E102349" w14:textId="46661E49" w:rsidR="00EE1DD4" w:rsidRPr="00EF5587" w:rsidRDefault="006B0F64"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6B0F64">
              <w:rPr>
                <w:rFonts w:cs="Arial"/>
                <w:bCs/>
                <w:sz w:val="20"/>
                <w:szCs w:val="20"/>
              </w:rPr>
              <w:lastRenderedPageBreak/>
              <w:t xml:space="preserve">2010. godine pripremljen je Nacionalni akcijski plan koji promovira proizvodnju i uporabu biogoriva u prijevozu za razdoblje od 2011. do 2020. godine. </w:t>
            </w:r>
            <w:r w:rsidR="00997E4A" w:rsidRPr="00997E4A">
              <w:rPr>
                <w:rFonts w:cs="Arial"/>
                <w:bCs/>
                <w:sz w:val="20"/>
                <w:szCs w:val="20"/>
              </w:rPr>
              <w:t xml:space="preserve">Nacionalni akcijski plan </w:t>
            </w:r>
            <w:r w:rsidR="00997E4A" w:rsidRPr="00997E4A">
              <w:rPr>
                <w:rFonts w:cs="Arial"/>
                <w:bCs/>
                <w:sz w:val="20"/>
                <w:szCs w:val="20"/>
              </w:rPr>
              <w:lastRenderedPageBreak/>
              <w:t xml:space="preserve">za obnovljive izvore energije (Ministarstvo gospodarstva, poduzetništva i obrta, 2013.) utvrdio je ciljeve i politike vezane za povećanje udjela OIE u </w:t>
            </w:r>
            <w:r w:rsidR="005B000C">
              <w:rPr>
                <w:rFonts w:cs="Arial"/>
                <w:bCs/>
                <w:sz w:val="20"/>
                <w:szCs w:val="20"/>
              </w:rPr>
              <w:t>neposrednoj</w:t>
            </w:r>
            <w:r w:rsidR="00997E4A" w:rsidRPr="00997E4A">
              <w:rPr>
                <w:rFonts w:cs="Arial"/>
                <w:bCs/>
                <w:sz w:val="20"/>
                <w:szCs w:val="20"/>
              </w:rPr>
              <w:t xml:space="preserve"> potrošnji energije do 2020. godine te posebno procijenjeni doprinos energije biogoriva u prometu.</w:t>
            </w:r>
            <w:r w:rsidR="003A6103">
              <w:rPr>
                <w:rFonts w:cs="Arial"/>
                <w:bCs/>
                <w:sz w:val="20"/>
                <w:szCs w:val="20"/>
              </w:rPr>
              <w:t xml:space="preserve"> </w:t>
            </w:r>
            <w:r w:rsidR="003A6103">
              <w:rPr>
                <w:rFonts w:cs="Arial"/>
                <w:sz w:val="20"/>
                <w:szCs w:val="20"/>
              </w:rPr>
              <w:t>Korištenje čistih biogoriva u prometu je izuzeto od plaćanja trošarine na motorna goriva.</w:t>
            </w:r>
          </w:p>
        </w:tc>
      </w:tr>
      <w:tr w:rsidR="00EE1DD4" w:rsidRPr="00EF5587" w14:paraId="60D43B96"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2B042631" w14:textId="35CCBCD4" w:rsidR="00EE1DD4" w:rsidRPr="00977A99" w:rsidRDefault="0070662D" w:rsidP="00A004BA">
            <w:pPr>
              <w:pStyle w:val="Default"/>
              <w:rPr>
                <w:b w:val="0"/>
                <w:bCs w:val="0"/>
                <w:sz w:val="20"/>
                <w:szCs w:val="20"/>
              </w:rPr>
            </w:pPr>
            <w:r w:rsidRPr="0070662D">
              <w:rPr>
                <w:b w:val="0"/>
                <w:bCs w:val="0"/>
                <w:sz w:val="20"/>
                <w:szCs w:val="20"/>
              </w:rPr>
              <w:lastRenderedPageBreak/>
              <w:t>Posebna naknada za okoliš za vozilima na motornim pogon</w:t>
            </w:r>
          </w:p>
        </w:tc>
        <w:tc>
          <w:tcPr>
            <w:tcW w:w="1683" w:type="pct"/>
          </w:tcPr>
          <w:p w14:paraId="5939F406" w14:textId="3404E304" w:rsidR="00EE1DD4" w:rsidRPr="0031468F" w:rsidRDefault="0081463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 Fondu za zaštitu okoliša i energetsku učinkovitost (NN 107/03, 144/12), Uredb</w:t>
            </w:r>
            <w:r w:rsidRPr="0031468F">
              <w:rPr>
                <w:sz w:val="20"/>
                <w:szCs w:val="20"/>
              </w:rPr>
              <w:t>a o jediničnim naknadama, korektivnim koeficijentima i pobližim kriterijima i mjerilima za utvrđivanje posebne naknade za okoliš na vozila na motorni pogon (NN 114/14, 147/14)</w:t>
            </w:r>
          </w:p>
        </w:tc>
        <w:tc>
          <w:tcPr>
            <w:tcW w:w="1708" w:type="pct"/>
          </w:tcPr>
          <w:p w14:paraId="1F537C4C" w14:textId="0C0899CC" w:rsidR="00EE1DD4" w:rsidRPr="0031468F" w:rsidRDefault="0081463A"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Posebna naknada naplaćuje se uzimajući u obzir vrstu motora i goriva, radni volumen motora, vrstu vozila, emisiju CO</w:t>
            </w:r>
            <w:r w:rsidRPr="00725326">
              <w:rPr>
                <w:rFonts w:cs="Arial"/>
                <w:sz w:val="20"/>
                <w:szCs w:val="20"/>
                <w:vertAlign w:val="subscript"/>
              </w:rPr>
              <w:t>2</w:t>
            </w:r>
            <w:r w:rsidRPr="0031468F">
              <w:rPr>
                <w:rFonts w:cs="Arial"/>
                <w:sz w:val="20"/>
                <w:szCs w:val="20"/>
              </w:rPr>
              <w:t xml:space="preserve"> i starost vozila</w:t>
            </w:r>
            <w:r w:rsidR="00ED19DF" w:rsidRPr="0031468F">
              <w:rPr>
                <w:rFonts w:cs="Arial"/>
                <w:sz w:val="20"/>
                <w:szCs w:val="20"/>
              </w:rPr>
              <w:t xml:space="preserve">. </w:t>
            </w:r>
          </w:p>
        </w:tc>
      </w:tr>
      <w:tr w:rsidR="00EE1DD4" w:rsidRPr="00DD7F26" w14:paraId="7CD5E764" w14:textId="77777777" w:rsidTr="00286B4C">
        <w:trPr>
          <w:trHeight w:val="1438"/>
        </w:trPr>
        <w:tc>
          <w:tcPr>
            <w:cnfStyle w:val="001000000000" w:firstRow="0" w:lastRow="0" w:firstColumn="1" w:lastColumn="0" w:oddVBand="0" w:evenVBand="0" w:oddHBand="0" w:evenHBand="0" w:firstRowFirstColumn="0" w:firstRowLastColumn="0" w:lastRowFirstColumn="0" w:lastRowLastColumn="0"/>
            <w:tcW w:w="1609" w:type="pct"/>
          </w:tcPr>
          <w:p w14:paraId="48FECA60" w14:textId="50B9A72D" w:rsidR="00EE1DD4" w:rsidRPr="00977A99" w:rsidRDefault="0070662D" w:rsidP="00A004BA">
            <w:pPr>
              <w:pStyle w:val="Default"/>
              <w:rPr>
                <w:b w:val="0"/>
                <w:sz w:val="20"/>
                <w:szCs w:val="20"/>
              </w:rPr>
            </w:pPr>
            <w:r w:rsidRPr="0070662D">
              <w:rPr>
                <w:b w:val="0"/>
                <w:sz w:val="20"/>
                <w:szCs w:val="20"/>
              </w:rPr>
              <w:t>Posebni porez na motorna vozila</w:t>
            </w:r>
          </w:p>
        </w:tc>
        <w:tc>
          <w:tcPr>
            <w:tcW w:w="1683" w:type="pct"/>
          </w:tcPr>
          <w:p w14:paraId="71A69964" w14:textId="4FD5584B" w:rsidR="00EE1DD4" w:rsidRPr="0031468F" w:rsidRDefault="0081463A"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 posebnom porezu na motorna vozila (NN 15/13, 108/13, 115/16</w:t>
            </w:r>
            <w:r w:rsidR="00A172DD" w:rsidRPr="0031468F">
              <w:rPr>
                <w:sz w:val="20"/>
                <w:szCs w:val="20"/>
              </w:rPr>
              <w:t>, 127/17</w:t>
            </w:r>
            <w:r w:rsidRPr="0031468F">
              <w:rPr>
                <w:sz w:val="20"/>
                <w:szCs w:val="20"/>
              </w:rPr>
              <w:t>)</w:t>
            </w:r>
          </w:p>
        </w:tc>
        <w:tc>
          <w:tcPr>
            <w:tcW w:w="1708" w:type="pct"/>
          </w:tcPr>
          <w:p w14:paraId="1F578D56" w14:textId="64F8B6D1" w:rsidR="00EE1DD4" w:rsidRPr="0031468F" w:rsidRDefault="0081463A"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Porez se odnosi na vozila namijenjena za uporabu na cestama u Republici Hrvatskoj u trenutku njihove prve registracije u RH. Porez ovisi o cijeni vozila, vrsti goriva i emisiji CO</w:t>
            </w:r>
            <w:r w:rsidRPr="00725326">
              <w:rPr>
                <w:rFonts w:cs="Arial"/>
                <w:sz w:val="20"/>
                <w:szCs w:val="20"/>
                <w:vertAlign w:val="subscript"/>
              </w:rPr>
              <w:t>2</w:t>
            </w:r>
            <w:r w:rsidRPr="0031468F">
              <w:rPr>
                <w:rFonts w:cs="Arial"/>
                <w:sz w:val="20"/>
                <w:szCs w:val="20"/>
              </w:rPr>
              <w:t xml:space="preserve">. </w:t>
            </w:r>
            <w:r w:rsidR="00A172DD" w:rsidRPr="005A25C9">
              <w:rPr>
                <w:rFonts w:cs="Arial"/>
                <w:sz w:val="20"/>
                <w:szCs w:val="20"/>
              </w:rPr>
              <w:t>E</w:t>
            </w:r>
            <w:r w:rsidRPr="0031468F">
              <w:rPr>
                <w:rFonts w:cs="Arial"/>
                <w:sz w:val="20"/>
                <w:szCs w:val="20"/>
              </w:rPr>
              <w:t>lektrična vozila ne podliježu tom porezu.</w:t>
            </w:r>
          </w:p>
        </w:tc>
      </w:tr>
      <w:tr w:rsidR="0070662D" w:rsidRPr="00DD7F26" w14:paraId="05E81255" w14:textId="77777777" w:rsidTr="004432C0">
        <w:tc>
          <w:tcPr>
            <w:cnfStyle w:val="001000000000" w:firstRow="0" w:lastRow="0" w:firstColumn="1" w:lastColumn="0" w:oddVBand="0" w:evenVBand="0" w:oddHBand="0" w:evenHBand="0" w:firstRowFirstColumn="0" w:firstRowLastColumn="0" w:lastRowFirstColumn="0" w:lastRowLastColumn="0"/>
            <w:tcW w:w="1609" w:type="pct"/>
          </w:tcPr>
          <w:p w14:paraId="0E4D5E3C" w14:textId="348A5C20" w:rsidR="0070662D" w:rsidRPr="007145ED" w:rsidRDefault="00882751" w:rsidP="00A004BA">
            <w:pPr>
              <w:pStyle w:val="Default"/>
              <w:rPr>
                <w:b w:val="0"/>
                <w:sz w:val="20"/>
                <w:szCs w:val="20"/>
              </w:rPr>
            </w:pPr>
            <w:r w:rsidRPr="00882751">
              <w:rPr>
                <w:b w:val="0"/>
                <w:sz w:val="20"/>
                <w:szCs w:val="20"/>
              </w:rPr>
              <w:t>Financijski poticaji za energetski učinkovita vozila</w:t>
            </w:r>
          </w:p>
        </w:tc>
        <w:tc>
          <w:tcPr>
            <w:tcW w:w="1683" w:type="pct"/>
          </w:tcPr>
          <w:p w14:paraId="4924CB49" w14:textId="61C7CF23" w:rsidR="0070662D" w:rsidRPr="005A25C9" w:rsidRDefault="00CE3A58"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Nacionalni okvir politike za uspostavu infrastrukture i razvoj tržišta alternativnih goriva u prometu (NN 34/17)</w:t>
            </w:r>
            <w:r w:rsidRPr="0031468F">
              <w:rPr>
                <w:sz w:val="20"/>
                <w:szCs w:val="20"/>
              </w:rPr>
              <w:t xml:space="preserve">, </w:t>
            </w:r>
            <w:r w:rsidR="00531499" w:rsidRPr="002934E4">
              <w:rPr>
                <w:sz w:val="20"/>
                <w:szCs w:val="20"/>
              </w:rPr>
              <w:t>Četvrti nacionalni akcijski plan energetske učinkovitosti za razdoblje do kraja 2019</w:t>
            </w:r>
            <w:r w:rsidR="00E87AF9">
              <w:rPr>
                <w:sz w:val="20"/>
                <w:szCs w:val="20"/>
              </w:rPr>
              <w:t>.</w:t>
            </w:r>
            <w:r w:rsidR="00531499">
              <w:rPr>
                <w:sz w:val="20"/>
                <w:szCs w:val="20"/>
              </w:rPr>
              <w:t xml:space="preserve"> </w:t>
            </w:r>
            <w:r w:rsidRPr="0031468F">
              <w:rPr>
                <w:sz w:val="20"/>
                <w:szCs w:val="20"/>
              </w:rPr>
              <w:t>[</w:t>
            </w:r>
            <w:r w:rsidR="007A13F0">
              <w:rPr>
                <w:sz w:val="20"/>
                <w:szCs w:val="20"/>
              </w:rPr>
              <w:fldChar w:fldCharType="begin"/>
            </w:r>
            <w:r w:rsidR="007A13F0">
              <w:rPr>
                <w:sz w:val="20"/>
                <w:szCs w:val="20"/>
              </w:rPr>
              <w:instrText xml:space="preserve"> REF _Ref531609660 \r \h </w:instrText>
            </w:r>
            <w:r w:rsidR="007A13F0">
              <w:rPr>
                <w:sz w:val="20"/>
                <w:szCs w:val="20"/>
              </w:rPr>
            </w:r>
            <w:r w:rsidR="007A13F0">
              <w:rPr>
                <w:sz w:val="20"/>
                <w:szCs w:val="20"/>
              </w:rPr>
              <w:fldChar w:fldCharType="separate"/>
            </w:r>
            <w:r w:rsidR="00154150">
              <w:rPr>
                <w:sz w:val="20"/>
                <w:szCs w:val="20"/>
              </w:rPr>
              <w:t>15</w:t>
            </w:r>
            <w:r w:rsidR="007A13F0">
              <w:rPr>
                <w:sz w:val="20"/>
                <w:szCs w:val="20"/>
              </w:rPr>
              <w:fldChar w:fldCharType="end"/>
            </w:r>
            <w:r w:rsidRPr="0031468F">
              <w:rPr>
                <w:sz w:val="20"/>
                <w:szCs w:val="20"/>
              </w:rPr>
              <w:t>]</w:t>
            </w:r>
          </w:p>
        </w:tc>
        <w:tc>
          <w:tcPr>
            <w:tcW w:w="1708" w:type="pct"/>
          </w:tcPr>
          <w:p w14:paraId="23977ECC" w14:textId="3625A023" w:rsidR="0070662D" w:rsidRPr="0031468F" w:rsidRDefault="007522A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S ciljem povećanja udjela </w:t>
            </w:r>
            <w:r w:rsidR="000E3C55" w:rsidRPr="0031468F">
              <w:rPr>
                <w:rFonts w:cs="Arial"/>
                <w:sz w:val="20"/>
                <w:szCs w:val="20"/>
              </w:rPr>
              <w:t>energetski</w:t>
            </w:r>
            <w:r w:rsidR="00637777" w:rsidRPr="0031468F">
              <w:rPr>
                <w:rFonts w:cs="Arial"/>
                <w:sz w:val="20"/>
                <w:szCs w:val="20"/>
              </w:rPr>
              <w:t xml:space="preserve"> učinkovitih vozila</w:t>
            </w:r>
            <w:r w:rsidR="00637777" w:rsidRPr="005A25C9">
              <w:rPr>
                <w:rFonts w:cs="Arial"/>
                <w:sz w:val="20"/>
                <w:szCs w:val="20"/>
              </w:rPr>
              <w:t xml:space="preserve"> </w:t>
            </w:r>
            <w:r w:rsidRPr="0031468F">
              <w:rPr>
                <w:rFonts w:cs="Arial"/>
                <w:sz w:val="20"/>
                <w:szCs w:val="20"/>
              </w:rPr>
              <w:t xml:space="preserve">uvele su se subvencije za kupnju </w:t>
            </w:r>
            <w:r w:rsidRPr="005A25C9">
              <w:rPr>
                <w:rFonts w:cs="Arial"/>
                <w:sz w:val="20"/>
                <w:szCs w:val="20"/>
              </w:rPr>
              <w:t xml:space="preserve">vozila </w:t>
            </w:r>
            <w:r w:rsidR="00637777" w:rsidRPr="0031468F">
              <w:rPr>
                <w:rFonts w:cs="Arial"/>
                <w:sz w:val="20"/>
                <w:szCs w:val="20"/>
              </w:rPr>
              <w:t xml:space="preserve">s pogonom na </w:t>
            </w:r>
            <w:r w:rsidR="004133C9" w:rsidRPr="0031468F">
              <w:rPr>
                <w:rFonts w:cs="Arial"/>
                <w:sz w:val="20"/>
                <w:szCs w:val="20"/>
              </w:rPr>
              <w:t>alternativna goriva</w:t>
            </w:r>
            <w:r w:rsidR="00546A85" w:rsidRPr="0031468F">
              <w:rPr>
                <w:rFonts w:cs="Arial"/>
                <w:sz w:val="20"/>
                <w:szCs w:val="20"/>
              </w:rPr>
              <w:t>,</w:t>
            </w:r>
            <w:r w:rsidRPr="005A25C9">
              <w:rPr>
                <w:rFonts w:cs="Arial"/>
                <w:sz w:val="20"/>
                <w:szCs w:val="20"/>
              </w:rPr>
              <w:t xml:space="preserve"> kroz dodjelu nepovratnih sredstava. Ova se sredstva isplaćuju iz prihoda Fonda za zaštitu okoliša i energetsku učinkovitost ostvarenog</w:t>
            </w:r>
            <w:r w:rsidR="00A7735F">
              <w:rPr>
                <w:rFonts w:cs="Arial"/>
                <w:sz w:val="20"/>
                <w:szCs w:val="20"/>
              </w:rPr>
              <w:t xml:space="preserve"> od prodaje emisijskih jedinica putem dražbi i</w:t>
            </w:r>
            <w:r w:rsidR="00E274D7">
              <w:rPr>
                <w:rFonts w:cs="Arial"/>
                <w:sz w:val="20"/>
                <w:szCs w:val="20"/>
              </w:rPr>
              <w:t>,</w:t>
            </w:r>
            <w:r w:rsidRPr="005A25C9">
              <w:rPr>
                <w:rFonts w:cs="Arial"/>
                <w:sz w:val="20"/>
                <w:szCs w:val="20"/>
              </w:rPr>
              <w:t xml:space="preserve"> između ostalog</w:t>
            </w:r>
            <w:r w:rsidR="00E274D7">
              <w:rPr>
                <w:rFonts w:cs="Arial"/>
                <w:sz w:val="20"/>
                <w:szCs w:val="20"/>
              </w:rPr>
              <w:t>,</w:t>
            </w:r>
            <w:r w:rsidRPr="005A25C9">
              <w:rPr>
                <w:rFonts w:cs="Arial"/>
                <w:sz w:val="20"/>
                <w:szCs w:val="20"/>
              </w:rPr>
              <w:t xml:space="preserve"> prikupljanjem posebne naknade za okoliš na vozila na motorni pogon.</w:t>
            </w:r>
          </w:p>
        </w:tc>
      </w:tr>
      <w:tr w:rsidR="0070662D" w:rsidRPr="00DD7F26" w14:paraId="14587F8E" w14:textId="77777777" w:rsidTr="004432C0">
        <w:tc>
          <w:tcPr>
            <w:cnfStyle w:val="001000000000" w:firstRow="0" w:lastRow="0" w:firstColumn="1" w:lastColumn="0" w:oddVBand="0" w:evenVBand="0" w:oddHBand="0" w:evenHBand="0" w:firstRowFirstColumn="0" w:firstRowLastColumn="0" w:lastRowFirstColumn="0" w:lastRowLastColumn="0"/>
            <w:tcW w:w="1609" w:type="pct"/>
          </w:tcPr>
          <w:p w14:paraId="71BAD55E" w14:textId="0931F399" w:rsidR="0070662D" w:rsidRPr="007145ED" w:rsidRDefault="00D67371" w:rsidP="00A004BA">
            <w:pPr>
              <w:pStyle w:val="Default"/>
              <w:rPr>
                <w:b w:val="0"/>
                <w:sz w:val="20"/>
                <w:szCs w:val="20"/>
              </w:rPr>
            </w:pPr>
            <w:r w:rsidRPr="00D67371">
              <w:rPr>
                <w:b w:val="0"/>
                <w:sz w:val="20"/>
                <w:szCs w:val="20"/>
              </w:rPr>
              <w:t>Razvoj infrastrukture za alternativna goriva</w:t>
            </w:r>
          </w:p>
        </w:tc>
        <w:tc>
          <w:tcPr>
            <w:tcW w:w="1683" w:type="pct"/>
          </w:tcPr>
          <w:p w14:paraId="27985C87" w14:textId="5BDF4DE9" w:rsidR="0070662D" w:rsidRPr="0031468F" w:rsidRDefault="007522A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Nacionalni okvir politike za uspostavu infrastrukture i razvoj tržišta alternativnih goriva u prometu (NN 34/17)</w:t>
            </w:r>
            <w:r w:rsidRPr="0031468F">
              <w:rPr>
                <w:sz w:val="20"/>
                <w:szCs w:val="20"/>
              </w:rPr>
              <w:t>, Zakon o uspostavi infrastrukture za alternativne goriva (NN 120/16)</w:t>
            </w:r>
            <w:r w:rsidR="00154AC3" w:rsidRPr="0031468F">
              <w:rPr>
                <w:sz w:val="20"/>
                <w:szCs w:val="20"/>
              </w:rPr>
              <w:t xml:space="preserve">, </w:t>
            </w:r>
            <w:r w:rsidR="00531499" w:rsidRPr="002934E4">
              <w:rPr>
                <w:sz w:val="20"/>
                <w:szCs w:val="20"/>
              </w:rPr>
              <w:t>Četvrti nacionalni akcijski plan energetske učinkovitosti za razdoblje do kraja 2019</w:t>
            </w:r>
            <w:r w:rsidR="00AF57BE">
              <w:rPr>
                <w:sz w:val="20"/>
                <w:szCs w:val="20"/>
              </w:rPr>
              <w:t>.</w:t>
            </w:r>
            <w:r w:rsidR="00531499">
              <w:rPr>
                <w:sz w:val="20"/>
                <w:szCs w:val="20"/>
              </w:rPr>
              <w:t xml:space="preserve"> [</w:t>
            </w:r>
            <w:r w:rsidR="00531499">
              <w:rPr>
                <w:sz w:val="20"/>
                <w:szCs w:val="20"/>
              </w:rPr>
              <w:fldChar w:fldCharType="begin"/>
            </w:r>
            <w:r w:rsidR="00531499">
              <w:rPr>
                <w:sz w:val="20"/>
                <w:szCs w:val="20"/>
              </w:rPr>
              <w:instrText xml:space="preserve"> REF _Ref531609660 \r \h </w:instrText>
            </w:r>
            <w:r w:rsidR="00531499">
              <w:rPr>
                <w:sz w:val="20"/>
                <w:szCs w:val="20"/>
              </w:rPr>
            </w:r>
            <w:r w:rsidR="00531499">
              <w:rPr>
                <w:sz w:val="20"/>
                <w:szCs w:val="20"/>
              </w:rPr>
              <w:fldChar w:fldCharType="separate"/>
            </w:r>
            <w:r w:rsidR="00154150">
              <w:rPr>
                <w:sz w:val="20"/>
                <w:szCs w:val="20"/>
              </w:rPr>
              <w:t>15</w:t>
            </w:r>
            <w:r w:rsidR="00531499">
              <w:rPr>
                <w:sz w:val="20"/>
                <w:szCs w:val="20"/>
              </w:rPr>
              <w:fldChar w:fldCharType="end"/>
            </w:r>
            <w:r w:rsidR="00531499">
              <w:rPr>
                <w:sz w:val="20"/>
                <w:szCs w:val="20"/>
              </w:rPr>
              <w:t>]</w:t>
            </w:r>
          </w:p>
        </w:tc>
        <w:tc>
          <w:tcPr>
            <w:tcW w:w="1708" w:type="pct"/>
          </w:tcPr>
          <w:p w14:paraId="1B2277BE" w14:textId="197F186D" w:rsidR="0070662D" w:rsidRPr="005A25C9" w:rsidRDefault="00183DFA"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Poticajna mjera sufinanciranja koja prati Direktivu o uspostavi infrastrukture za alternativna goriva, Zakon o uspostavi infrastrukture za alternativna goriva i Nacionalni okvir politike za uspostavu infrastrukture i razvoj tržišta alternativnih goriva u prometu</w:t>
            </w:r>
            <w:r w:rsidR="00531499">
              <w:rPr>
                <w:rFonts w:cs="Arial"/>
                <w:sz w:val="20"/>
                <w:szCs w:val="20"/>
              </w:rPr>
              <w:t xml:space="preserve"> (NOP)</w:t>
            </w:r>
            <w:r w:rsidRPr="0031468F">
              <w:rPr>
                <w:rFonts w:cs="Arial"/>
                <w:sz w:val="20"/>
                <w:szCs w:val="20"/>
              </w:rPr>
              <w:t>, te potiče izgradnju punionica u skladu s navedenim dokumentima.</w:t>
            </w:r>
          </w:p>
        </w:tc>
      </w:tr>
      <w:tr w:rsidR="0070662D" w:rsidRPr="00DD7F26" w14:paraId="2BC8FF39" w14:textId="77777777" w:rsidTr="004432C0">
        <w:tc>
          <w:tcPr>
            <w:cnfStyle w:val="001000000000" w:firstRow="0" w:lastRow="0" w:firstColumn="1" w:lastColumn="0" w:oddVBand="0" w:evenVBand="0" w:oddHBand="0" w:evenHBand="0" w:firstRowFirstColumn="0" w:firstRowLastColumn="0" w:lastRowFirstColumn="0" w:lastRowLastColumn="0"/>
            <w:tcW w:w="1609" w:type="pct"/>
          </w:tcPr>
          <w:p w14:paraId="4DD35BA5" w14:textId="2C91E97D" w:rsidR="0070662D" w:rsidRPr="007145ED" w:rsidRDefault="00D67371" w:rsidP="00A004BA">
            <w:pPr>
              <w:pStyle w:val="Default"/>
              <w:rPr>
                <w:b w:val="0"/>
                <w:sz w:val="20"/>
                <w:szCs w:val="20"/>
              </w:rPr>
            </w:pPr>
            <w:r w:rsidRPr="00D67371">
              <w:rPr>
                <w:b w:val="0"/>
                <w:sz w:val="20"/>
                <w:szCs w:val="20"/>
              </w:rPr>
              <w:t xml:space="preserve">Promicanje integriranih i inteligentnih transportnih </w:t>
            </w:r>
            <w:r w:rsidRPr="00D67371">
              <w:rPr>
                <w:b w:val="0"/>
                <w:sz w:val="20"/>
                <w:szCs w:val="20"/>
              </w:rPr>
              <w:lastRenderedPageBreak/>
              <w:t>sustava i alternativnih goriva u urbanim područjima</w:t>
            </w:r>
          </w:p>
        </w:tc>
        <w:tc>
          <w:tcPr>
            <w:tcW w:w="1683" w:type="pct"/>
          </w:tcPr>
          <w:p w14:paraId="406FAB79" w14:textId="0602B599" w:rsidR="0070662D" w:rsidRPr="005A25C9" w:rsidRDefault="00531499"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2934E4">
              <w:rPr>
                <w:sz w:val="20"/>
                <w:szCs w:val="20"/>
              </w:rPr>
              <w:lastRenderedPageBreak/>
              <w:t>Četvrti nacionalni akcijski plan energetske učinkovitosti za razdoblje do kraja 2019</w:t>
            </w:r>
            <w:r w:rsidR="00AF57BE">
              <w:rPr>
                <w:sz w:val="20"/>
                <w:szCs w:val="20"/>
              </w:rPr>
              <w:t>.</w:t>
            </w:r>
            <w:r>
              <w:rPr>
                <w:sz w:val="20"/>
                <w:szCs w:val="20"/>
              </w:rPr>
              <w:t xml:space="preserve"> </w:t>
            </w:r>
            <w:r w:rsidR="00CE3A58">
              <w:rPr>
                <w:sz w:val="20"/>
                <w:szCs w:val="20"/>
              </w:rPr>
              <w:t>[</w:t>
            </w:r>
            <w:r w:rsidR="003142CF">
              <w:rPr>
                <w:sz w:val="20"/>
                <w:szCs w:val="20"/>
              </w:rPr>
              <w:fldChar w:fldCharType="begin"/>
            </w:r>
            <w:r w:rsidR="003142CF">
              <w:rPr>
                <w:sz w:val="20"/>
                <w:szCs w:val="20"/>
              </w:rPr>
              <w:instrText xml:space="preserve"> REF _Ref531609660 \r \h </w:instrText>
            </w:r>
            <w:r w:rsidR="003142CF">
              <w:rPr>
                <w:sz w:val="20"/>
                <w:szCs w:val="20"/>
              </w:rPr>
            </w:r>
            <w:r w:rsidR="003142CF">
              <w:rPr>
                <w:sz w:val="20"/>
                <w:szCs w:val="20"/>
              </w:rPr>
              <w:fldChar w:fldCharType="separate"/>
            </w:r>
            <w:r w:rsidR="00154150">
              <w:rPr>
                <w:sz w:val="20"/>
                <w:szCs w:val="20"/>
              </w:rPr>
              <w:t>15</w:t>
            </w:r>
            <w:r w:rsidR="003142CF">
              <w:rPr>
                <w:sz w:val="20"/>
                <w:szCs w:val="20"/>
              </w:rPr>
              <w:fldChar w:fldCharType="end"/>
            </w:r>
            <w:r w:rsidR="00CE3A58">
              <w:rPr>
                <w:sz w:val="20"/>
                <w:szCs w:val="20"/>
              </w:rPr>
              <w:t>]</w:t>
            </w:r>
          </w:p>
        </w:tc>
        <w:tc>
          <w:tcPr>
            <w:tcW w:w="1708" w:type="pct"/>
          </w:tcPr>
          <w:p w14:paraId="17121554" w14:textId="2327879C" w:rsidR="0070662D" w:rsidRPr="0031468F" w:rsidRDefault="007522A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Mjera uključuje promicanje optimizacije prijevoza robe, integrirani prijevoz građana, </w:t>
            </w:r>
            <w:r w:rsidRPr="0031468F">
              <w:rPr>
                <w:rFonts w:cs="Arial"/>
                <w:sz w:val="20"/>
                <w:szCs w:val="20"/>
              </w:rPr>
              <w:lastRenderedPageBreak/>
              <w:t>inteligentno upravljanje prometom, promicanje shema za dijeljenje automobila, promociju javnih bicikala i mjere za potporu razvoja infrastrukture za alternativna goriva u urbanim područjima</w:t>
            </w:r>
            <w:r w:rsidR="00067DB1">
              <w:rPr>
                <w:rFonts w:cs="Arial"/>
                <w:sz w:val="20"/>
                <w:szCs w:val="20"/>
              </w:rPr>
              <w:t>.</w:t>
            </w:r>
          </w:p>
        </w:tc>
      </w:tr>
      <w:tr w:rsidR="00B8226C" w:rsidRPr="00DD7F26" w14:paraId="75517BD6"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5704522F" w14:textId="640D0CDE" w:rsidR="00B8226C" w:rsidRPr="00D67371" w:rsidRDefault="005A240A" w:rsidP="00A004BA">
            <w:pPr>
              <w:pStyle w:val="Default"/>
              <w:rPr>
                <w:b w:val="0"/>
                <w:sz w:val="20"/>
                <w:szCs w:val="20"/>
              </w:rPr>
            </w:pPr>
            <w:r w:rsidRPr="005A240A">
              <w:rPr>
                <w:b w:val="0"/>
                <w:sz w:val="20"/>
                <w:szCs w:val="20"/>
              </w:rPr>
              <w:lastRenderedPageBreak/>
              <w:t>Promicanje čistih i energetskih učinkovitih vozila u</w:t>
            </w:r>
            <w:r w:rsidR="00531499">
              <w:rPr>
                <w:b w:val="0"/>
                <w:sz w:val="20"/>
                <w:szCs w:val="20"/>
              </w:rPr>
              <w:t xml:space="preserve"> javnom</w:t>
            </w:r>
            <w:r w:rsidRPr="005A240A">
              <w:rPr>
                <w:b w:val="0"/>
                <w:sz w:val="20"/>
                <w:szCs w:val="20"/>
              </w:rPr>
              <w:t xml:space="preserve"> cestovnom prijevozu</w:t>
            </w:r>
          </w:p>
        </w:tc>
        <w:tc>
          <w:tcPr>
            <w:tcW w:w="1683" w:type="pct"/>
          </w:tcPr>
          <w:p w14:paraId="5BD1B907" w14:textId="593AE00D" w:rsidR="00B8226C" w:rsidRPr="006512D8" w:rsidRDefault="00ED496D" w:rsidP="00F263C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496D">
              <w:rPr>
                <w:sz w:val="20"/>
                <w:szCs w:val="20"/>
              </w:rPr>
              <w:t>Zakon o promicanju čistih i energetski učinkovitih vozila u cestovnom prometu</w:t>
            </w:r>
            <w:r>
              <w:rPr>
                <w:sz w:val="20"/>
                <w:szCs w:val="20"/>
              </w:rPr>
              <w:t xml:space="preserve"> (</w:t>
            </w:r>
            <w:r w:rsidRPr="00ED496D">
              <w:rPr>
                <w:sz w:val="20"/>
                <w:szCs w:val="20"/>
              </w:rPr>
              <w:t>NN 127/13</w:t>
            </w:r>
            <w:r>
              <w:rPr>
                <w:sz w:val="20"/>
                <w:szCs w:val="20"/>
              </w:rPr>
              <w:t>)</w:t>
            </w:r>
            <w:r w:rsidR="00201A46">
              <w:rPr>
                <w:sz w:val="20"/>
                <w:szCs w:val="20"/>
              </w:rPr>
              <w:t>, P</w:t>
            </w:r>
            <w:r w:rsidR="00201A46" w:rsidRPr="00C27713">
              <w:rPr>
                <w:sz w:val="20"/>
                <w:szCs w:val="20"/>
              </w:rPr>
              <w:t>ravilnik</w:t>
            </w:r>
            <w:r w:rsidR="00201A46">
              <w:rPr>
                <w:sz w:val="20"/>
                <w:szCs w:val="20"/>
              </w:rPr>
              <w:t xml:space="preserve"> </w:t>
            </w:r>
            <w:r w:rsidR="00201A46" w:rsidRPr="00C27713">
              <w:rPr>
                <w:sz w:val="20"/>
                <w:szCs w:val="20"/>
              </w:rPr>
              <w:t>o metodologiji za izračun operativnih troškova tijekom razdoblja eksploatacije vozila za cestovni prijevoz</w:t>
            </w:r>
            <w:r w:rsidR="00201A46">
              <w:rPr>
                <w:sz w:val="20"/>
                <w:szCs w:val="20"/>
              </w:rPr>
              <w:t xml:space="preserve"> (NN 136</w:t>
            </w:r>
            <w:r w:rsidR="00201A46" w:rsidRPr="0000030A">
              <w:rPr>
                <w:sz w:val="20"/>
                <w:szCs w:val="20"/>
              </w:rPr>
              <w:t>/13)</w:t>
            </w:r>
          </w:p>
        </w:tc>
        <w:tc>
          <w:tcPr>
            <w:tcW w:w="1708" w:type="pct"/>
          </w:tcPr>
          <w:p w14:paraId="17B42739" w14:textId="313346F2" w:rsidR="00B8226C" w:rsidRPr="005A25C9" w:rsidRDefault="00140D20"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 xml:space="preserve">Zakon </w:t>
            </w:r>
            <w:r w:rsidR="00FB20CD" w:rsidRPr="0031468F">
              <w:rPr>
                <w:rFonts w:cs="Arial"/>
                <w:sz w:val="20"/>
                <w:szCs w:val="20"/>
              </w:rPr>
              <w:t>definira da svi naručitelji i prijevoznici koji obavljaju javni linijski prijevoz putnika na temelju ugovora o obavljanju javnih</w:t>
            </w:r>
            <w:r w:rsidR="00BA19B3" w:rsidRPr="0031468F">
              <w:rPr>
                <w:rFonts w:cs="Arial"/>
                <w:sz w:val="20"/>
                <w:szCs w:val="20"/>
              </w:rPr>
              <w:t xml:space="preserve"> usluga,</w:t>
            </w:r>
            <w:r w:rsidR="00FB20CD" w:rsidRPr="0031468F">
              <w:rPr>
                <w:rFonts w:cs="Arial"/>
                <w:sz w:val="20"/>
                <w:szCs w:val="20"/>
              </w:rPr>
              <w:t xml:space="preserve"> </w:t>
            </w:r>
            <w:r w:rsidR="00FB20CD" w:rsidRPr="005A25C9">
              <w:rPr>
                <w:rFonts w:cs="Arial"/>
                <w:sz w:val="20"/>
                <w:szCs w:val="20"/>
              </w:rPr>
              <w:t>pri kupnji vozila za cestovni prijevoz</w:t>
            </w:r>
            <w:r w:rsidR="000403AA" w:rsidRPr="0031468F">
              <w:rPr>
                <w:rFonts w:cs="Arial"/>
                <w:sz w:val="20"/>
                <w:szCs w:val="20"/>
              </w:rPr>
              <w:t xml:space="preserve"> moraju</w:t>
            </w:r>
            <w:r w:rsidR="00FB20CD" w:rsidRPr="0031468F">
              <w:rPr>
                <w:rFonts w:cs="Arial"/>
                <w:sz w:val="20"/>
                <w:szCs w:val="20"/>
              </w:rPr>
              <w:t xml:space="preserve"> uz</w:t>
            </w:r>
            <w:r w:rsidR="000403AA" w:rsidRPr="0031468F">
              <w:rPr>
                <w:rFonts w:cs="Arial"/>
                <w:sz w:val="20"/>
                <w:szCs w:val="20"/>
              </w:rPr>
              <w:t>eti</w:t>
            </w:r>
            <w:r w:rsidR="00FB20CD" w:rsidRPr="005A25C9">
              <w:rPr>
                <w:rFonts w:cs="Arial"/>
                <w:sz w:val="20"/>
                <w:szCs w:val="20"/>
              </w:rPr>
              <w:t xml:space="preserve"> u obzir energetske učinke i učinke na okoliš</w:t>
            </w:r>
            <w:r w:rsidR="00994E04" w:rsidRPr="0031468F">
              <w:rPr>
                <w:rFonts w:cs="Arial"/>
                <w:sz w:val="20"/>
                <w:szCs w:val="20"/>
              </w:rPr>
              <w:t xml:space="preserve"> istog</w:t>
            </w:r>
            <w:r w:rsidR="00FB20CD" w:rsidRPr="0031468F">
              <w:rPr>
                <w:rFonts w:cs="Arial"/>
                <w:sz w:val="20"/>
                <w:szCs w:val="20"/>
              </w:rPr>
              <w:t xml:space="preserve"> tijekom razdoblja eksploatacije vozila</w:t>
            </w:r>
            <w:r w:rsidR="00067DB1">
              <w:rPr>
                <w:rFonts w:cs="Arial"/>
                <w:sz w:val="20"/>
                <w:szCs w:val="20"/>
              </w:rPr>
              <w:t>.</w:t>
            </w:r>
          </w:p>
        </w:tc>
      </w:tr>
      <w:tr w:rsidR="00B8226C" w:rsidRPr="00DD7F26" w14:paraId="4FE0F97A"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5D8CB251" w14:textId="42EA8074" w:rsidR="00B8226C" w:rsidRPr="00D67371" w:rsidRDefault="009F0EE3" w:rsidP="00A004BA">
            <w:pPr>
              <w:pStyle w:val="Default"/>
              <w:rPr>
                <w:b w:val="0"/>
                <w:sz w:val="20"/>
                <w:szCs w:val="20"/>
              </w:rPr>
            </w:pPr>
            <w:r w:rsidRPr="009F0EE3">
              <w:rPr>
                <w:b w:val="0"/>
                <w:sz w:val="20"/>
                <w:szCs w:val="20"/>
              </w:rPr>
              <w:t xml:space="preserve">Poticanje </w:t>
            </w:r>
            <w:r w:rsidR="006646D5">
              <w:rPr>
                <w:b w:val="0"/>
                <w:sz w:val="20"/>
                <w:szCs w:val="20"/>
              </w:rPr>
              <w:t>integriran</w:t>
            </w:r>
            <w:r w:rsidRPr="009F0EE3">
              <w:rPr>
                <w:b w:val="0"/>
                <w:sz w:val="20"/>
                <w:szCs w:val="20"/>
              </w:rPr>
              <w:t xml:space="preserve">og </w:t>
            </w:r>
            <w:r w:rsidR="00531499">
              <w:rPr>
                <w:b w:val="0"/>
                <w:sz w:val="20"/>
                <w:szCs w:val="20"/>
              </w:rPr>
              <w:t xml:space="preserve">teretnog </w:t>
            </w:r>
            <w:r w:rsidRPr="009F0EE3">
              <w:rPr>
                <w:b w:val="0"/>
                <w:sz w:val="20"/>
                <w:szCs w:val="20"/>
              </w:rPr>
              <w:t>prometa</w:t>
            </w:r>
          </w:p>
        </w:tc>
        <w:tc>
          <w:tcPr>
            <w:tcW w:w="1683" w:type="pct"/>
          </w:tcPr>
          <w:p w14:paraId="71173C09" w14:textId="714D531E" w:rsidR="00BF6385" w:rsidRPr="00BF6385" w:rsidRDefault="00BF6385" w:rsidP="00BF63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BF6385">
              <w:rPr>
                <w:sz w:val="20"/>
                <w:szCs w:val="20"/>
              </w:rPr>
              <w:t xml:space="preserve">Zakon o kombiniranom prijevozu tereta </w:t>
            </w:r>
            <w:r>
              <w:rPr>
                <w:sz w:val="20"/>
                <w:szCs w:val="20"/>
              </w:rPr>
              <w:t>(NN</w:t>
            </w:r>
            <w:r w:rsidRPr="00BF6385">
              <w:rPr>
                <w:sz w:val="20"/>
                <w:szCs w:val="20"/>
              </w:rPr>
              <w:t xml:space="preserve"> 120/16)</w:t>
            </w:r>
          </w:p>
          <w:p w14:paraId="79A1A9F6" w14:textId="65124E74" w:rsidR="00B8226C" w:rsidRPr="006512D8" w:rsidRDefault="00BF6385" w:rsidP="00BF638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BF6385">
              <w:rPr>
                <w:sz w:val="20"/>
                <w:szCs w:val="20"/>
              </w:rPr>
              <w:t>Pravilnik o poticajima u kombiniranom prijevozu tereta (</w:t>
            </w:r>
            <w:r>
              <w:rPr>
                <w:sz w:val="20"/>
                <w:szCs w:val="20"/>
              </w:rPr>
              <w:t xml:space="preserve">NN </w:t>
            </w:r>
            <w:r w:rsidRPr="00BF6385">
              <w:rPr>
                <w:sz w:val="20"/>
                <w:szCs w:val="20"/>
              </w:rPr>
              <w:t>5/18)</w:t>
            </w:r>
          </w:p>
        </w:tc>
        <w:tc>
          <w:tcPr>
            <w:tcW w:w="1708" w:type="pct"/>
          </w:tcPr>
          <w:p w14:paraId="4A0228B8" w14:textId="45B62E52" w:rsidR="00B8226C" w:rsidRPr="0031468F" w:rsidRDefault="00FB00BD"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Pravilnikom</w:t>
            </w:r>
            <w:r w:rsidR="00FB20CD" w:rsidRPr="0031468F">
              <w:rPr>
                <w:rFonts w:cs="Arial"/>
                <w:sz w:val="20"/>
                <w:szCs w:val="20"/>
              </w:rPr>
              <w:t xml:space="preserve"> su</w:t>
            </w:r>
            <w:r w:rsidRPr="0031468F">
              <w:rPr>
                <w:rFonts w:cs="Arial"/>
                <w:sz w:val="20"/>
                <w:szCs w:val="20"/>
              </w:rPr>
              <w:t xml:space="preserve"> propisani poticaji u</w:t>
            </w:r>
            <w:r w:rsidR="00B6423D" w:rsidRPr="0031468F">
              <w:rPr>
                <w:rFonts w:cs="Arial"/>
                <w:sz w:val="20"/>
                <w:szCs w:val="20"/>
              </w:rPr>
              <w:t xml:space="preserve"> kombiniranom prijevozu tereta željeznicom, </w:t>
            </w:r>
            <w:r w:rsidR="00376B79" w:rsidRPr="0031468F">
              <w:rPr>
                <w:rFonts w:cs="Arial"/>
                <w:sz w:val="20"/>
                <w:szCs w:val="20"/>
              </w:rPr>
              <w:t xml:space="preserve">unutarnjim vodama ili morem, te </w:t>
            </w:r>
            <w:r w:rsidR="00AD7D19" w:rsidRPr="0031468F">
              <w:rPr>
                <w:rFonts w:cs="Arial"/>
                <w:sz w:val="20"/>
                <w:szCs w:val="20"/>
              </w:rPr>
              <w:t>poticaji u kombiniranom prijevozu tereta cestovnom dionicom.</w:t>
            </w:r>
          </w:p>
        </w:tc>
      </w:tr>
      <w:tr w:rsidR="0070662D" w:rsidRPr="00DD7F26" w14:paraId="4978377B"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624B7FB1" w14:textId="11B82765" w:rsidR="0070662D" w:rsidRPr="007145ED" w:rsidRDefault="00D67371" w:rsidP="00A004BA">
            <w:pPr>
              <w:pStyle w:val="Default"/>
              <w:rPr>
                <w:b w:val="0"/>
                <w:sz w:val="20"/>
                <w:szCs w:val="20"/>
              </w:rPr>
            </w:pPr>
            <w:bookmarkStart w:id="81" w:name="_Hlk531523485"/>
            <w:r w:rsidRPr="00D67371">
              <w:rPr>
                <w:b w:val="0"/>
                <w:sz w:val="20"/>
                <w:szCs w:val="20"/>
              </w:rPr>
              <w:t>Praćenje, izvještavanje i verifikacija emisija stakleničkih plinova u životnom vijeku tekućih goriva</w:t>
            </w:r>
            <w:bookmarkEnd w:id="81"/>
          </w:p>
        </w:tc>
        <w:tc>
          <w:tcPr>
            <w:tcW w:w="1683" w:type="pct"/>
          </w:tcPr>
          <w:p w14:paraId="056E9AE5" w14:textId="24843339" w:rsidR="0070662D" w:rsidRPr="0031468F" w:rsidRDefault="007522A6"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 zaštiti zraka (NN 130/11, 47/14, 61/17</w:t>
            </w:r>
            <w:r w:rsidR="00B13415">
              <w:rPr>
                <w:sz w:val="20"/>
                <w:szCs w:val="20"/>
              </w:rPr>
              <w:t xml:space="preserve">, </w:t>
            </w:r>
            <w:r w:rsidR="00B13415" w:rsidRPr="00B13415">
              <w:rPr>
                <w:sz w:val="20"/>
                <w:szCs w:val="20"/>
              </w:rPr>
              <w:t>118/18</w:t>
            </w:r>
            <w:r w:rsidRPr="005A25C9">
              <w:rPr>
                <w:sz w:val="20"/>
                <w:szCs w:val="20"/>
              </w:rPr>
              <w:t>),</w:t>
            </w:r>
            <w:r w:rsidRPr="0031468F">
              <w:rPr>
                <w:sz w:val="20"/>
                <w:szCs w:val="20"/>
              </w:rPr>
              <w:t xml:space="preserve"> Uredba o kvaliteti tekućih naftnih goriva i načinu praćenja i izvještavanja te metodologiji izračuna emisija stakleničkih plinova u životnom vijeku isporučenih goriva i energije (NN 57/17)</w:t>
            </w:r>
          </w:p>
        </w:tc>
        <w:tc>
          <w:tcPr>
            <w:tcW w:w="1708" w:type="pct"/>
          </w:tcPr>
          <w:p w14:paraId="7F3904C0" w14:textId="0ABF7DEF" w:rsidR="0070662D" w:rsidRPr="0031468F" w:rsidRDefault="007522A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Dobavljač koji stavlja gorivo na domaće tržište će pratiti emisije stakleničkih plinova po jedinici energije </w:t>
            </w:r>
            <w:r w:rsidR="00977F8D">
              <w:rPr>
                <w:rFonts w:cs="Arial"/>
                <w:sz w:val="20"/>
                <w:szCs w:val="20"/>
              </w:rPr>
              <w:t xml:space="preserve">u životnom vijeku </w:t>
            </w:r>
            <w:r w:rsidRPr="0031468F">
              <w:rPr>
                <w:rFonts w:cs="Arial"/>
                <w:sz w:val="20"/>
                <w:szCs w:val="20"/>
              </w:rPr>
              <w:t xml:space="preserve">goriva. Dobavljači trebaju sastaviti izvješće koje treba biti ovjereno i dostavljeno </w:t>
            </w:r>
            <w:r w:rsidR="003C09B3">
              <w:rPr>
                <w:rFonts w:cs="Arial"/>
                <w:sz w:val="20"/>
                <w:szCs w:val="20"/>
              </w:rPr>
              <w:t>Ministarstvu zaštite okoliša i energetike</w:t>
            </w:r>
            <w:r w:rsidRPr="0031468F">
              <w:rPr>
                <w:rFonts w:cs="Arial"/>
                <w:sz w:val="20"/>
                <w:szCs w:val="20"/>
              </w:rPr>
              <w:t>.</w:t>
            </w:r>
          </w:p>
        </w:tc>
      </w:tr>
      <w:tr w:rsidR="00EE1DD4" w:rsidRPr="00DD7F26" w14:paraId="654231F1" w14:textId="77777777" w:rsidTr="00286B4C">
        <w:tc>
          <w:tcPr>
            <w:cnfStyle w:val="001000000000" w:firstRow="0" w:lastRow="0" w:firstColumn="1" w:lastColumn="0" w:oddVBand="0" w:evenVBand="0" w:oddHBand="0" w:evenHBand="0" w:firstRowFirstColumn="0" w:firstRowLastColumn="0" w:lastRowFirstColumn="0" w:lastRowLastColumn="0"/>
            <w:tcW w:w="0" w:type="pct"/>
            <w:gridSpan w:val="3"/>
          </w:tcPr>
          <w:p w14:paraId="351AEEA6" w14:textId="42951DB1" w:rsidR="00EE1DD4" w:rsidRPr="00DD7F26" w:rsidRDefault="00D67371" w:rsidP="00223709">
            <w:pPr>
              <w:spacing w:before="0" w:after="0" w:line="240" w:lineRule="auto"/>
              <w:jc w:val="center"/>
              <w:rPr>
                <w:rFonts w:cs="Arial"/>
                <w:sz w:val="20"/>
                <w:szCs w:val="20"/>
              </w:rPr>
            </w:pPr>
            <w:r w:rsidRPr="00D67371">
              <w:rPr>
                <w:rFonts w:cs="Arial"/>
                <w:sz w:val="20"/>
                <w:szCs w:val="20"/>
              </w:rPr>
              <w:t>Industrijski procesi</w:t>
            </w:r>
          </w:p>
        </w:tc>
      </w:tr>
      <w:tr w:rsidR="00EE1DD4" w:rsidRPr="00EF5587" w14:paraId="5F92CF90"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3782CA03" w14:textId="6BF2BE63" w:rsidR="00EE1DD4" w:rsidRPr="00EF5587" w:rsidRDefault="00D67371" w:rsidP="00A004BA">
            <w:pPr>
              <w:pStyle w:val="Default"/>
              <w:jc w:val="both"/>
              <w:rPr>
                <w:sz w:val="20"/>
                <w:szCs w:val="20"/>
              </w:rPr>
            </w:pPr>
            <w:r w:rsidRPr="00D67371">
              <w:rPr>
                <w:b w:val="0"/>
                <w:bCs w:val="0"/>
                <w:sz w:val="20"/>
                <w:szCs w:val="20"/>
              </w:rPr>
              <w:t>Smanjenje emisije hlapljivih organskih spojeva u sektoru uporabe otapala</w:t>
            </w:r>
          </w:p>
        </w:tc>
        <w:tc>
          <w:tcPr>
            <w:tcW w:w="1683" w:type="pct"/>
          </w:tcPr>
          <w:p w14:paraId="1AF0B0C3" w14:textId="3BA1AB54" w:rsidR="00EE1DD4"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F003C">
              <w:rPr>
                <w:rFonts w:cs="Arial"/>
                <w:sz w:val="20"/>
                <w:szCs w:val="20"/>
              </w:rPr>
              <w:t>Uredba o graničnim vrijednostima sadržaja hlapivih organskih spojeva u određenim bojama i lakovima koji se koriste u graditeljstvu i proizvodima za završnu obradu vozila (NN 69/13)</w:t>
            </w:r>
          </w:p>
        </w:tc>
        <w:tc>
          <w:tcPr>
            <w:tcW w:w="1708" w:type="pct"/>
          </w:tcPr>
          <w:p w14:paraId="1EB9F904" w14:textId="1F874C3D" w:rsidR="00EE1DD4"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Uredba </w:t>
            </w:r>
            <w:r w:rsidRPr="003F003C">
              <w:rPr>
                <w:rFonts w:cs="Arial"/>
                <w:sz w:val="20"/>
                <w:szCs w:val="20"/>
              </w:rPr>
              <w:t>propisuje granične vrijednosti sadržaja hlapivih organskih spojeva koji se smiju stavljati na tržište. Izrada i primjena plana upravljanja otapalima smanjuje emisije hlapivih organskih spojeva, a time i emisije ugljikovog dioksida.</w:t>
            </w:r>
          </w:p>
        </w:tc>
      </w:tr>
      <w:tr w:rsidR="00D67371" w:rsidRPr="00EF5587" w14:paraId="4F6FFDD9"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2F584FAB" w14:textId="3878A469" w:rsidR="00D67371" w:rsidRPr="009557DE" w:rsidRDefault="00D67371" w:rsidP="00A004BA">
            <w:pPr>
              <w:pStyle w:val="Default"/>
              <w:jc w:val="both"/>
              <w:rPr>
                <w:b w:val="0"/>
                <w:sz w:val="20"/>
                <w:szCs w:val="20"/>
              </w:rPr>
            </w:pPr>
            <w:bookmarkStart w:id="82" w:name="_Hlk531523905"/>
            <w:r w:rsidRPr="009557DE">
              <w:rPr>
                <w:b w:val="0"/>
                <w:sz w:val="20"/>
                <w:szCs w:val="20"/>
              </w:rPr>
              <w:t>Postupanje s tvarima koje oštećuju ozonski sloj i fluoriranim stakleničkim plinovima</w:t>
            </w:r>
          </w:p>
        </w:tc>
        <w:tc>
          <w:tcPr>
            <w:tcW w:w="1683" w:type="pct"/>
          </w:tcPr>
          <w:p w14:paraId="69F52A56" w14:textId="5B1840E7" w:rsidR="00D67371" w:rsidRPr="005A25C9" w:rsidRDefault="000358CB"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739D">
              <w:rPr>
                <w:sz w:val="20"/>
                <w:szCs w:val="20"/>
              </w:rPr>
              <w:t>Zakon o zaštiti zraka (NN 130/11, 47/14, 61/17, 118/18)</w:t>
            </w:r>
            <w:r w:rsidR="004A70B3" w:rsidRPr="00ED739D">
              <w:rPr>
                <w:sz w:val="20"/>
                <w:szCs w:val="20"/>
              </w:rPr>
              <w:t xml:space="preserve">, </w:t>
            </w:r>
            <w:r w:rsidR="004A70B3">
              <w:rPr>
                <w:sz w:val="20"/>
                <w:szCs w:val="20"/>
              </w:rPr>
              <w:t>Uredba o tvarima koje oštećuju ozonski sloj i fluoriranim stakleničkim plinovima (NN 90/14) i</w:t>
            </w:r>
            <w:r w:rsidRPr="00ED739D">
              <w:rPr>
                <w:sz w:val="20"/>
                <w:szCs w:val="20"/>
              </w:rPr>
              <w:t xml:space="preserve"> </w:t>
            </w:r>
            <w:r w:rsidR="001730B4">
              <w:rPr>
                <w:sz w:val="20"/>
                <w:szCs w:val="20"/>
              </w:rPr>
              <w:t>Plan zaštite zraka, ozonskog sloja i ublažavanja klimatskih promjena u Republici Hrvatskoj za razdoblje od 2013. do 2017. godine (NN 139/13</w:t>
            </w:r>
            <w:r w:rsidRPr="00ED739D">
              <w:rPr>
                <w:sz w:val="20"/>
                <w:szCs w:val="20"/>
              </w:rPr>
              <w:t>)</w:t>
            </w:r>
            <w:r w:rsidR="00B21A16">
              <w:rPr>
                <w:sz w:val="20"/>
                <w:szCs w:val="20"/>
              </w:rPr>
              <w:t>]</w:t>
            </w:r>
          </w:p>
        </w:tc>
        <w:tc>
          <w:tcPr>
            <w:tcW w:w="1708" w:type="pct"/>
          </w:tcPr>
          <w:p w14:paraId="7D660F90" w14:textId="59C424F0"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Zabranjeno je ispuštanje kontroliranih tvari i fluoriranih stakleničkih plinova u zrak za vrijeme obavljanja aktivnosti prikupljanja, provjere propuštanja i održavanja ili servisiranja uređaja i opreme.</w:t>
            </w:r>
          </w:p>
        </w:tc>
      </w:tr>
      <w:bookmarkEnd w:id="82"/>
      <w:tr w:rsidR="00D67371" w:rsidRPr="00EF5587" w14:paraId="79B5E476"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4FDCA745" w14:textId="041C207D" w:rsidR="00D67371" w:rsidRPr="007145ED" w:rsidRDefault="00D67371" w:rsidP="00A004BA">
            <w:pPr>
              <w:pStyle w:val="Default"/>
              <w:jc w:val="both"/>
              <w:rPr>
                <w:b w:val="0"/>
                <w:sz w:val="20"/>
                <w:szCs w:val="20"/>
              </w:rPr>
            </w:pPr>
            <w:r w:rsidRPr="00D67371">
              <w:rPr>
                <w:b w:val="0"/>
                <w:sz w:val="20"/>
                <w:szCs w:val="20"/>
              </w:rPr>
              <w:t>Tehničke i organizacijske mjere prikupljanja, obnavljanja, oporabe i uništavanja kontroliranih tvari i fluoriranih stakleničkih plinova</w:t>
            </w:r>
          </w:p>
        </w:tc>
        <w:tc>
          <w:tcPr>
            <w:tcW w:w="1683" w:type="pct"/>
          </w:tcPr>
          <w:p w14:paraId="5F09D203" w14:textId="077E76DD" w:rsidR="00D67371" w:rsidRPr="005A25C9" w:rsidRDefault="00D4643F"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Uredba o tvarima koje oštećuju ozonski sloj i fluoriranim stakleničkim plinovima (NN 90/14) i </w:t>
            </w:r>
            <w:r w:rsidR="001730B4">
              <w:rPr>
                <w:sz w:val="20"/>
                <w:szCs w:val="20"/>
              </w:rPr>
              <w:t xml:space="preserve">Plan zaštite zraka, ozonskog sloja i ublažavanja klimatskih promjena u Republici </w:t>
            </w:r>
            <w:r w:rsidR="001730B4">
              <w:rPr>
                <w:sz w:val="20"/>
                <w:szCs w:val="20"/>
              </w:rPr>
              <w:lastRenderedPageBreak/>
              <w:t>Hrvatskoj za razdoblje od 2013. do 2017. godine (NN 139/13</w:t>
            </w:r>
            <w:r w:rsidR="000358CB" w:rsidRPr="00ED739D">
              <w:rPr>
                <w:sz w:val="20"/>
                <w:szCs w:val="20"/>
              </w:rPr>
              <w:t>)</w:t>
            </w:r>
          </w:p>
        </w:tc>
        <w:tc>
          <w:tcPr>
            <w:tcW w:w="1708" w:type="pct"/>
          </w:tcPr>
          <w:p w14:paraId="16CAB607" w14:textId="0B6CBBD9"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lastRenderedPageBreak/>
              <w:t>Ova skupina mjera definira način na koji se uporabljene kontrolirane tvari i fluorirani staklenički plinovi sadržani u proizvodima i opremi moraju prikupiti, obnoviti, oporabiti ili uništiti.</w:t>
            </w:r>
          </w:p>
        </w:tc>
      </w:tr>
      <w:tr w:rsidR="00D67371" w:rsidRPr="00EF5587" w14:paraId="02BBA69D"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1F4AEDAA" w14:textId="455D33B4" w:rsidR="00D67371" w:rsidRPr="007145ED" w:rsidRDefault="00D67371" w:rsidP="00A004BA">
            <w:pPr>
              <w:pStyle w:val="Default"/>
              <w:jc w:val="both"/>
              <w:rPr>
                <w:b w:val="0"/>
                <w:sz w:val="20"/>
                <w:szCs w:val="20"/>
              </w:rPr>
            </w:pPr>
            <w:r w:rsidRPr="00D67371">
              <w:rPr>
                <w:b w:val="0"/>
                <w:sz w:val="20"/>
                <w:szCs w:val="20"/>
              </w:rPr>
              <w:t>Izgradnja kapaciteta i jačanje znanja ovlaštenih servisera</w:t>
            </w:r>
          </w:p>
        </w:tc>
        <w:tc>
          <w:tcPr>
            <w:tcW w:w="1683" w:type="pct"/>
          </w:tcPr>
          <w:p w14:paraId="188C6555" w14:textId="1FFA2EEE" w:rsidR="00D67371" w:rsidRPr="005A25C9" w:rsidRDefault="001730B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r w:rsidR="004A0F26">
              <w:rPr>
                <w:sz w:val="20"/>
                <w:szCs w:val="20"/>
              </w:rPr>
              <w:t xml:space="preserve">, </w:t>
            </w:r>
            <w:r w:rsidR="004A0F26" w:rsidRPr="004A0F26">
              <w:rPr>
                <w:sz w:val="20"/>
                <w:szCs w:val="20"/>
              </w:rPr>
              <w:t xml:space="preserve">Pravilnik o izobrazbi osoba koje obavljaju djelatnost prikupljanja, provjere propuštanja, ugradnje i održavanja ili servisiranja opreme i uređaja koji sadrže tvari koje oštećuju ozonski sloj ili fluorirane stakleničke plinove ili o njima ovise (NN 03/13) </w:t>
            </w:r>
          </w:p>
        </w:tc>
        <w:tc>
          <w:tcPr>
            <w:tcW w:w="1708" w:type="pct"/>
          </w:tcPr>
          <w:p w14:paraId="5D1827CC" w14:textId="399304F3"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Edukacija ovlaštenih servisera o prikupljaju i rukovanju kontroliranim tvarima i fluoriranim stakleničkim plinovima tijekom servisiranja uređaja i opreme.</w:t>
            </w:r>
          </w:p>
        </w:tc>
      </w:tr>
      <w:tr w:rsidR="00D67371" w:rsidRPr="00EF5587" w14:paraId="1CB7D6EC"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61DB7C5F" w14:textId="273765D3" w:rsidR="00D67371" w:rsidRPr="007145ED" w:rsidRDefault="00D67371" w:rsidP="00A004BA">
            <w:pPr>
              <w:pStyle w:val="Default"/>
              <w:jc w:val="both"/>
              <w:rPr>
                <w:b w:val="0"/>
                <w:sz w:val="20"/>
                <w:szCs w:val="20"/>
              </w:rPr>
            </w:pPr>
            <w:r w:rsidRPr="00D67371">
              <w:rPr>
                <w:b w:val="0"/>
                <w:sz w:val="20"/>
                <w:szCs w:val="20"/>
              </w:rPr>
              <w:t>Provjera propuštanja kontroliranih tvari i flu</w:t>
            </w:r>
            <w:r w:rsidR="00C651D3">
              <w:rPr>
                <w:b w:val="0"/>
                <w:sz w:val="20"/>
                <w:szCs w:val="20"/>
              </w:rPr>
              <w:t>o</w:t>
            </w:r>
            <w:r w:rsidRPr="00D67371">
              <w:rPr>
                <w:b w:val="0"/>
                <w:sz w:val="20"/>
                <w:szCs w:val="20"/>
              </w:rPr>
              <w:t>riranih stakleničkih plinova</w:t>
            </w:r>
          </w:p>
        </w:tc>
        <w:tc>
          <w:tcPr>
            <w:tcW w:w="1683" w:type="pct"/>
          </w:tcPr>
          <w:p w14:paraId="3C3F2DBE" w14:textId="5040A80D" w:rsidR="00D67371" w:rsidRPr="005A25C9" w:rsidRDefault="00854D4C"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D739D">
              <w:rPr>
                <w:sz w:val="20"/>
                <w:szCs w:val="20"/>
              </w:rPr>
              <w:t>Zakon o zaštiti zraka (NN 130/11, 47/14, 61/17, 118/18), Uredba o tvarima koje oštećuju ozonski sloj i fluoriranim stakleničkim plinovima (NN 90/14),</w:t>
            </w:r>
            <w:r>
              <w:rPr>
                <w:sz w:val="20"/>
                <w:szCs w:val="20"/>
              </w:rPr>
              <w:t xml:space="preserve"> </w:t>
            </w:r>
            <w:r w:rsidR="001730B4">
              <w:rPr>
                <w:sz w:val="20"/>
                <w:szCs w:val="20"/>
              </w:rPr>
              <w:t xml:space="preserve">Plan zaštite zraka, ozonskog sloja i ublažavanja klimatskih promjena u Republici Hrvatskoj za razdoblje od </w:t>
            </w:r>
            <w:r w:rsidR="000358CB" w:rsidRPr="00ED739D">
              <w:rPr>
                <w:sz w:val="20"/>
                <w:szCs w:val="20"/>
              </w:rPr>
              <w:t>2013</w:t>
            </w:r>
            <w:r w:rsidR="001730B4">
              <w:rPr>
                <w:sz w:val="20"/>
                <w:szCs w:val="20"/>
              </w:rPr>
              <w:t>. do 2017. godine (NN 139/13</w:t>
            </w:r>
            <w:r w:rsidR="000358CB" w:rsidRPr="00ED739D">
              <w:rPr>
                <w:sz w:val="20"/>
                <w:szCs w:val="20"/>
              </w:rPr>
              <w:t>)</w:t>
            </w:r>
          </w:p>
        </w:tc>
        <w:tc>
          <w:tcPr>
            <w:tcW w:w="1708" w:type="pct"/>
          </w:tcPr>
          <w:p w14:paraId="5ECA94B5" w14:textId="096D4D66"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Tehničke mjere za sprječavanje ili uklanjanje propuštanja kontroliranih tvari i fl</w:t>
            </w:r>
            <w:r w:rsidR="00C651D3">
              <w:rPr>
                <w:rFonts w:cs="Arial"/>
                <w:bCs/>
                <w:sz w:val="20"/>
                <w:szCs w:val="20"/>
              </w:rPr>
              <w:t>uo</w:t>
            </w:r>
            <w:r w:rsidRPr="003F003C">
              <w:rPr>
                <w:rFonts w:cs="Arial"/>
                <w:bCs/>
                <w:sz w:val="20"/>
                <w:szCs w:val="20"/>
              </w:rPr>
              <w:t>riranih stakleničkih plinova.</w:t>
            </w:r>
          </w:p>
        </w:tc>
      </w:tr>
      <w:tr w:rsidR="00D67371" w:rsidRPr="00EF5587" w14:paraId="2736F2F6"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7EFA9A82" w14:textId="408EF8F0" w:rsidR="00D67371" w:rsidRPr="007145ED" w:rsidRDefault="00D67371" w:rsidP="00A004BA">
            <w:pPr>
              <w:pStyle w:val="Default"/>
              <w:jc w:val="both"/>
              <w:rPr>
                <w:b w:val="0"/>
                <w:sz w:val="20"/>
                <w:szCs w:val="20"/>
              </w:rPr>
            </w:pPr>
            <w:r w:rsidRPr="00D67371">
              <w:rPr>
                <w:b w:val="0"/>
                <w:sz w:val="20"/>
                <w:szCs w:val="20"/>
              </w:rPr>
              <w:t>Naknada za pokriće troškova prikupljanja, obnavljanja, oporabe i uništavanja kontroliranih tvari i fluoriranih stakleničkih plinova</w:t>
            </w:r>
          </w:p>
        </w:tc>
        <w:tc>
          <w:tcPr>
            <w:tcW w:w="1683" w:type="pct"/>
          </w:tcPr>
          <w:p w14:paraId="6F067119" w14:textId="22C8606D" w:rsidR="00D67371" w:rsidRPr="005A25C9" w:rsidRDefault="00AA111B">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A111B">
              <w:rPr>
                <w:sz w:val="20"/>
                <w:szCs w:val="20"/>
              </w:rPr>
              <w:t>Uredba o tvarima koje oštećuju ozonski sloj i fluoriranim stakleničkim plinovima</w:t>
            </w:r>
            <w:r>
              <w:rPr>
                <w:sz w:val="20"/>
                <w:szCs w:val="20"/>
              </w:rPr>
              <w:t xml:space="preserve"> (NN</w:t>
            </w:r>
            <w:r w:rsidRPr="00AA111B">
              <w:rPr>
                <w:sz w:val="20"/>
                <w:szCs w:val="20"/>
              </w:rPr>
              <w:t xml:space="preserve"> 90/14</w:t>
            </w:r>
            <w:r>
              <w:rPr>
                <w:sz w:val="20"/>
                <w:szCs w:val="20"/>
              </w:rPr>
              <w:t>)</w:t>
            </w:r>
          </w:p>
        </w:tc>
        <w:tc>
          <w:tcPr>
            <w:tcW w:w="1708" w:type="pct"/>
          </w:tcPr>
          <w:p w14:paraId="652DC04B" w14:textId="7AE61E5E" w:rsidR="00D67371" w:rsidRPr="00EF5587"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3F003C">
              <w:rPr>
                <w:rFonts w:cs="Arial"/>
                <w:bCs/>
                <w:sz w:val="20"/>
                <w:szCs w:val="20"/>
              </w:rPr>
              <w:t>Poduzetnik koji uvozi/unosi kontrolirane tvari i/ili fluorirane stakleničke plinove u svrhu stavljanja na tržište Republike Hrvatske ili za svoje potrebe, dužan je uplatiti naknadu u Fond za zaštitu okoliša i energetsku učinkovitost. Naknada iznosi 3,00 kune po kilogramu uvezene/unesene nerabljene kontrolirane tvari i/ili fluoriranog stakleničkog plina.</w:t>
            </w:r>
          </w:p>
        </w:tc>
      </w:tr>
      <w:tr w:rsidR="00EE1DD4" w:rsidRPr="00EF5587" w14:paraId="75DCCED7" w14:textId="77777777" w:rsidTr="00286B4C">
        <w:tc>
          <w:tcPr>
            <w:cnfStyle w:val="001000000000" w:firstRow="0" w:lastRow="0" w:firstColumn="1" w:lastColumn="0" w:oddVBand="0" w:evenVBand="0" w:oddHBand="0" w:evenHBand="0" w:firstRowFirstColumn="0" w:firstRowLastColumn="0" w:lastRowFirstColumn="0" w:lastRowLastColumn="0"/>
            <w:tcW w:w="0" w:type="pct"/>
            <w:gridSpan w:val="3"/>
          </w:tcPr>
          <w:p w14:paraId="1E31C199" w14:textId="4656FEEA" w:rsidR="00EE1DD4" w:rsidRPr="00EF5587" w:rsidRDefault="00CE47EE" w:rsidP="00223709">
            <w:pPr>
              <w:spacing w:before="0" w:after="0" w:line="240" w:lineRule="auto"/>
              <w:jc w:val="center"/>
              <w:rPr>
                <w:rFonts w:cs="Arial"/>
                <w:sz w:val="20"/>
                <w:szCs w:val="20"/>
              </w:rPr>
            </w:pPr>
            <w:r w:rsidRPr="00CE47EE">
              <w:rPr>
                <w:rFonts w:cs="Arial"/>
                <w:sz w:val="20"/>
                <w:szCs w:val="20"/>
              </w:rPr>
              <w:t>Gospodarenje otp</w:t>
            </w:r>
            <w:r>
              <w:rPr>
                <w:rFonts w:cs="Arial"/>
                <w:sz w:val="20"/>
                <w:szCs w:val="20"/>
              </w:rPr>
              <w:t>a</w:t>
            </w:r>
            <w:r w:rsidRPr="00CE47EE">
              <w:rPr>
                <w:rFonts w:cs="Arial"/>
                <w:sz w:val="20"/>
                <w:szCs w:val="20"/>
              </w:rPr>
              <w:t>dom</w:t>
            </w:r>
          </w:p>
        </w:tc>
      </w:tr>
      <w:tr w:rsidR="00EE1DD4" w:rsidRPr="00B23FAC" w14:paraId="568F6CD4"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32F7FA27" w14:textId="61468165" w:rsidR="00EE1DD4" w:rsidRPr="007145ED" w:rsidRDefault="00CE47EE" w:rsidP="007145ED">
            <w:pPr>
              <w:pStyle w:val="Default"/>
              <w:rPr>
                <w:b w:val="0"/>
                <w:sz w:val="20"/>
                <w:szCs w:val="20"/>
              </w:rPr>
            </w:pPr>
            <w:r w:rsidRPr="00CE47EE">
              <w:rPr>
                <w:b w:val="0"/>
                <w:sz w:val="20"/>
                <w:szCs w:val="20"/>
              </w:rPr>
              <w:t>Sprječavanje nastajanja i smanjivanje količine krutog komunalnog otpada</w:t>
            </w:r>
          </w:p>
        </w:tc>
        <w:tc>
          <w:tcPr>
            <w:tcW w:w="1683" w:type="pct"/>
          </w:tcPr>
          <w:p w14:paraId="04ACC889" w14:textId="0E3A2CED" w:rsidR="00EE1DD4" w:rsidRPr="00977A99" w:rsidRDefault="003F003C"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F003C">
              <w:rPr>
                <w:rFonts w:cs="Arial"/>
                <w:sz w:val="20"/>
                <w:szCs w:val="20"/>
              </w:rPr>
              <w:t>Zakon o održivom gospodarenju otpadom (</w:t>
            </w:r>
            <w:r w:rsidR="001C351F" w:rsidRPr="001C351F">
              <w:rPr>
                <w:rFonts w:cs="Arial"/>
                <w:sz w:val="20"/>
                <w:szCs w:val="20"/>
              </w:rPr>
              <w:t>NN 94/13, 73/17, 14/19, 98/19</w:t>
            </w:r>
            <w:r w:rsidRPr="003F003C">
              <w:rPr>
                <w:rFonts w:cs="Arial"/>
                <w:sz w:val="20"/>
                <w:szCs w:val="20"/>
              </w:rPr>
              <w:t>)</w:t>
            </w:r>
            <w:r w:rsidR="00B45D81">
              <w:rPr>
                <w:rFonts w:cs="Arial"/>
                <w:sz w:val="20"/>
                <w:szCs w:val="20"/>
              </w:rPr>
              <w:t>,</w:t>
            </w:r>
            <w:r w:rsidR="00B45D81">
              <w:t xml:space="preserve"> </w:t>
            </w:r>
            <w:r w:rsidR="00B45D81" w:rsidRPr="008E7510">
              <w:rPr>
                <w:rFonts w:cs="Arial"/>
                <w:sz w:val="20"/>
                <w:szCs w:val="20"/>
              </w:rPr>
              <w:t>Plan gospodarenja otpadom Republike Hrvatske za razdoblje 2017. - 2022. godine (NN 3/17)</w:t>
            </w:r>
          </w:p>
        </w:tc>
        <w:tc>
          <w:tcPr>
            <w:tcW w:w="1708" w:type="pct"/>
          </w:tcPr>
          <w:p w14:paraId="7395D814" w14:textId="41ED5EBB" w:rsidR="00EE1DD4"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Ova mjera se treba postići čistijom proizvodnjom, odgojem i obrazovanjem, ekonomskim instrumentima, primjenom propisa o objedinjenim uvjetima zaštite okoliša i ulaganjem u suvremene tehnologije. Sukladno zakonu definirani su kvantitativni ciljevi i rokovi za smanjenje ukupne količine odloženog otpada na neusklađena odlagališta.</w:t>
            </w:r>
          </w:p>
        </w:tc>
      </w:tr>
      <w:tr w:rsidR="00CE47EE" w:rsidRPr="00B23FAC" w14:paraId="634E987F"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5C4C5CAB" w14:textId="55E1131A" w:rsidR="00CE47EE" w:rsidRPr="007145ED" w:rsidRDefault="00CE47EE" w:rsidP="007145ED">
            <w:pPr>
              <w:pStyle w:val="Default"/>
              <w:rPr>
                <w:b w:val="0"/>
                <w:sz w:val="20"/>
                <w:szCs w:val="20"/>
              </w:rPr>
            </w:pPr>
            <w:r w:rsidRPr="00CE47EE">
              <w:rPr>
                <w:b w:val="0"/>
                <w:sz w:val="20"/>
                <w:szCs w:val="20"/>
              </w:rPr>
              <w:t>Povećanje količine odvojeno skupljenog i recikliranog krutog komunalnog otpada</w:t>
            </w:r>
          </w:p>
        </w:tc>
        <w:tc>
          <w:tcPr>
            <w:tcW w:w="1683" w:type="pct"/>
          </w:tcPr>
          <w:p w14:paraId="788C01D5" w14:textId="31B2E93D"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Zakon o održivom gospodarenju otpadom</w:t>
            </w:r>
            <w:r>
              <w:rPr>
                <w:rFonts w:cs="Arial"/>
                <w:sz w:val="20"/>
                <w:szCs w:val="20"/>
              </w:rPr>
              <w:t xml:space="preserve"> </w:t>
            </w:r>
            <w:r w:rsidRPr="003F003C">
              <w:rPr>
                <w:rFonts w:cs="Arial"/>
                <w:sz w:val="20"/>
                <w:szCs w:val="20"/>
              </w:rPr>
              <w:t>(NN 94/13</w:t>
            </w:r>
            <w:r w:rsidR="0060687D">
              <w:rPr>
                <w:rFonts w:cs="Arial"/>
                <w:sz w:val="20"/>
                <w:szCs w:val="20"/>
              </w:rPr>
              <w:t>, 73/17</w:t>
            </w:r>
            <w:r w:rsidR="002848F5">
              <w:rPr>
                <w:rFonts w:cs="Arial"/>
                <w:sz w:val="20"/>
                <w:szCs w:val="20"/>
              </w:rPr>
              <w:t>, 14/19</w:t>
            </w:r>
            <w:r w:rsidR="001030B7">
              <w:rPr>
                <w:rFonts w:cs="Arial"/>
                <w:sz w:val="20"/>
                <w:szCs w:val="20"/>
              </w:rPr>
              <w:t>, 98/19</w:t>
            </w:r>
            <w:r w:rsidRPr="003F003C">
              <w:rPr>
                <w:rFonts w:cs="Arial"/>
                <w:sz w:val="20"/>
                <w:szCs w:val="20"/>
              </w:rPr>
              <w:t>)</w:t>
            </w:r>
            <w:r>
              <w:rPr>
                <w:rFonts w:cs="Arial"/>
                <w:sz w:val="20"/>
                <w:szCs w:val="20"/>
              </w:rPr>
              <w:t xml:space="preserve">, </w:t>
            </w:r>
            <w:r w:rsidRPr="00BC52CA">
              <w:rPr>
                <w:rFonts w:cs="Arial"/>
                <w:sz w:val="20"/>
                <w:szCs w:val="20"/>
              </w:rPr>
              <w:t>Plan gospodarenja otpadom Republike Hrvatske za razdoblje 2017. - 2022. godine (NN 3/17).</w:t>
            </w:r>
          </w:p>
        </w:tc>
        <w:tc>
          <w:tcPr>
            <w:tcW w:w="1708" w:type="pct"/>
          </w:tcPr>
          <w:p w14:paraId="2E2F2FEE" w14:textId="3A269FAE"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 xml:space="preserve">Do 2020. godine potrebno je osigurati pripremu za ponovnu uporabu i recikliranje sljedećih otpadnih materijala: papir, metal, plastika i staklo iz kućanstva, a po mogućnosti i iz drugih izvora ako su ti tokovi otpada slični otpadu iz kućanstva, u </w:t>
            </w:r>
            <w:r w:rsidRPr="00BC52CA">
              <w:rPr>
                <w:rFonts w:cs="Arial"/>
                <w:sz w:val="20"/>
                <w:szCs w:val="20"/>
              </w:rPr>
              <w:lastRenderedPageBreak/>
              <w:t>minimalnom udjelu od 50% mase otpada.</w:t>
            </w:r>
          </w:p>
        </w:tc>
      </w:tr>
      <w:tr w:rsidR="00CE47EE" w:rsidRPr="00B23FAC" w14:paraId="6C8E2890"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048B4578" w14:textId="7AA4C0A5" w:rsidR="00CE47EE" w:rsidRPr="007145ED" w:rsidRDefault="00CE47EE" w:rsidP="007145ED">
            <w:pPr>
              <w:pStyle w:val="Default"/>
              <w:rPr>
                <w:b w:val="0"/>
                <w:sz w:val="20"/>
                <w:szCs w:val="20"/>
              </w:rPr>
            </w:pPr>
            <w:r w:rsidRPr="00CE47EE">
              <w:rPr>
                <w:b w:val="0"/>
                <w:sz w:val="20"/>
                <w:szCs w:val="20"/>
              </w:rPr>
              <w:lastRenderedPageBreak/>
              <w:t>Spaljivanje metana na baklji</w:t>
            </w:r>
          </w:p>
        </w:tc>
        <w:tc>
          <w:tcPr>
            <w:tcW w:w="1683" w:type="pct"/>
          </w:tcPr>
          <w:p w14:paraId="6DF4C1CA" w14:textId="1CCE765C"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 xml:space="preserve">Pravilnik o načinima i uvjetima odlaganja otpada, kategorijama i uvjetima rada za odlagališta otpada (NN </w:t>
            </w:r>
            <w:r w:rsidR="00D939E8" w:rsidRPr="00D939E8">
              <w:rPr>
                <w:rFonts w:cs="Arial"/>
                <w:sz w:val="20"/>
                <w:szCs w:val="20"/>
              </w:rPr>
              <w:t>114/15, 103/18, 56/2019</w:t>
            </w:r>
            <w:r w:rsidRPr="00BC52CA">
              <w:rPr>
                <w:rFonts w:cs="Arial"/>
                <w:sz w:val="20"/>
                <w:szCs w:val="20"/>
              </w:rPr>
              <w:t>)</w:t>
            </w:r>
            <w:r>
              <w:rPr>
                <w:rFonts w:cs="Arial"/>
                <w:sz w:val="20"/>
                <w:szCs w:val="20"/>
              </w:rPr>
              <w:t xml:space="preserve">, </w:t>
            </w:r>
            <w:r w:rsidRPr="00BC52CA">
              <w:rPr>
                <w:rFonts w:cs="Arial"/>
                <w:sz w:val="20"/>
                <w:szCs w:val="20"/>
              </w:rPr>
              <w:t>Pravilnik o gospodarenju otpadom (</w:t>
            </w:r>
            <w:r w:rsidR="005F3E81">
              <w:rPr>
                <w:rFonts w:cs="Arial"/>
                <w:sz w:val="20"/>
                <w:szCs w:val="20"/>
              </w:rPr>
              <w:t>117/17</w:t>
            </w:r>
            <w:r w:rsidRPr="00BC52CA">
              <w:rPr>
                <w:rFonts w:cs="Arial"/>
                <w:sz w:val="20"/>
                <w:szCs w:val="20"/>
              </w:rPr>
              <w:t>)</w:t>
            </w:r>
          </w:p>
        </w:tc>
        <w:tc>
          <w:tcPr>
            <w:tcW w:w="1708" w:type="pct"/>
          </w:tcPr>
          <w:p w14:paraId="61BB613C" w14:textId="175F5D18"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tc>
      </w:tr>
      <w:tr w:rsidR="00CE47EE" w:rsidRPr="00B23FAC" w14:paraId="04BFD954"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7BA084EC" w14:textId="4A252060" w:rsidR="00CE47EE" w:rsidRPr="007145ED" w:rsidRDefault="00CE47EE" w:rsidP="007145ED">
            <w:pPr>
              <w:pStyle w:val="Default"/>
              <w:rPr>
                <w:b w:val="0"/>
                <w:sz w:val="20"/>
                <w:szCs w:val="20"/>
              </w:rPr>
            </w:pPr>
            <w:r w:rsidRPr="00CE47EE">
              <w:rPr>
                <w:b w:val="0"/>
                <w:sz w:val="20"/>
                <w:szCs w:val="20"/>
              </w:rPr>
              <w:t>Smanjenje količine odloženog biorazgradivog krutog komunalnog otpada</w:t>
            </w:r>
          </w:p>
        </w:tc>
        <w:tc>
          <w:tcPr>
            <w:tcW w:w="1683" w:type="pct"/>
          </w:tcPr>
          <w:p w14:paraId="58184905" w14:textId="3AD184EF"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Zakon o održivom gospodarenju otpadom</w:t>
            </w:r>
            <w:r>
              <w:rPr>
                <w:rFonts w:cs="Arial"/>
                <w:sz w:val="20"/>
                <w:szCs w:val="20"/>
              </w:rPr>
              <w:t xml:space="preserve"> </w:t>
            </w:r>
            <w:r w:rsidRPr="003F003C">
              <w:rPr>
                <w:rFonts w:cs="Arial"/>
                <w:sz w:val="20"/>
                <w:szCs w:val="20"/>
              </w:rPr>
              <w:t>(NN 94/13</w:t>
            </w:r>
            <w:r w:rsidR="0060687D">
              <w:rPr>
                <w:rFonts w:cs="Arial"/>
                <w:sz w:val="20"/>
                <w:szCs w:val="20"/>
              </w:rPr>
              <w:t>, 73/17</w:t>
            </w:r>
            <w:r w:rsidR="0014184E">
              <w:rPr>
                <w:rFonts w:cs="Arial"/>
                <w:sz w:val="20"/>
                <w:szCs w:val="20"/>
              </w:rPr>
              <w:t>, 14/19</w:t>
            </w:r>
            <w:r w:rsidR="001030B7">
              <w:rPr>
                <w:rFonts w:cs="Arial"/>
                <w:sz w:val="20"/>
                <w:szCs w:val="20"/>
              </w:rPr>
              <w:t>, 98/19</w:t>
            </w:r>
            <w:r w:rsidRPr="003F003C">
              <w:rPr>
                <w:rFonts w:cs="Arial"/>
                <w:sz w:val="20"/>
                <w:szCs w:val="20"/>
              </w:rPr>
              <w:t>)</w:t>
            </w:r>
            <w:r w:rsidR="00C32EB7">
              <w:rPr>
                <w:rFonts w:cs="Arial"/>
                <w:sz w:val="20"/>
                <w:szCs w:val="20"/>
              </w:rPr>
              <w:t xml:space="preserve">, </w:t>
            </w:r>
            <w:r w:rsidR="00C32EB7" w:rsidRPr="0044537C">
              <w:rPr>
                <w:rFonts w:cs="Arial"/>
                <w:sz w:val="20"/>
                <w:szCs w:val="20"/>
              </w:rPr>
              <w:t>Plan gospodarenja otpadom Republike Hrvatske za razdoblje 2017. - 2022. godine (NN 3/17)</w:t>
            </w:r>
          </w:p>
        </w:tc>
        <w:tc>
          <w:tcPr>
            <w:tcW w:w="1708" w:type="pct"/>
          </w:tcPr>
          <w:p w14:paraId="36B62540" w14:textId="7D7FAA33" w:rsidR="00CE47EE" w:rsidRPr="00977A99" w:rsidRDefault="00BC52C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C52CA">
              <w:rPr>
                <w:rFonts w:cs="Arial"/>
                <w:sz w:val="20"/>
                <w:szCs w:val="20"/>
              </w:rPr>
              <w:t>Cilj ove mjere je smanjiti količinu biorazgradive frakcije otpada koja se odlaže na odlagalištu.</w:t>
            </w:r>
            <w:r>
              <w:rPr>
                <w:rFonts w:cs="Arial"/>
                <w:sz w:val="20"/>
                <w:szCs w:val="20"/>
              </w:rPr>
              <w:t xml:space="preserve"> </w:t>
            </w:r>
            <w:r w:rsidRPr="00BC52CA">
              <w:rPr>
                <w:rFonts w:cs="Arial"/>
                <w:sz w:val="20"/>
                <w:szCs w:val="20"/>
              </w:rPr>
              <w:t>Do kraja 2020. godine udio biorazgradivog komunalnog otpada koji se odlaže na odlagališta mora se smanjiti na 35% masenog udjela biorazgradivog komunalnog otpada koji je proizveden 1997. godine.</w:t>
            </w:r>
          </w:p>
        </w:tc>
      </w:tr>
      <w:tr w:rsidR="00CE47EE" w:rsidRPr="00B23FAC" w14:paraId="64151A7E"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23D0B661" w14:textId="7F35504E" w:rsidR="00CE47EE" w:rsidRPr="007145ED" w:rsidRDefault="00CE47EE" w:rsidP="007145ED">
            <w:pPr>
              <w:pStyle w:val="Default"/>
              <w:rPr>
                <w:b w:val="0"/>
                <w:sz w:val="20"/>
                <w:szCs w:val="20"/>
              </w:rPr>
            </w:pPr>
            <w:r w:rsidRPr="00CE47EE">
              <w:rPr>
                <w:b w:val="0"/>
                <w:sz w:val="20"/>
                <w:szCs w:val="20"/>
              </w:rPr>
              <w:t>Korištenje bioplina za proizvodnju električne energije i topline.</w:t>
            </w:r>
          </w:p>
        </w:tc>
        <w:tc>
          <w:tcPr>
            <w:tcW w:w="1683" w:type="pct"/>
          </w:tcPr>
          <w:p w14:paraId="18F1741E" w14:textId="41AEF859" w:rsidR="00CE47EE" w:rsidRPr="00977A99" w:rsidRDefault="001730B4"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p>
        </w:tc>
        <w:tc>
          <w:tcPr>
            <w:tcW w:w="1708" w:type="pct"/>
          </w:tcPr>
          <w:p w14:paraId="02006451" w14:textId="3C608106" w:rsidR="00CE47EE" w:rsidRPr="00977A99" w:rsidRDefault="00511C1A"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11C1A">
              <w:rPr>
                <w:rFonts w:cs="Arial"/>
                <w:sz w:val="20"/>
                <w:szCs w:val="20"/>
              </w:rPr>
              <w:t xml:space="preserve">Mjera je povezana s mjerom </w:t>
            </w:r>
            <w:r>
              <w:rPr>
                <w:rFonts w:cs="Arial"/>
                <w:sz w:val="20"/>
                <w:szCs w:val="20"/>
              </w:rPr>
              <w:t>„</w:t>
            </w:r>
            <w:r w:rsidRPr="00511C1A">
              <w:rPr>
                <w:rFonts w:cs="Arial"/>
                <w:sz w:val="20"/>
                <w:szCs w:val="20"/>
              </w:rPr>
              <w:t>Feed-in tarife i sustav premija za potporu korištenja obnovljivih izvora energije u proizvodnji električne energije i za visokoučinkovitu kogeneraciju</w:t>
            </w:r>
            <w:r>
              <w:rPr>
                <w:rFonts w:cs="Arial"/>
                <w:sz w:val="20"/>
                <w:szCs w:val="20"/>
              </w:rPr>
              <w:t>“</w:t>
            </w:r>
            <w:r w:rsidRPr="00511C1A">
              <w:rPr>
                <w:rFonts w:cs="Arial"/>
                <w:sz w:val="20"/>
                <w:szCs w:val="20"/>
              </w:rPr>
              <w:t xml:space="preserve"> u </w:t>
            </w:r>
            <w:r>
              <w:rPr>
                <w:rFonts w:cs="Arial"/>
                <w:sz w:val="20"/>
                <w:szCs w:val="20"/>
              </w:rPr>
              <w:t>odjeljku „Obnovljivi izvori energije“</w:t>
            </w:r>
            <w:r w:rsidRPr="00511C1A">
              <w:rPr>
                <w:rFonts w:cs="Arial"/>
                <w:sz w:val="20"/>
                <w:szCs w:val="20"/>
              </w:rPr>
              <w:t>.</w:t>
            </w:r>
          </w:p>
        </w:tc>
      </w:tr>
      <w:tr w:rsidR="00CE47EE" w:rsidRPr="00EF5587" w14:paraId="50A06B07" w14:textId="77777777" w:rsidTr="00286B4C">
        <w:tc>
          <w:tcPr>
            <w:cnfStyle w:val="001000000000" w:firstRow="0" w:lastRow="0" w:firstColumn="1" w:lastColumn="0" w:oddVBand="0" w:evenVBand="0" w:oddHBand="0" w:evenHBand="0" w:firstRowFirstColumn="0" w:firstRowLastColumn="0" w:lastRowFirstColumn="0" w:lastRowLastColumn="0"/>
            <w:tcW w:w="0" w:type="pct"/>
            <w:gridSpan w:val="3"/>
          </w:tcPr>
          <w:p w14:paraId="1A8A8F19" w14:textId="4192E578" w:rsidR="00CE47EE" w:rsidRPr="005A25C9" w:rsidRDefault="00CE47EE" w:rsidP="00223709">
            <w:pPr>
              <w:spacing w:before="0" w:after="0" w:line="240" w:lineRule="auto"/>
              <w:jc w:val="center"/>
              <w:rPr>
                <w:rFonts w:cs="Arial"/>
                <w:sz w:val="20"/>
                <w:szCs w:val="20"/>
              </w:rPr>
            </w:pPr>
            <w:r w:rsidRPr="00CE47EE">
              <w:rPr>
                <w:rFonts w:cs="Arial"/>
                <w:sz w:val="20"/>
                <w:szCs w:val="20"/>
              </w:rPr>
              <w:t>Poljoprivreda</w:t>
            </w:r>
          </w:p>
        </w:tc>
      </w:tr>
      <w:tr w:rsidR="0070212E" w:rsidRPr="00765552" w14:paraId="41612B61"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3536C72E" w14:textId="707A4E16" w:rsidR="00CE47EE" w:rsidRPr="005A25C9" w:rsidRDefault="00CE47EE" w:rsidP="007145ED">
            <w:pPr>
              <w:pStyle w:val="Default"/>
              <w:rPr>
                <w:b w:val="0"/>
                <w:sz w:val="20"/>
                <w:szCs w:val="20"/>
              </w:rPr>
            </w:pPr>
            <w:r w:rsidRPr="00CE47EE">
              <w:rPr>
                <w:b w:val="0"/>
                <w:sz w:val="20"/>
                <w:szCs w:val="20"/>
              </w:rPr>
              <w:t xml:space="preserve">Promjena u prehrani </w:t>
            </w:r>
            <w:r w:rsidR="007C38B6">
              <w:rPr>
                <w:b w:val="0"/>
                <w:sz w:val="20"/>
                <w:szCs w:val="20"/>
              </w:rPr>
              <w:t>goveda</w:t>
            </w:r>
            <w:r w:rsidR="007C38B6" w:rsidRPr="00CE47EE">
              <w:rPr>
                <w:b w:val="0"/>
                <w:sz w:val="20"/>
                <w:szCs w:val="20"/>
              </w:rPr>
              <w:t xml:space="preserve"> </w:t>
            </w:r>
            <w:r w:rsidRPr="00CE47EE">
              <w:rPr>
                <w:b w:val="0"/>
                <w:sz w:val="20"/>
                <w:szCs w:val="20"/>
              </w:rPr>
              <w:t>i svinja i kvaliteta stočne hrane</w:t>
            </w:r>
          </w:p>
        </w:tc>
        <w:tc>
          <w:tcPr>
            <w:tcW w:w="1683" w:type="pct"/>
          </w:tcPr>
          <w:p w14:paraId="11840F2C" w14:textId="177578A5" w:rsidR="00CE47EE" w:rsidRPr="00765552" w:rsidRDefault="000358CB"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 xml:space="preserve"> </w:t>
            </w:r>
            <w:r w:rsidR="001730B4">
              <w:rPr>
                <w:sz w:val="20"/>
                <w:szCs w:val="20"/>
              </w:rPr>
              <w:t>Plan zaštite zraka, ozonskog sloja i ublažavanja klimatskih promjena u Republici Hrvatskoj za razdoblje od 2013. do 2017. godine (NN 139/13</w:t>
            </w:r>
            <w:r w:rsidRPr="00ED739D">
              <w:rPr>
                <w:sz w:val="20"/>
                <w:szCs w:val="20"/>
              </w:rPr>
              <w:t>)</w:t>
            </w:r>
          </w:p>
        </w:tc>
        <w:tc>
          <w:tcPr>
            <w:tcW w:w="1708" w:type="pct"/>
          </w:tcPr>
          <w:p w14:paraId="1246CE33" w14:textId="1FD97154" w:rsidR="00CE47EE" w:rsidRPr="00765552"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156AD">
              <w:rPr>
                <w:rFonts w:cs="Arial"/>
                <w:sz w:val="20"/>
                <w:szCs w:val="20"/>
              </w:rPr>
              <w:t>Specifične pod-mjere unutar ove grupe mjera koje se odnose na daljnje poboljšanje stočarstva, sustave upravljanja životinjskim otpadom, razinu proizvodnje kao i njihovu prehranu (probavljivost): promjena omjera pojedinih vrsta krme u prehrani, korištenje dodataka masti kao izvora energije, poboljšanje kvalitete voluminozne krme i poboljšanje sustava ispaše. Ove mjere se odnose na potencijalno smanjenje emisije metana i dušikovih spojeva od crijevne fermentacije i upravljanja životinjskim otpadom.</w:t>
            </w:r>
          </w:p>
        </w:tc>
      </w:tr>
      <w:tr w:rsidR="00CE47EE" w:rsidRPr="00765552" w14:paraId="0ACFD29A"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47CA1290" w14:textId="2F1ACA94" w:rsidR="00CE47EE" w:rsidRPr="005A25C9" w:rsidRDefault="00CE47EE" w:rsidP="007145ED">
            <w:pPr>
              <w:pStyle w:val="Default"/>
              <w:rPr>
                <w:b w:val="0"/>
                <w:sz w:val="20"/>
                <w:szCs w:val="20"/>
              </w:rPr>
            </w:pPr>
            <w:r w:rsidRPr="00CE47EE">
              <w:rPr>
                <w:b w:val="0"/>
                <w:sz w:val="20"/>
                <w:szCs w:val="20"/>
              </w:rPr>
              <w:t>Anaerobna razgradnja gnoja i proizvodnja bioplina</w:t>
            </w:r>
          </w:p>
        </w:tc>
        <w:tc>
          <w:tcPr>
            <w:tcW w:w="1683" w:type="pct"/>
          </w:tcPr>
          <w:p w14:paraId="2E36EE7D" w14:textId="049C05E6" w:rsidR="00CE47EE" w:rsidRPr="00765552" w:rsidRDefault="001730B4"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p>
        </w:tc>
        <w:tc>
          <w:tcPr>
            <w:tcW w:w="1708" w:type="pct"/>
          </w:tcPr>
          <w:p w14:paraId="0C67F287" w14:textId="709AFD4D" w:rsidR="00CE47EE" w:rsidRPr="00765552"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156AD">
              <w:rPr>
                <w:rFonts w:cs="Arial"/>
                <w:sz w:val="20"/>
                <w:szCs w:val="20"/>
              </w:rPr>
              <w:t>Uvođenjem postrojenja za bioplin smanjenje emisija postiže se uklanjanje</w:t>
            </w:r>
            <w:r w:rsidR="00531499">
              <w:rPr>
                <w:rFonts w:cs="Arial"/>
                <w:sz w:val="20"/>
                <w:szCs w:val="20"/>
              </w:rPr>
              <w:t>m</w:t>
            </w:r>
            <w:r w:rsidRPr="00E156AD">
              <w:rPr>
                <w:rFonts w:cs="Arial"/>
                <w:sz w:val="20"/>
                <w:szCs w:val="20"/>
              </w:rPr>
              <w:t xml:space="preserve"> emisija metana koje nastaju uslijed odlaganja korištenog </w:t>
            </w:r>
            <w:r w:rsidR="00E00C84">
              <w:rPr>
                <w:rFonts w:cs="Arial"/>
                <w:sz w:val="20"/>
                <w:szCs w:val="20"/>
              </w:rPr>
              <w:t>otpada</w:t>
            </w:r>
            <w:r w:rsidR="00E00C84" w:rsidRPr="00E156AD">
              <w:rPr>
                <w:rFonts w:cs="Arial"/>
                <w:sz w:val="20"/>
                <w:szCs w:val="20"/>
              </w:rPr>
              <w:t xml:space="preserve"> </w:t>
            </w:r>
            <w:r w:rsidRPr="00E156AD">
              <w:rPr>
                <w:rFonts w:cs="Arial"/>
                <w:sz w:val="20"/>
                <w:szCs w:val="20"/>
              </w:rPr>
              <w:t xml:space="preserve">te proizvodnjom električne energije iz obnovljivih izvora. Mjera je povezana s mjerama </w:t>
            </w:r>
            <w:r w:rsidR="00FA6638">
              <w:rPr>
                <w:rFonts w:cs="Arial"/>
                <w:sz w:val="20"/>
                <w:szCs w:val="20"/>
              </w:rPr>
              <w:t>kojima se potiče korištenje OIE</w:t>
            </w:r>
            <w:r w:rsidRPr="00E156AD">
              <w:rPr>
                <w:rFonts w:cs="Arial"/>
                <w:sz w:val="20"/>
                <w:szCs w:val="20"/>
              </w:rPr>
              <w:t xml:space="preserve">. </w:t>
            </w:r>
            <w:r w:rsidRPr="00E156AD">
              <w:rPr>
                <w:rFonts w:cs="Arial"/>
                <w:sz w:val="20"/>
                <w:szCs w:val="20"/>
              </w:rPr>
              <w:lastRenderedPageBreak/>
              <w:t>Anaerobna razgradnja pomaže postrojenjima za bioplin u smanjenju izvora lako razgradivog ugljika u gnojivu koje se primjenjuje na poljoprivredno zemljište, ali i potencijalno smanjuje emisije N</w:t>
            </w:r>
            <w:r w:rsidRPr="00725326">
              <w:rPr>
                <w:rFonts w:cs="Arial"/>
                <w:sz w:val="20"/>
                <w:szCs w:val="20"/>
                <w:vertAlign w:val="subscript"/>
              </w:rPr>
              <w:t>2</w:t>
            </w:r>
            <w:r w:rsidRPr="00E156AD">
              <w:rPr>
                <w:rFonts w:cs="Arial"/>
                <w:sz w:val="20"/>
                <w:szCs w:val="20"/>
              </w:rPr>
              <w:t>O nastalih u procesu nitrifikacije.</w:t>
            </w:r>
          </w:p>
        </w:tc>
      </w:tr>
      <w:tr w:rsidR="00CE47EE" w:rsidRPr="00EF5587" w14:paraId="539F2021"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61CF2234" w14:textId="22508F3C" w:rsidR="00CE47EE" w:rsidRPr="005A25C9" w:rsidRDefault="001E0162" w:rsidP="007145ED">
            <w:pPr>
              <w:pStyle w:val="Default"/>
              <w:rPr>
                <w:b w:val="0"/>
                <w:sz w:val="20"/>
                <w:szCs w:val="20"/>
              </w:rPr>
            </w:pPr>
            <w:r w:rsidRPr="001E0162">
              <w:rPr>
                <w:b w:val="0"/>
                <w:sz w:val="20"/>
                <w:szCs w:val="20"/>
              </w:rPr>
              <w:lastRenderedPageBreak/>
              <w:t>Poboljšanje stočarskih postrojenja i sustava upravljanja životinjskim otpadom</w:t>
            </w:r>
          </w:p>
        </w:tc>
        <w:tc>
          <w:tcPr>
            <w:tcW w:w="1683" w:type="pct"/>
          </w:tcPr>
          <w:p w14:paraId="626010EF" w14:textId="377E5860" w:rsidR="00CE47EE" w:rsidRPr="005A25C9" w:rsidRDefault="001730B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p>
        </w:tc>
        <w:tc>
          <w:tcPr>
            <w:tcW w:w="1708" w:type="pct"/>
          </w:tcPr>
          <w:p w14:paraId="1A769E2F" w14:textId="72F714FA" w:rsidR="00CE47EE" w:rsidRPr="00EF5587"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156AD">
              <w:rPr>
                <w:rFonts w:cs="Arial"/>
                <w:bCs/>
                <w:sz w:val="20"/>
                <w:szCs w:val="20"/>
              </w:rPr>
              <w:t>Pokrivanje mjesta za skladištenje gnoja – stvaranje prirodnog sloja (kore) s prirodnim (slama) ili (poroznim) umjetnim materijalom. Ova mjera smanjuje izravnu emisiju metana i amonijaka, iako u manjoj mjeri poboljšava proces nitrifikacije (porozni materijal) i uzrokuju blago povećanje emisije dušikovog oksida.</w:t>
            </w:r>
          </w:p>
        </w:tc>
      </w:tr>
      <w:tr w:rsidR="00CE47EE" w:rsidRPr="00EF5587" w14:paraId="2589809B"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2AF77518" w14:textId="4C50EB9D" w:rsidR="00CE47EE" w:rsidRPr="007145ED" w:rsidRDefault="001E0162" w:rsidP="007145ED">
            <w:pPr>
              <w:pStyle w:val="Default"/>
              <w:rPr>
                <w:b w:val="0"/>
                <w:sz w:val="20"/>
                <w:szCs w:val="20"/>
              </w:rPr>
            </w:pPr>
            <w:r w:rsidRPr="001E0162">
              <w:rPr>
                <w:b w:val="0"/>
                <w:sz w:val="20"/>
                <w:szCs w:val="20"/>
              </w:rPr>
              <w:t>Poboljšanje metoda primjene mineralnih gnojiva</w:t>
            </w:r>
          </w:p>
        </w:tc>
        <w:tc>
          <w:tcPr>
            <w:tcW w:w="1683" w:type="pct"/>
          </w:tcPr>
          <w:p w14:paraId="7253DF79" w14:textId="777635FB" w:rsidR="00CE47EE" w:rsidRPr="005A25C9" w:rsidRDefault="001730B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p>
        </w:tc>
        <w:tc>
          <w:tcPr>
            <w:tcW w:w="1708" w:type="pct"/>
          </w:tcPr>
          <w:p w14:paraId="16B12949" w14:textId="379F5CC6" w:rsidR="00CE47EE" w:rsidRPr="0031468F" w:rsidRDefault="00E156AD"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Primjena novih gnojiva sporog djelovanja pogodnih za uzgoj </w:t>
            </w:r>
            <w:r w:rsidR="00A31F15">
              <w:rPr>
                <w:rFonts w:cs="Arial"/>
                <w:sz w:val="20"/>
                <w:szCs w:val="20"/>
              </w:rPr>
              <w:t xml:space="preserve">poljoprivrednih kultura </w:t>
            </w:r>
            <w:r w:rsidRPr="0031468F">
              <w:rPr>
                <w:rFonts w:cs="Arial"/>
                <w:sz w:val="20"/>
                <w:szCs w:val="20"/>
              </w:rPr>
              <w:t>(gnojiva obložena polimerima). Istraživanje ukazuje na mogućnost smanjenja potrebe za primjenom gnojiva po hektaru (uslijed manjih gubitaka dušika) s nepromijenjenim ili povećanim prihodima.</w:t>
            </w:r>
          </w:p>
        </w:tc>
      </w:tr>
      <w:tr w:rsidR="001E0162" w:rsidRPr="00EF5587" w14:paraId="44FE9E9B"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7EFEAC6E" w14:textId="1A03B6C8" w:rsidR="001E0162" w:rsidRPr="007145ED" w:rsidRDefault="001E0162" w:rsidP="00B23FAC">
            <w:pPr>
              <w:pStyle w:val="Default"/>
              <w:rPr>
                <w:b w:val="0"/>
                <w:sz w:val="20"/>
                <w:szCs w:val="20"/>
              </w:rPr>
            </w:pPr>
            <w:r w:rsidRPr="001E0162">
              <w:rPr>
                <w:b w:val="0"/>
                <w:sz w:val="20"/>
                <w:szCs w:val="20"/>
              </w:rPr>
              <w:t>Hidrotehnički zahvati i sustavi zaštite od prirodnih katastrofa</w:t>
            </w:r>
          </w:p>
        </w:tc>
        <w:tc>
          <w:tcPr>
            <w:tcW w:w="1683" w:type="pct"/>
          </w:tcPr>
          <w:p w14:paraId="0B29E476" w14:textId="44AF420F" w:rsidR="001E0162" w:rsidRPr="005A25C9" w:rsidRDefault="001730B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p>
        </w:tc>
        <w:tc>
          <w:tcPr>
            <w:tcW w:w="1708" w:type="pct"/>
          </w:tcPr>
          <w:p w14:paraId="612E36F1" w14:textId="0930CA6F" w:rsidR="001E0162" w:rsidRPr="0031468F" w:rsidRDefault="00E156AD"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 xml:space="preserve">Izgradnja sustava odvodnje, navodnjavanja i sustava zaštite od poplava, suša i ostalih prirodnih katastrofa može utjecati na </w:t>
            </w:r>
            <w:r w:rsidRPr="0031468F">
              <w:rPr>
                <w:rFonts w:cs="Arial"/>
                <w:sz w:val="20"/>
                <w:szCs w:val="20"/>
              </w:rPr>
              <w:t>smanjenje gubitka hranjivih tvari uslijed procjeđivanja i ispiranja, što za posljedicu ima smanjenu potrebu za primjenom dušika.</w:t>
            </w:r>
          </w:p>
        </w:tc>
      </w:tr>
      <w:tr w:rsidR="001E0162" w:rsidRPr="00EF5587" w14:paraId="360133EF"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500EFBB9" w14:textId="7DAE0E5A" w:rsidR="001E0162" w:rsidRPr="007145ED" w:rsidRDefault="001E0162" w:rsidP="00B23FAC">
            <w:pPr>
              <w:pStyle w:val="Default"/>
              <w:rPr>
                <w:b w:val="0"/>
                <w:sz w:val="20"/>
                <w:szCs w:val="20"/>
              </w:rPr>
            </w:pPr>
            <w:r w:rsidRPr="001E0162">
              <w:rPr>
                <w:b w:val="0"/>
                <w:sz w:val="20"/>
                <w:szCs w:val="20"/>
              </w:rPr>
              <w:t>Uvođenje novih kultivara, sorti i vrsta</w:t>
            </w:r>
          </w:p>
        </w:tc>
        <w:tc>
          <w:tcPr>
            <w:tcW w:w="1683" w:type="pct"/>
          </w:tcPr>
          <w:p w14:paraId="69DBD839" w14:textId="3C1FCEBA" w:rsidR="001E0162" w:rsidRPr="005A25C9" w:rsidRDefault="001730B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r w:rsidR="0060687D">
              <w:rPr>
                <w:sz w:val="20"/>
                <w:szCs w:val="20"/>
              </w:rPr>
              <w:t>]</w:t>
            </w:r>
          </w:p>
        </w:tc>
        <w:tc>
          <w:tcPr>
            <w:tcW w:w="1708" w:type="pct"/>
          </w:tcPr>
          <w:p w14:paraId="3202F1C0" w14:textId="0D9E7059" w:rsidR="001E0162" w:rsidRPr="00EF5587"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156AD">
              <w:rPr>
                <w:rFonts w:cs="Arial"/>
                <w:bCs/>
                <w:sz w:val="20"/>
                <w:szCs w:val="20"/>
              </w:rPr>
              <w:t>Poticanje razvoja, obrazovanja i primjene tehnologija na nacionalnoj i regionalnoj razini, poticanje prijelaza i prilagodbe cijelog proizvodnog lanca za proizvodnju novih usjeva ili omogućavanje i poticanje primjene kultivara i sorti koje su otpornije na sušu i bolesti te imaju niži ugljični otisak. To je, uz druge prednosti, usmjereno prema smanjenju potrebe za uvođenjem dušika u tlo kroz gnojiva.</w:t>
            </w:r>
          </w:p>
        </w:tc>
      </w:tr>
      <w:tr w:rsidR="001E0162" w:rsidRPr="00EF5587" w14:paraId="5B4BA141"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402CE923" w14:textId="65F8ADF9" w:rsidR="001E0162" w:rsidRPr="007145ED" w:rsidRDefault="001E0162" w:rsidP="00B23FAC">
            <w:pPr>
              <w:pStyle w:val="Default"/>
              <w:rPr>
                <w:b w:val="0"/>
                <w:sz w:val="20"/>
                <w:szCs w:val="20"/>
              </w:rPr>
            </w:pPr>
            <w:r w:rsidRPr="001E0162">
              <w:rPr>
                <w:b w:val="0"/>
                <w:sz w:val="20"/>
                <w:szCs w:val="20"/>
              </w:rPr>
              <w:t>Provedba programa ruralnog razvoja</w:t>
            </w:r>
          </w:p>
        </w:tc>
        <w:tc>
          <w:tcPr>
            <w:tcW w:w="1683" w:type="pct"/>
          </w:tcPr>
          <w:p w14:paraId="15F8BDA2" w14:textId="2C7FB424" w:rsidR="001E0162" w:rsidRPr="005A25C9" w:rsidRDefault="001730B4" w:rsidP="00A004B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p>
        </w:tc>
        <w:tc>
          <w:tcPr>
            <w:tcW w:w="1708" w:type="pct"/>
          </w:tcPr>
          <w:p w14:paraId="028FA222" w14:textId="0BECA812" w:rsidR="001E0162" w:rsidRPr="0031468F" w:rsidRDefault="009865F0"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Prema Programu ruralnog razvoja 2014</w:t>
            </w:r>
            <w:r w:rsidR="00C06488">
              <w:rPr>
                <w:rFonts w:cs="Arial"/>
                <w:sz w:val="20"/>
                <w:szCs w:val="20"/>
              </w:rPr>
              <w:t>.</w:t>
            </w:r>
            <w:r w:rsidRPr="005A25C9">
              <w:rPr>
                <w:rFonts w:cs="Arial"/>
                <w:sz w:val="20"/>
                <w:szCs w:val="20"/>
              </w:rPr>
              <w:t>-2020</w:t>
            </w:r>
            <w:r w:rsidR="00C06488">
              <w:rPr>
                <w:rFonts w:cs="Arial"/>
                <w:sz w:val="20"/>
                <w:szCs w:val="20"/>
              </w:rPr>
              <w:t>.</w:t>
            </w:r>
          </w:p>
        </w:tc>
      </w:tr>
      <w:tr w:rsidR="00CE47EE" w:rsidRPr="00EF5587" w14:paraId="17BCF109" w14:textId="77777777" w:rsidTr="00286B4C">
        <w:tc>
          <w:tcPr>
            <w:cnfStyle w:val="001000000000" w:firstRow="0" w:lastRow="0" w:firstColumn="1" w:lastColumn="0" w:oddVBand="0" w:evenVBand="0" w:oddHBand="0" w:evenHBand="0" w:firstRowFirstColumn="0" w:firstRowLastColumn="0" w:lastRowFirstColumn="0" w:lastRowLastColumn="0"/>
            <w:tcW w:w="0" w:type="pct"/>
            <w:gridSpan w:val="3"/>
          </w:tcPr>
          <w:p w14:paraId="1AA06E87" w14:textId="6AB1234B" w:rsidR="00CE47EE" w:rsidRPr="00EF5587" w:rsidRDefault="001E0162" w:rsidP="00223709">
            <w:pPr>
              <w:spacing w:before="0" w:after="0" w:line="240" w:lineRule="auto"/>
              <w:jc w:val="center"/>
              <w:rPr>
                <w:rFonts w:cs="Arial"/>
                <w:sz w:val="20"/>
                <w:szCs w:val="20"/>
              </w:rPr>
            </w:pPr>
            <w:r w:rsidRPr="001E0162">
              <w:rPr>
                <w:rFonts w:cs="Arial"/>
                <w:sz w:val="20"/>
                <w:szCs w:val="20"/>
              </w:rPr>
              <w:lastRenderedPageBreak/>
              <w:t>LULUCF</w:t>
            </w:r>
          </w:p>
        </w:tc>
      </w:tr>
      <w:tr w:rsidR="0070212E" w:rsidRPr="00765552" w14:paraId="1F88E0FB"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46779E64" w14:textId="468671AE" w:rsidR="00CE47EE" w:rsidRPr="00765552" w:rsidRDefault="001E0162" w:rsidP="00A004BA">
            <w:pPr>
              <w:pStyle w:val="Default"/>
              <w:jc w:val="both"/>
              <w:rPr>
                <w:b w:val="0"/>
                <w:sz w:val="20"/>
                <w:szCs w:val="20"/>
              </w:rPr>
            </w:pPr>
            <w:r w:rsidRPr="001E0162">
              <w:rPr>
                <w:b w:val="0"/>
                <w:sz w:val="20"/>
                <w:szCs w:val="20"/>
              </w:rPr>
              <w:t>Unaprjeđenje izvješćivanja iz sektora LULUCF</w:t>
            </w:r>
          </w:p>
        </w:tc>
        <w:tc>
          <w:tcPr>
            <w:tcW w:w="1683" w:type="pct"/>
          </w:tcPr>
          <w:p w14:paraId="76043E0A" w14:textId="145D4230" w:rsidR="00CE47EE" w:rsidRPr="00765552" w:rsidRDefault="001730B4"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sz w:val="20"/>
                <w:szCs w:val="20"/>
              </w:rPr>
              <w:t>Plan zaštite zraka, ozonskog sloja i ublažavanja klimatskih promjena u Republici Hrvatskoj za razdoblje od 2013. do 2017. godine (NN 139/13</w:t>
            </w:r>
            <w:r w:rsidR="000358CB" w:rsidRPr="00ED739D">
              <w:rPr>
                <w:sz w:val="20"/>
                <w:szCs w:val="20"/>
              </w:rPr>
              <w:t>)</w:t>
            </w:r>
          </w:p>
        </w:tc>
        <w:tc>
          <w:tcPr>
            <w:tcW w:w="1708" w:type="pct"/>
          </w:tcPr>
          <w:p w14:paraId="1BCCEC10" w14:textId="10F867B9" w:rsidR="00CE47EE" w:rsidRPr="00765552" w:rsidRDefault="00E156AD"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U</w:t>
            </w:r>
            <w:r w:rsidRPr="00E156AD">
              <w:rPr>
                <w:rFonts w:cs="Arial"/>
                <w:sz w:val="20"/>
                <w:szCs w:val="20"/>
              </w:rPr>
              <w:t>napređenje izračuna emisija/</w:t>
            </w:r>
            <w:r w:rsidR="007C7A15">
              <w:rPr>
                <w:rFonts w:cs="Arial"/>
                <w:sz w:val="20"/>
                <w:szCs w:val="20"/>
              </w:rPr>
              <w:t>ponora</w:t>
            </w:r>
            <w:r w:rsidR="007C7A15" w:rsidRPr="00E156AD">
              <w:rPr>
                <w:rFonts w:cs="Arial"/>
                <w:sz w:val="20"/>
                <w:szCs w:val="20"/>
              </w:rPr>
              <w:t xml:space="preserve"> </w:t>
            </w:r>
            <w:r w:rsidRPr="00E156AD">
              <w:rPr>
                <w:rFonts w:cs="Arial"/>
                <w:sz w:val="20"/>
                <w:szCs w:val="20"/>
              </w:rPr>
              <w:t>u pojedinim pohraništima LULUCF sektora (nadzemna i podzemna fitotvar, stelja, mrtvo drvo, tlo i drvni proizvodi), uspostava jedinstvenog informacijskog sustava identifikacije pokrova i uporabe zemljišta za sve kategorije zemljišta u LULUCF sektoru kao unapređenja u svezi izrade projekcija u LULUCF sektoru radi kvalitetnijeg i lakšeg budućeg planiranja akt</w:t>
            </w:r>
            <w:r w:rsidR="00C651D3">
              <w:rPr>
                <w:rFonts w:cs="Arial"/>
                <w:sz w:val="20"/>
                <w:szCs w:val="20"/>
              </w:rPr>
              <w:t>i</w:t>
            </w:r>
            <w:r w:rsidRPr="00E156AD">
              <w:rPr>
                <w:rFonts w:cs="Arial"/>
                <w:sz w:val="20"/>
                <w:szCs w:val="20"/>
              </w:rPr>
              <w:t>vnosti u ovom sektoru.</w:t>
            </w:r>
          </w:p>
        </w:tc>
      </w:tr>
      <w:tr w:rsidR="00CE47EE" w:rsidRPr="00765552" w14:paraId="351E73AD" w14:textId="77777777" w:rsidTr="00286B4C">
        <w:tc>
          <w:tcPr>
            <w:cnfStyle w:val="001000000000" w:firstRow="0" w:lastRow="0" w:firstColumn="1" w:lastColumn="0" w:oddVBand="0" w:evenVBand="0" w:oddHBand="0" w:evenHBand="0" w:firstRowFirstColumn="0" w:firstRowLastColumn="0" w:lastRowFirstColumn="0" w:lastRowLastColumn="0"/>
            <w:tcW w:w="1609" w:type="pct"/>
          </w:tcPr>
          <w:p w14:paraId="612BB561" w14:textId="24AFEBFE" w:rsidR="00CE47EE" w:rsidRPr="00765552" w:rsidRDefault="001E0162" w:rsidP="00A004BA">
            <w:pPr>
              <w:pStyle w:val="Default"/>
              <w:jc w:val="both"/>
              <w:rPr>
                <w:b w:val="0"/>
                <w:sz w:val="20"/>
                <w:szCs w:val="20"/>
              </w:rPr>
            </w:pPr>
            <w:r w:rsidRPr="001E0162">
              <w:rPr>
                <w:b w:val="0"/>
                <w:sz w:val="20"/>
                <w:szCs w:val="20"/>
              </w:rPr>
              <w:t xml:space="preserve">Izrada analize troškova i koristi pošumljavanja na novim površinama i biološke obnove šuma kao mjere povećanja </w:t>
            </w:r>
            <w:r w:rsidR="007C7A15">
              <w:rPr>
                <w:b w:val="0"/>
                <w:sz w:val="20"/>
                <w:szCs w:val="20"/>
              </w:rPr>
              <w:t>ponora</w:t>
            </w:r>
            <w:r w:rsidR="007C7A15" w:rsidRPr="001E0162">
              <w:rPr>
                <w:b w:val="0"/>
                <w:sz w:val="20"/>
                <w:szCs w:val="20"/>
              </w:rPr>
              <w:t xml:space="preserve"> </w:t>
            </w:r>
            <w:r w:rsidRPr="001E0162">
              <w:rPr>
                <w:b w:val="0"/>
                <w:sz w:val="20"/>
                <w:szCs w:val="20"/>
              </w:rPr>
              <w:t>u LULUCF sektoru</w:t>
            </w:r>
          </w:p>
        </w:tc>
        <w:tc>
          <w:tcPr>
            <w:tcW w:w="1683" w:type="pct"/>
          </w:tcPr>
          <w:p w14:paraId="64DA2CEB" w14:textId="362CE4A7" w:rsidR="00CE47EE" w:rsidRPr="00765552" w:rsidRDefault="009865F0"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865F0">
              <w:rPr>
                <w:rFonts w:cs="Arial"/>
                <w:sz w:val="20"/>
                <w:szCs w:val="20"/>
              </w:rPr>
              <w:t>Plan zaštite zraka, ozonskog sloja i ublažavanja klimatskih promjena u Republici Hrvatskoj za razdoblje od 2013. do 2017. godine (NN 139/13)</w:t>
            </w:r>
          </w:p>
        </w:tc>
        <w:tc>
          <w:tcPr>
            <w:tcW w:w="1708" w:type="pct"/>
          </w:tcPr>
          <w:p w14:paraId="20FA15AE" w14:textId="0BFD2334" w:rsidR="00CE47EE" w:rsidRPr="00765552" w:rsidRDefault="009865F0" w:rsidP="00A004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9865F0">
              <w:rPr>
                <w:rFonts w:cs="Arial"/>
                <w:sz w:val="20"/>
                <w:szCs w:val="20"/>
              </w:rPr>
              <w:t>Analizom troškova i koristi pošumljavanja na novim površinama ispita</w:t>
            </w:r>
            <w:r>
              <w:rPr>
                <w:rFonts w:cs="Arial"/>
                <w:sz w:val="20"/>
                <w:szCs w:val="20"/>
              </w:rPr>
              <w:t>t će</w:t>
            </w:r>
            <w:r w:rsidRPr="009865F0">
              <w:rPr>
                <w:rFonts w:cs="Arial"/>
                <w:sz w:val="20"/>
                <w:szCs w:val="20"/>
              </w:rPr>
              <w:t xml:space="preserve"> se mogućnosti povećanja </w:t>
            </w:r>
            <w:r w:rsidR="007C7A15">
              <w:rPr>
                <w:rFonts w:cs="Arial"/>
                <w:sz w:val="20"/>
                <w:szCs w:val="20"/>
              </w:rPr>
              <w:t>ponora</w:t>
            </w:r>
            <w:r w:rsidR="007C7A15" w:rsidRPr="009865F0">
              <w:rPr>
                <w:rFonts w:cs="Arial"/>
                <w:sz w:val="20"/>
                <w:szCs w:val="20"/>
              </w:rPr>
              <w:t xml:space="preserve"> </w:t>
            </w:r>
            <w:r w:rsidRPr="009865F0">
              <w:rPr>
                <w:rFonts w:cs="Arial"/>
                <w:sz w:val="20"/>
                <w:szCs w:val="20"/>
              </w:rPr>
              <w:t xml:space="preserve">stakleničkih plinova primjenom aktivnosti pošumljavanja na neobraslom proizvodnom šumskom tlu. Time </w:t>
            </w:r>
            <w:r>
              <w:rPr>
                <w:rFonts w:cs="Arial"/>
                <w:sz w:val="20"/>
                <w:szCs w:val="20"/>
              </w:rPr>
              <w:t>će</w:t>
            </w:r>
            <w:r w:rsidRPr="009865F0">
              <w:rPr>
                <w:rFonts w:cs="Arial"/>
                <w:sz w:val="20"/>
                <w:szCs w:val="20"/>
              </w:rPr>
              <w:t xml:space="preserve"> se pokaza</w:t>
            </w:r>
            <w:r>
              <w:rPr>
                <w:rFonts w:cs="Arial"/>
                <w:sz w:val="20"/>
                <w:szCs w:val="20"/>
              </w:rPr>
              <w:t>ti</w:t>
            </w:r>
            <w:r w:rsidRPr="009865F0">
              <w:rPr>
                <w:rFonts w:cs="Arial"/>
                <w:sz w:val="20"/>
                <w:szCs w:val="20"/>
              </w:rPr>
              <w:t xml:space="preserve"> opravdanost uvođenja mogućih poticajnih mjera, kao što su primjerice pošumljavanje brzorastućim vrstama i biološka obnova šuma, ekvivalentno mjerama kojima se smanjuje emisija stakleničkih plinova.</w:t>
            </w:r>
          </w:p>
        </w:tc>
      </w:tr>
    </w:tbl>
    <w:p w14:paraId="315C4FF5" w14:textId="77777777" w:rsidR="00165BDD" w:rsidRDefault="00165BDD">
      <w:pPr>
        <w:suppressAutoHyphens w:val="0"/>
        <w:spacing w:before="0" w:after="0" w:line="240" w:lineRule="auto"/>
        <w:jc w:val="left"/>
        <w:rPr>
          <w:i/>
        </w:rPr>
      </w:pPr>
      <w:r>
        <w:rPr>
          <w:i/>
        </w:rPr>
        <w:br w:type="page"/>
      </w:r>
    </w:p>
    <w:p w14:paraId="3659B066" w14:textId="6F8DE377" w:rsidR="00FF0CF3" w:rsidRPr="00816CF6" w:rsidRDefault="00FF0CF3" w:rsidP="00725326">
      <w:pPr>
        <w:shd w:val="clear" w:color="auto" w:fill="DEEAF6" w:themeFill="accent1" w:themeFillTint="33"/>
        <w:rPr>
          <w:i/>
        </w:rPr>
      </w:pPr>
      <w:r w:rsidRPr="00816CF6">
        <w:rPr>
          <w:i/>
        </w:rPr>
        <w:lastRenderedPageBreak/>
        <w:t>Dimenzija 'Energetska učinkovitost'</w:t>
      </w:r>
    </w:p>
    <w:p w14:paraId="6C903655" w14:textId="77777777" w:rsidR="00E97371" w:rsidRDefault="00FF0CF3" w:rsidP="00FF0CF3">
      <w:r>
        <w:t>Područje energetske učinkovitosti u Republici Hrvatskoj regulirano je</w:t>
      </w:r>
      <w:r w:rsidR="00E97371">
        <w:t>:</w:t>
      </w:r>
      <w:r>
        <w:t xml:space="preserve"> </w:t>
      </w:r>
    </w:p>
    <w:p w14:paraId="417C69D0" w14:textId="76C2E339" w:rsidR="00E97371" w:rsidRDefault="00FF0CF3" w:rsidP="00840E2E">
      <w:pPr>
        <w:pStyle w:val="ListParagraph"/>
        <w:numPr>
          <w:ilvl w:val="0"/>
          <w:numId w:val="45"/>
        </w:numPr>
      </w:pPr>
      <w:r>
        <w:t>Zakonom o energetskoj učinkovitosti (NN 127/14</w:t>
      </w:r>
      <w:r w:rsidR="00840A3D">
        <w:t>, 116/18</w:t>
      </w:r>
      <w:r>
        <w:t xml:space="preserve">), </w:t>
      </w:r>
    </w:p>
    <w:p w14:paraId="1BC6DD37" w14:textId="2D93FC11" w:rsidR="00E97371" w:rsidRDefault="00FF0CF3" w:rsidP="00840E2E">
      <w:pPr>
        <w:pStyle w:val="ListParagraph"/>
        <w:numPr>
          <w:ilvl w:val="0"/>
          <w:numId w:val="45"/>
        </w:numPr>
      </w:pPr>
      <w:r>
        <w:t>Zakonom o gradnji (NN 153/13, 20/17</w:t>
      </w:r>
      <w:r w:rsidR="002D715D">
        <w:t>, 39/19</w:t>
      </w:r>
      <w:r>
        <w:t xml:space="preserve">), </w:t>
      </w:r>
    </w:p>
    <w:p w14:paraId="375D6C8F" w14:textId="44D8AE37" w:rsidR="002C3B1D" w:rsidRDefault="00FF0CF3" w:rsidP="00840E2E">
      <w:pPr>
        <w:pStyle w:val="ListParagraph"/>
        <w:numPr>
          <w:ilvl w:val="0"/>
          <w:numId w:val="45"/>
        </w:numPr>
      </w:pPr>
      <w:r w:rsidRPr="00E95BFA">
        <w:t>Zakonom o zaštiti od svjetlosnog onečišćenja</w:t>
      </w:r>
      <w:r>
        <w:t xml:space="preserve"> </w:t>
      </w:r>
      <w:r w:rsidRPr="00E95BFA">
        <w:t>(NN</w:t>
      </w:r>
      <w:r>
        <w:t xml:space="preserve"> </w:t>
      </w:r>
      <w:r w:rsidR="002C22A5">
        <w:t>14</w:t>
      </w:r>
      <w:r w:rsidRPr="00E95BFA">
        <w:t>/</w:t>
      </w:r>
      <w:r w:rsidR="002C22A5">
        <w:t>19</w:t>
      </w:r>
      <w:r w:rsidRPr="00E95BFA">
        <w:t>)</w:t>
      </w:r>
      <w:r w:rsidR="009519D1">
        <w:t>,</w:t>
      </w:r>
      <w:r w:rsidRPr="00E95BFA">
        <w:t xml:space="preserve"> </w:t>
      </w:r>
    </w:p>
    <w:p w14:paraId="41CC911D" w14:textId="10AF7D0F" w:rsidR="00FB4E92" w:rsidRDefault="00FF0CF3" w:rsidP="00840E2E">
      <w:pPr>
        <w:pStyle w:val="ListParagraph"/>
        <w:numPr>
          <w:ilvl w:val="0"/>
          <w:numId w:val="45"/>
        </w:numPr>
      </w:pPr>
      <w:r>
        <w:t>podzakonskim aktima koji slijede iz tih Zakona.</w:t>
      </w:r>
    </w:p>
    <w:p w14:paraId="63E5AE1F" w14:textId="5B7E5FA7" w:rsidR="00485E0E" w:rsidRDefault="00485E0E" w:rsidP="00485E0E">
      <w:r>
        <w:t>Nacionalni ciljevi povećanja energetske učinkovitosti do 2020. godine definirani su u Trećem nacionalnom akcijskom planu energetske učinkovitosti (NAPEnU) za razdoblje 2014.- 2016.</w:t>
      </w:r>
      <w:r w:rsidDel="00E35991">
        <w:t xml:space="preserve"> </w:t>
      </w:r>
      <w:r>
        <w:t>godine, a revidirani su u 4.NAPEnU za razdoblje</w:t>
      </w:r>
      <w:r w:rsidR="00535FBD">
        <w:t xml:space="preserve"> </w:t>
      </w:r>
      <w:r>
        <w:t xml:space="preserve">do kraja 2019. Okvirni nacionalni cilj povećanja energetske učinkovitosti izražen kao apsolutni iznos neposredne potrošnje energije u 2020. godini je </w:t>
      </w:r>
      <w:r w:rsidRPr="008F0FB9">
        <w:rPr>
          <w:b/>
          <w:u w:val="single"/>
        </w:rPr>
        <w:t>291,3 PJ (6,96 Mte</w:t>
      </w:r>
      <w:r>
        <w:rPr>
          <w:b/>
          <w:u w:val="single"/>
        </w:rPr>
        <w:t>n</w:t>
      </w:r>
      <w:r w:rsidRPr="008F0FB9">
        <w:rPr>
          <w:b/>
          <w:u w:val="single"/>
        </w:rPr>
        <w:t>)</w:t>
      </w:r>
      <w:r w:rsidRPr="008F0FB9">
        <w:t>.</w:t>
      </w:r>
      <w:r>
        <w:t xml:space="preserve"> Odgovarajući cilj izražen kao apsolutni iznos primarne energije u 2020. godini je </w:t>
      </w:r>
      <w:r w:rsidRPr="008F0FB9">
        <w:rPr>
          <w:b/>
          <w:u w:val="single"/>
        </w:rPr>
        <w:t>448,5 PJ (10,71 Mte</w:t>
      </w:r>
      <w:r>
        <w:rPr>
          <w:b/>
          <w:u w:val="single"/>
        </w:rPr>
        <w:t>n</w:t>
      </w:r>
      <w:r w:rsidRPr="008F0FB9">
        <w:rPr>
          <w:b/>
          <w:u w:val="single"/>
        </w:rPr>
        <w:t>)</w:t>
      </w:r>
      <w:r w:rsidRPr="008F0FB9">
        <w:t>.</w:t>
      </w:r>
      <w:r>
        <w:t xml:space="preserve"> Ciljevi iskazani kao apsolutni iznos primarne i neposredne potrošnje energije prikazuje </w:t>
      </w:r>
      <w:r w:rsidR="00650D9B">
        <w:fldChar w:fldCharType="begin"/>
      </w:r>
      <w:r w:rsidR="00650D9B">
        <w:instrText xml:space="preserve"> REF _Ref11065993 \h </w:instrText>
      </w:r>
      <w:r w:rsidR="00650D9B">
        <w:fldChar w:fldCharType="separate"/>
      </w:r>
      <w:r w:rsidR="00154150" w:rsidRPr="00976062">
        <w:t xml:space="preserve">Slika </w:t>
      </w:r>
      <w:r w:rsidR="00154150">
        <w:rPr>
          <w:noProof/>
        </w:rPr>
        <w:t>1</w:t>
      </w:r>
      <w:r w:rsidR="00154150">
        <w:noBreakHyphen/>
      </w:r>
      <w:r w:rsidR="00154150">
        <w:rPr>
          <w:noProof/>
        </w:rPr>
        <w:t>4</w:t>
      </w:r>
      <w:r w:rsidR="00154150">
        <w:t>.</w:t>
      </w:r>
      <w:r w:rsidR="00650D9B">
        <w:fldChar w:fldCharType="end"/>
      </w:r>
    </w:p>
    <w:p w14:paraId="7D55CFFF" w14:textId="77777777" w:rsidR="00485E0E" w:rsidRDefault="00485E0E" w:rsidP="00485E0E">
      <w:pPr>
        <w:jc w:val="center"/>
      </w:pPr>
      <w:r w:rsidRPr="0016468E">
        <w:rPr>
          <w:noProof/>
        </w:rPr>
        <w:drawing>
          <wp:inline distT="0" distB="0" distL="0" distR="0" wp14:anchorId="5ACB6DC5" wp14:editId="493F0E49">
            <wp:extent cx="4328032" cy="298132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969" r="19467"/>
                    <a:stretch/>
                  </pic:blipFill>
                  <pic:spPr bwMode="auto">
                    <a:xfrm>
                      <a:off x="0" y="0"/>
                      <a:ext cx="4361400" cy="3004310"/>
                    </a:xfrm>
                    <a:prstGeom prst="rect">
                      <a:avLst/>
                    </a:prstGeom>
                    <a:ln>
                      <a:noFill/>
                    </a:ln>
                    <a:extLst>
                      <a:ext uri="{53640926-AAD7-44D8-BBD7-CCE9431645EC}">
                        <a14:shadowObscured xmlns:a14="http://schemas.microsoft.com/office/drawing/2010/main"/>
                      </a:ext>
                    </a:extLst>
                  </pic:spPr>
                </pic:pic>
              </a:graphicData>
            </a:graphic>
          </wp:inline>
        </w:drawing>
      </w:r>
    </w:p>
    <w:p w14:paraId="601969B0" w14:textId="1C436F0C" w:rsidR="00485E0E" w:rsidRDefault="00485E0E" w:rsidP="00485E0E">
      <w:pPr>
        <w:pStyle w:val="Caption"/>
      </w:pPr>
      <w:bookmarkStart w:id="83" w:name="_Ref11065993"/>
      <w:bookmarkStart w:id="84" w:name="_Toc27396140"/>
      <w:r w:rsidRPr="00976062">
        <w:t xml:space="preserve">Slika </w:t>
      </w:r>
      <w:r>
        <w:rPr>
          <w:noProof/>
        </w:rPr>
        <w:fldChar w:fldCharType="begin"/>
      </w:r>
      <w:r>
        <w:rPr>
          <w:noProof/>
        </w:rPr>
        <w:instrText xml:space="preserve"> STYLEREF 1 \s </w:instrText>
      </w:r>
      <w:r>
        <w:rPr>
          <w:noProof/>
        </w:rPr>
        <w:fldChar w:fldCharType="separate"/>
      </w:r>
      <w:r w:rsidR="00154150">
        <w:rPr>
          <w:noProof/>
        </w:rPr>
        <w:t>1</w:t>
      </w:r>
      <w:r>
        <w:rPr>
          <w:noProof/>
        </w:rPr>
        <w:fldChar w:fldCharType="end"/>
      </w:r>
      <w:r w:rsidR="00C3092A">
        <w:noBreakHyphen/>
      </w:r>
      <w:r w:rsidRPr="00680358">
        <w:fldChar w:fldCharType="begin"/>
      </w:r>
      <w:r w:rsidRPr="00976062">
        <w:instrText xml:space="preserve"> SEQ Slika \* ARABIC \s 1 </w:instrText>
      </w:r>
      <w:r w:rsidRPr="00680358">
        <w:fldChar w:fldCharType="separate"/>
      </w:r>
      <w:r w:rsidR="00154150">
        <w:rPr>
          <w:noProof/>
        </w:rPr>
        <w:t>4</w:t>
      </w:r>
      <w:r w:rsidRPr="00680358">
        <w:fldChar w:fldCharType="end"/>
      </w:r>
      <w:r w:rsidR="00F458D6">
        <w:t>.</w:t>
      </w:r>
      <w:bookmarkEnd w:id="83"/>
      <w:r w:rsidRPr="00976062">
        <w:t xml:space="preserve"> Okvirni nacionalni ciljevi energetske učinkovitosti u 2020. godini</w:t>
      </w:r>
      <w:bookmarkEnd w:id="84"/>
    </w:p>
    <w:p w14:paraId="49F86F1C" w14:textId="175BABC3" w:rsidR="00485E0E" w:rsidRPr="004D0C10" w:rsidRDefault="00485E0E" w:rsidP="00485E0E">
      <w:pPr>
        <w:spacing w:before="0" w:line="240" w:lineRule="auto"/>
        <w:jc w:val="center"/>
        <w:rPr>
          <w:i/>
          <w:sz w:val="20"/>
        </w:rPr>
      </w:pPr>
      <w:r w:rsidRPr="004D0C10">
        <w:rPr>
          <w:i/>
          <w:sz w:val="20"/>
        </w:rPr>
        <w:t>Izvor: 4. NAPEnU</w:t>
      </w:r>
    </w:p>
    <w:p w14:paraId="25E98C04" w14:textId="77777777" w:rsidR="00154150" w:rsidRPr="00610F2E" w:rsidRDefault="00FF0CF3" w:rsidP="00286B4C">
      <w:pPr>
        <w:rPr>
          <w:rFonts w:cstheme="minorHAnsi"/>
        </w:rPr>
      </w:pPr>
      <w:r>
        <w:t xml:space="preserve">Pregled regulatornih mjera koje su definirane u navedenim </w:t>
      </w:r>
      <w:r w:rsidR="00304702">
        <w:t xml:space="preserve">zakonima </w:t>
      </w:r>
      <w:r>
        <w:t xml:space="preserve">i relevantnim podzakonskim aktima prikazuje </w:t>
      </w:r>
      <w:r>
        <w:rPr>
          <w:highlight w:val="yellow"/>
        </w:rPr>
        <w:fldChar w:fldCharType="begin"/>
      </w:r>
      <w:r>
        <w:instrText xml:space="preserve"> REF _Ref525127219 \h </w:instrText>
      </w:r>
      <w:r>
        <w:rPr>
          <w:highlight w:val="yellow"/>
        </w:rPr>
      </w:r>
      <w:r>
        <w:rPr>
          <w:highlight w:val="yellow"/>
        </w:rPr>
        <w:fldChar w:fldCharType="separate"/>
      </w:r>
    </w:p>
    <w:p w14:paraId="29D10722" w14:textId="50219C27" w:rsidR="00FF0CF3" w:rsidRDefault="00154150" w:rsidP="00FF0CF3">
      <w:r w:rsidRPr="00F149EB">
        <w:t xml:space="preserve">Tablica </w:t>
      </w:r>
      <w:r>
        <w:rPr>
          <w:noProof/>
        </w:rPr>
        <w:t>1</w:t>
      </w:r>
      <w:r>
        <w:t>–</w:t>
      </w:r>
      <w:r>
        <w:rPr>
          <w:noProof/>
        </w:rPr>
        <w:t>5</w:t>
      </w:r>
      <w:r w:rsidR="00FF0CF3">
        <w:rPr>
          <w:highlight w:val="yellow"/>
        </w:rPr>
        <w:fldChar w:fldCharType="end"/>
      </w:r>
      <w:r w:rsidR="00FF0CF3">
        <w:t>. Navedenim se zakonima i propisima u Hrvatskoj zadovoljavaju zahtjevi sljedećih EU direktiva:</w:t>
      </w:r>
    </w:p>
    <w:p w14:paraId="530B612B" w14:textId="77777777" w:rsidR="00FF0CF3" w:rsidRPr="00816CF6" w:rsidRDefault="00FF0CF3" w:rsidP="00840E2E">
      <w:pPr>
        <w:pStyle w:val="ListParagraph"/>
        <w:numPr>
          <w:ilvl w:val="0"/>
          <w:numId w:val="6"/>
        </w:numPr>
        <w:tabs>
          <w:tab w:val="clear" w:pos="431"/>
        </w:tabs>
        <w:suppressAutoHyphens w:val="0"/>
        <w:spacing w:after="160" w:line="259" w:lineRule="auto"/>
        <w:ind w:left="720"/>
        <w:contextualSpacing/>
        <w:rPr>
          <w:rFonts w:cstheme="minorHAnsi"/>
        </w:rPr>
      </w:pPr>
      <w:r w:rsidRPr="00816CF6">
        <w:rPr>
          <w:rFonts w:cstheme="minorHAnsi"/>
        </w:rPr>
        <w:t xml:space="preserve">Direktiva 2012/27/EU Europskog parlamenta i Vijeća od 25. listopada 2012. o energetskoj učinkovitosti kojom se dopunjuju direktive 2009/125/EZ i 2010/30/EU i ukidaju direktive 2004/8/EZ i 2006/32/EZ; </w:t>
      </w:r>
    </w:p>
    <w:p w14:paraId="769B82D6" w14:textId="77777777" w:rsidR="00FF0CF3" w:rsidRPr="00816CF6" w:rsidRDefault="00FF0CF3" w:rsidP="00840E2E">
      <w:pPr>
        <w:pStyle w:val="ListParagraph"/>
        <w:numPr>
          <w:ilvl w:val="0"/>
          <w:numId w:val="6"/>
        </w:numPr>
        <w:tabs>
          <w:tab w:val="clear" w:pos="431"/>
        </w:tabs>
        <w:suppressAutoHyphens w:val="0"/>
        <w:spacing w:after="160" w:line="259" w:lineRule="auto"/>
        <w:ind w:left="720"/>
        <w:contextualSpacing/>
        <w:rPr>
          <w:rFonts w:cstheme="minorHAnsi"/>
        </w:rPr>
      </w:pPr>
      <w:r w:rsidRPr="00816CF6">
        <w:rPr>
          <w:rFonts w:cstheme="minorHAnsi"/>
        </w:rPr>
        <w:lastRenderedPageBreak/>
        <w:t>Direktiva 2010/31/EU Europskog parlamenta i Vijeća od 19. svibnja 2010. o energetskoj učinkovitosti zgrada;</w:t>
      </w:r>
    </w:p>
    <w:p w14:paraId="46F7523D" w14:textId="2887445A" w:rsidR="00FF0CF3" w:rsidRPr="0031468F" w:rsidRDefault="00FF0CF3" w:rsidP="00840E2E">
      <w:pPr>
        <w:pStyle w:val="ListParagraph"/>
        <w:numPr>
          <w:ilvl w:val="0"/>
          <w:numId w:val="6"/>
        </w:numPr>
        <w:tabs>
          <w:tab w:val="clear" w:pos="431"/>
        </w:tabs>
        <w:suppressAutoHyphens w:val="0"/>
        <w:spacing w:after="160" w:line="259" w:lineRule="auto"/>
        <w:ind w:left="720"/>
        <w:contextualSpacing/>
        <w:rPr>
          <w:rFonts w:cstheme="minorBidi"/>
        </w:rPr>
      </w:pPr>
      <w:r w:rsidRPr="005A25C9">
        <w:rPr>
          <w:rFonts w:cstheme="minorBidi"/>
        </w:rPr>
        <w:t>Direktiv</w:t>
      </w:r>
      <w:r w:rsidR="0029088D" w:rsidRPr="0031468F">
        <w:rPr>
          <w:rFonts w:cstheme="minorBidi"/>
        </w:rPr>
        <w:t>a</w:t>
      </w:r>
      <w:r w:rsidRPr="005A25C9">
        <w:rPr>
          <w:rFonts w:cstheme="minorBidi"/>
        </w:rPr>
        <w:t xml:space="preserve"> 2010/30/EU o iskazivanju potrošnje energije i ostalih resursa proizvoda, </w:t>
      </w:r>
      <w:r w:rsidRPr="0031468F">
        <w:rPr>
          <w:rFonts w:cstheme="minorBidi"/>
        </w:rPr>
        <w:t xml:space="preserve">povezanih s energijom, pomoću oznaka i standardiziranih informacija o proizvodu, odnosno Uredba 2017/1369 o utvrđivanju okvira za označivanje energetske učinkovitosti i o stavljanju izvan snage Direktive 2010/30/EU; </w:t>
      </w:r>
    </w:p>
    <w:p w14:paraId="4A7C8B10" w14:textId="2C8587DB" w:rsidR="00FD6B87" w:rsidRPr="00610F2E" w:rsidRDefault="00FF0CF3" w:rsidP="00286B4C">
      <w:pPr>
        <w:rPr>
          <w:rFonts w:cstheme="minorHAnsi"/>
        </w:rPr>
      </w:pPr>
      <w:r w:rsidRPr="002C5654">
        <w:t xml:space="preserve">Direktiva 2009/125/EZ Europskog parlamenta i Vijeća od 21. listopada 2009. o uspostavi okvira za </w:t>
      </w:r>
      <w:r w:rsidRPr="00552A8D">
        <w:rPr>
          <w:rFonts w:cstheme="minorHAnsi"/>
        </w:rPr>
        <w:t>utvrđivanje zahtjeva za ekološki dizajn proizvoda povezanih s energijom.</w:t>
      </w:r>
      <w:bookmarkStart w:id="85" w:name="_Ref525127219"/>
    </w:p>
    <w:p w14:paraId="34C5B218" w14:textId="7E593CA2" w:rsidR="00EF73C6" w:rsidRPr="00F149EB" w:rsidRDefault="00FF0CF3" w:rsidP="00EF73C6">
      <w:pPr>
        <w:pStyle w:val="Caption"/>
      </w:pPr>
      <w:bookmarkStart w:id="86" w:name="_Toc27396197"/>
      <w:r w:rsidRPr="00F149EB">
        <w:t xml:space="preserve">Tablica </w:t>
      </w:r>
      <w:fldSimple w:instr=" STYLEREF 1 \s ">
        <w:r w:rsidR="00154150">
          <w:rPr>
            <w:noProof/>
          </w:rPr>
          <w:t>1</w:t>
        </w:r>
      </w:fldSimple>
      <w:r w:rsidR="00562DF0">
        <w:t>–</w:t>
      </w:r>
      <w:fldSimple w:instr=" SEQ Tablica \* ARABIC \s 1 ">
        <w:r w:rsidR="00154150">
          <w:rPr>
            <w:noProof/>
          </w:rPr>
          <w:t>5</w:t>
        </w:r>
      </w:fldSimple>
      <w:bookmarkEnd w:id="85"/>
      <w:r w:rsidR="00210967">
        <w:rPr>
          <w:noProof/>
        </w:rPr>
        <w:t>.</w:t>
      </w:r>
      <w:r w:rsidR="00A87274">
        <w:t xml:space="preserve"> </w:t>
      </w:r>
      <w:r w:rsidRPr="00F149EB">
        <w:t>Pregled postojećih regulatornih mjera energetske učinkovitosti</w:t>
      </w:r>
      <w:bookmarkEnd w:id="86"/>
      <w:r w:rsidR="00EF73C6" w:rsidRPr="00EF73C6">
        <w:t xml:space="preserve"> </w:t>
      </w:r>
    </w:p>
    <w:tbl>
      <w:tblPr>
        <w:tblStyle w:val="Svijetlatablicareetke11"/>
        <w:tblW w:w="5000" w:type="pct"/>
        <w:tblLook w:val="04A0" w:firstRow="1" w:lastRow="0" w:firstColumn="1" w:lastColumn="0" w:noHBand="0" w:noVBand="1"/>
      </w:tblPr>
      <w:tblGrid>
        <w:gridCol w:w="9060"/>
      </w:tblGrid>
      <w:tr w:rsidR="00EF73C6" w:rsidRPr="00F52E31" w14:paraId="1387C1AA"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1F4E2254" w14:textId="77777777" w:rsidR="00EF73C6" w:rsidRPr="0031468F" w:rsidRDefault="00EF73C6" w:rsidP="005A25C9">
            <w:pPr>
              <w:spacing w:before="0" w:after="0" w:line="240" w:lineRule="auto"/>
              <w:rPr>
                <w:sz w:val="20"/>
                <w:szCs w:val="20"/>
              </w:rPr>
            </w:pPr>
            <w:r w:rsidRPr="005A25C9">
              <w:rPr>
                <w:sz w:val="20"/>
                <w:szCs w:val="20"/>
              </w:rPr>
              <w:t>Pregled regulatornih mjera energetske učinkovitosti u RH</w:t>
            </w:r>
          </w:p>
        </w:tc>
      </w:tr>
      <w:tr w:rsidR="00EF73C6" w:rsidRPr="00F52E31" w14:paraId="34D4A202" w14:textId="77777777" w:rsidTr="00725326">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5A1D65BB" w14:textId="77777777" w:rsidR="00EF73C6" w:rsidRPr="0031468F" w:rsidRDefault="00EF73C6" w:rsidP="005A25C9">
            <w:pPr>
              <w:spacing w:before="0" w:after="0" w:line="240" w:lineRule="auto"/>
              <w:rPr>
                <w:sz w:val="20"/>
                <w:szCs w:val="20"/>
              </w:rPr>
            </w:pPr>
            <w:r w:rsidRPr="005A25C9">
              <w:rPr>
                <w:sz w:val="20"/>
                <w:szCs w:val="20"/>
              </w:rPr>
              <w:t>Zakon o energetskoj učinkovitosti</w:t>
            </w:r>
          </w:p>
        </w:tc>
      </w:tr>
      <w:tr w:rsidR="00EF73C6" w:rsidRPr="00F52E31" w14:paraId="34998930"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C57EFDB" w14:textId="77777777" w:rsidR="00EF73C6" w:rsidRPr="00F52E31" w:rsidRDefault="00EF73C6" w:rsidP="00EF73C6">
            <w:pPr>
              <w:spacing w:before="0" w:after="0" w:line="240" w:lineRule="auto"/>
              <w:rPr>
                <w:b w:val="0"/>
                <w:sz w:val="20"/>
              </w:rPr>
            </w:pPr>
            <w:r w:rsidRPr="00F52E31">
              <w:rPr>
                <w:b w:val="0"/>
                <w:sz w:val="20"/>
              </w:rPr>
              <w:t>Obveza Vlade RH da usvoji Nacionalni akcijski plan energetske učinkovitosti (NAPEnU) za trogodišnje razdoblje s mjerama koje će se provoditi na cijelom području RH</w:t>
            </w:r>
          </w:p>
        </w:tc>
      </w:tr>
      <w:tr w:rsidR="00EF73C6" w:rsidRPr="00F52E31" w14:paraId="485FA937"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0130CE1C" w14:textId="0DD10585" w:rsidR="00EF73C6" w:rsidRPr="005A25C9" w:rsidRDefault="00EF73C6" w:rsidP="005A25C9">
            <w:pPr>
              <w:spacing w:before="0" w:after="0" w:line="240" w:lineRule="auto"/>
              <w:rPr>
                <w:b w:val="0"/>
                <w:sz w:val="20"/>
                <w:szCs w:val="20"/>
              </w:rPr>
            </w:pPr>
            <w:r w:rsidRPr="0031468F">
              <w:rPr>
                <w:b w:val="0"/>
                <w:sz w:val="20"/>
              </w:rPr>
              <w:t>Obveza županija i velikih gradova (&gt; 35.000 stanovnika) da donose Akcijske planove (trogodišnje) i godišnje planove energetske učinkovitosti</w:t>
            </w:r>
            <w:r w:rsidR="0086329E">
              <w:rPr>
                <w:b w:val="0"/>
                <w:sz w:val="20"/>
              </w:rPr>
              <w:t xml:space="preserve"> </w:t>
            </w:r>
          </w:p>
        </w:tc>
      </w:tr>
      <w:tr w:rsidR="00EF73C6" w:rsidRPr="00F52E31" w14:paraId="1DB8BA93"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8EB80CB" w14:textId="77777777" w:rsidR="00EF73C6" w:rsidRPr="005A25C9" w:rsidRDefault="00EF73C6" w:rsidP="005A25C9">
            <w:pPr>
              <w:spacing w:before="0" w:after="0" w:line="240" w:lineRule="auto"/>
              <w:rPr>
                <w:b w:val="0"/>
                <w:sz w:val="20"/>
                <w:szCs w:val="20"/>
              </w:rPr>
            </w:pPr>
            <w:r w:rsidRPr="0031468F">
              <w:rPr>
                <w:b w:val="0"/>
                <w:sz w:val="20"/>
              </w:rPr>
              <w:t>Obveza Vlade RH da usvoji Dugoročnu strategiju za poticanje ulaganja u obnovu nacionalnog fonda zgrada Republike Hrvatske te je ažurira svake tri godine</w:t>
            </w:r>
          </w:p>
        </w:tc>
      </w:tr>
      <w:tr w:rsidR="00EF73C6" w:rsidRPr="00F52E31" w14:paraId="42F639B9"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0E16C1B" w14:textId="77777777" w:rsidR="00EF73C6" w:rsidRDefault="00E15FA0" w:rsidP="00EF73C6">
            <w:pPr>
              <w:spacing w:before="0" w:after="0" w:line="240" w:lineRule="auto"/>
              <w:rPr>
                <w:bCs w:val="0"/>
                <w:sz w:val="20"/>
              </w:rPr>
            </w:pPr>
            <w:r w:rsidRPr="00F52E31">
              <w:rPr>
                <w:b w:val="0"/>
                <w:sz w:val="20"/>
              </w:rPr>
              <w:t xml:space="preserve">Sustav obveze energetske učinkovitosti za </w:t>
            </w:r>
            <w:r>
              <w:rPr>
                <w:b w:val="0"/>
                <w:sz w:val="20"/>
              </w:rPr>
              <w:t>opskrbljivače</w:t>
            </w:r>
            <w:r w:rsidRPr="00F52E31">
              <w:rPr>
                <w:b w:val="0"/>
                <w:sz w:val="20"/>
              </w:rPr>
              <w:t xml:space="preserve"> energije</w:t>
            </w:r>
          </w:p>
          <w:p w14:paraId="1C429FB9" w14:textId="1AC1A4CA" w:rsidR="00EF73C6" w:rsidRPr="00F52E31" w:rsidRDefault="00475C06" w:rsidP="00EF73C6">
            <w:pPr>
              <w:spacing w:before="0" w:after="0" w:line="240" w:lineRule="auto"/>
              <w:rPr>
                <w:b w:val="0"/>
                <w:sz w:val="20"/>
              </w:rPr>
            </w:pPr>
            <w:r>
              <w:rPr>
                <w:b w:val="0"/>
                <w:sz w:val="20"/>
              </w:rPr>
              <w:t>(</w:t>
            </w:r>
            <w:r w:rsidRPr="00603379">
              <w:rPr>
                <w:sz w:val="20"/>
              </w:rPr>
              <w:t>Pravilnik o sustavu obveze energetske učinkovitosti</w:t>
            </w:r>
            <w:r w:rsidR="00603379" w:rsidRPr="00603379">
              <w:rPr>
                <w:sz w:val="20"/>
              </w:rPr>
              <w:t xml:space="preserve"> (NN</w:t>
            </w:r>
            <w:r w:rsidR="00D7444A">
              <w:rPr>
                <w:sz w:val="20"/>
              </w:rPr>
              <w:t xml:space="preserve"> 41/19</w:t>
            </w:r>
            <w:r w:rsidR="00603379" w:rsidRPr="00603379">
              <w:rPr>
                <w:sz w:val="20"/>
              </w:rPr>
              <w:t>)</w:t>
            </w:r>
            <w:r w:rsidR="00603379">
              <w:rPr>
                <w:b w:val="0"/>
                <w:sz w:val="20"/>
              </w:rPr>
              <w:t xml:space="preserve">) </w:t>
            </w:r>
          </w:p>
        </w:tc>
      </w:tr>
      <w:tr w:rsidR="00EF73C6" w:rsidRPr="00F52E31" w14:paraId="61C09DA0"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7B114CEA" w14:textId="7A9937ED" w:rsidR="00EF73C6" w:rsidRPr="005A25C9" w:rsidRDefault="00EF73C6" w:rsidP="005A25C9">
            <w:pPr>
              <w:spacing w:before="0" w:after="0" w:line="240" w:lineRule="auto"/>
              <w:rPr>
                <w:b w:val="0"/>
                <w:sz w:val="20"/>
                <w:szCs w:val="20"/>
              </w:rPr>
            </w:pPr>
            <w:r w:rsidRPr="0031468F">
              <w:rPr>
                <w:b w:val="0"/>
                <w:sz w:val="20"/>
              </w:rPr>
              <w:t>Obveze opskrbljivača o mjerenju i obračunavanju potrošnje te informiranju kupaca o prethodnoj potrošnji, što obuhvaća usporedbu s prosječnim uobičajenim ili referentnim krajnjim kupcem iz iste kategorije krajnjih kupaca opskrbljivača (H.1</w:t>
            </w:r>
            <w:r w:rsidR="001749F6" w:rsidRPr="0031468F">
              <w:rPr>
                <w:b w:val="0"/>
                <w:sz w:val="20"/>
              </w:rPr>
              <w:t xml:space="preserve"> [</w:t>
            </w:r>
            <w:r w:rsidR="001749F6" w:rsidRPr="0031468F">
              <w:rPr>
                <w:sz w:val="20"/>
              </w:rPr>
              <w:fldChar w:fldCharType="begin"/>
            </w:r>
            <w:r w:rsidR="001749F6">
              <w:rPr>
                <w:b w:val="0"/>
                <w:sz w:val="20"/>
              </w:rPr>
              <w:instrText xml:space="preserve"> REF _Ref531609660 \r \h </w:instrText>
            </w:r>
            <w:r w:rsidR="001749F6" w:rsidRPr="0031468F">
              <w:rPr>
                <w:sz w:val="20"/>
              </w:rPr>
            </w:r>
            <w:r w:rsidR="001749F6" w:rsidRPr="0031468F">
              <w:rPr>
                <w:sz w:val="20"/>
              </w:rPr>
              <w:fldChar w:fldCharType="separate"/>
            </w:r>
            <w:r w:rsidR="00154150">
              <w:rPr>
                <w:b w:val="0"/>
                <w:sz w:val="20"/>
              </w:rPr>
              <w:t>15</w:t>
            </w:r>
            <w:r w:rsidR="001749F6" w:rsidRPr="0031468F">
              <w:rPr>
                <w:sz w:val="20"/>
              </w:rPr>
              <w:fldChar w:fldCharType="end"/>
            </w:r>
            <w:r w:rsidR="001749F6" w:rsidRPr="0031468F">
              <w:rPr>
                <w:b w:val="0"/>
                <w:sz w:val="20"/>
              </w:rPr>
              <w:t>]</w:t>
            </w:r>
            <w:r w:rsidRPr="0031468F">
              <w:rPr>
                <w:b w:val="0"/>
                <w:sz w:val="20"/>
              </w:rPr>
              <w:t>; MEN-7</w:t>
            </w:r>
            <w:r w:rsidR="001749F6" w:rsidRPr="0031468F">
              <w:rPr>
                <w:b w:val="0"/>
                <w:sz w:val="20"/>
              </w:rPr>
              <w:t xml:space="preserve"> [</w:t>
            </w:r>
            <w:r w:rsidR="001749F6" w:rsidRPr="0031468F">
              <w:rPr>
                <w:sz w:val="20"/>
              </w:rPr>
              <w:fldChar w:fldCharType="begin"/>
            </w:r>
            <w:r w:rsidR="001749F6">
              <w:rPr>
                <w:b w:val="0"/>
                <w:sz w:val="20"/>
              </w:rPr>
              <w:instrText xml:space="preserve"> REF _Ref531604343 \r \h </w:instrText>
            </w:r>
            <w:r w:rsidR="001749F6" w:rsidRPr="0031468F">
              <w:rPr>
                <w:sz w:val="20"/>
              </w:rPr>
            </w:r>
            <w:r w:rsidR="001749F6" w:rsidRPr="0031468F">
              <w:rPr>
                <w:sz w:val="20"/>
              </w:rPr>
              <w:fldChar w:fldCharType="separate"/>
            </w:r>
            <w:r w:rsidR="00154150">
              <w:rPr>
                <w:b w:val="0"/>
                <w:sz w:val="20"/>
              </w:rPr>
              <w:t>1</w:t>
            </w:r>
            <w:r w:rsidR="001749F6" w:rsidRPr="0031468F">
              <w:rPr>
                <w:sz w:val="20"/>
              </w:rPr>
              <w:fldChar w:fldCharType="end"/>
            </w:r>
            <w:r w:rsidR="001749F6" w:rsidRPr="0031468F">
              <w:rPr>
                <w:b w:val="0"/>
                <w:sz w:val="20"/>
              </w:rPr>
              <w:t>]</w:t>
            </w:r>
            <w:r w:rsidRPr="0031468F">
              <w:rPr>
                <w:b w:val="0"/>
                <w:sz w:val="20"/>
              </w:rPr>
              <w:t>)</w:t>
            </w:r>
          </w:p>
        </w:tc>
      </w:tr>
      <w:tr w:rsidR="00EF73C6" w:rsidRPr="00F52E31" w14:paraId="061440E4"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356BDD44" w14:textId="77777777" w:rsidR="00EF73C6" w:rsidRPr="005A25C9" w:rsidRDefault="00EF73C6" w:rsidP="005A25C9">
            <w:pPr>
              <w:spacing w:before="0" w:after="0" w:line="240" w:lineRule="auto"/>
              <w:rPr>
                <w:b w:val="0"/>
                <w:sz w:val="20"/>
                <w:szCs w:val="20"/>
              </w:rPr>
            </w:pPr>
            <w:r w:rsidRPr="0031468F">
              <w:rPr>
                <w:b w:val="0"/>
                <w:sz w:val="20"/>
              </w:rPr>
              <w:t>Obveze distributera energije da</w:t>
            </w:r>
            <w:r>
              <w:t xml:space="preserve"> </w:t>
            </w:r>
            <w:r w:rsidRPr="0031468F">
              <w:rPr>
                <w:b w:val="0"/>
                <w:sz w:val="20"/>
              </w:rPr>
              <w:t>podatke o mjerenju i potrošnji energije u javnom sektoru unose na mjesečnoj razini u nacionalni informacijski sustav za gospodarenje energijom (ISGE) te da osiguraju pojedinačna brojila krajnjim kupcima</w:t>
            </w:r>
          </w:p>
        </w:tc>
      </w:tr>
      <w:tr w:rsidR="00EF73C6" w:rsidRPr="00F52E31" w14:paraId="66AFC53C"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20A0D5F" w14:textId="77777777" w:rsidR="00EF73C6" w:rsidRPr="005A25C9" w:rsidRDefault="00EF73C6" w:rsidP="005A25C9">
            <w:pPr>
              <w:spacing w:before="0" w:after="0" w:line="240" w:lineRule="auto"/>
              <w:rPr>
                <w:b w:val="0"/>
                <w:sz w:val="20"/>
                <w:szCs w:val="20"/>
              </w:rPr>
            </w:pPr>
            <w:r w:rsidRPr="0031468F">
              <w:rPr>
                <w:b w:val="0"/>
                <w:sz w:val="20"/>
              </w:rPr>
              <w:t>Obveze regulatornog tijela za energetiku da osigura poticanje energetske učinkovitosti kroz tarife te da osigura poticaje za poboljšanje učinkovitosti u planiranju i radu infrastrukture za prirodni plin i električnu energiju</w:t>
            </w:r>
          </w:p>
        </w:tc>
      </w:tr>
      <w:tr w:rsidR="00EF73C6" w:rsidRPr="00F52E31" w14:paraId="10F7F54D"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002E72D5" w14:textId="77777777" w:rsidR="00EF73C6" w:rsidRPr="00F52E31" w:rsidRDefault="00EF73C6" w:rsidP="00EF73C6">
            <w:pPr>
              <w:spacing w:before="0" w:after="0" w:line="240" w:lineRule="auto"/>
              <w:rPr>
                <w:b w:val="0"/>
                <w:sz w:val="20"/>
              </w:rPr>
            </w:pPr>
            <w:r w:rsidRPr="00F52E31">
              <w:rPr>
                <w:b w:val="0"/>
                <w:sz w:val="20"/>
              </w:rPr>
              <w:t xml:space="preserve">Obveze operatora prijenosnog i distribucijskog sustava da omoguće pristup mreži, prijenos i distribuciju električne energije proizvedene iz visokoučinkovite kogeneracije </w:t>
            </w:r>
          </w:p>
        </w:tc>
      </w:tr>
      <w:tr w:rsidR="00EF73C6" w:rsidRPr="00F52E31" w14:paraId="27CAEA29"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38A4CFD" w14:textId="1623B6B9" w:rsidR="00EF73C6" w:rsidRPr="005A25C9" w:rsidRDefault="00EF73C6" w:rsidP="005A25C9">
            <w:pPr>
              <w:spacing w:before="0" w:after="0" w:line="240" w:lineRule="auto"/>
              <w:rPr>
                <w:sz w:val="20"/>
                <w:szCs w:val="20"/>
              </w:rPr>
            </w:pPr>
            <w:r w:rsidRPr="0031468F">
              <w:rPr>
                <w:b w:val="0"/>
                <w:sz w:val="20"/>
              </w:rPr>
              <w:t>Obveze velikih poduzeća o provedbi energetskih pregleda svake 4 godine ili uvođenju sustava gospodarenja energijom (MEN-15</w:t>
            </w:r>
            <w:r w:rsidR="00206B71">
              <w:rPr>
                <w:b w:val="0"/>
                <w:sz w:val="20"/>
              </w:rPr>
              <w:t xml:space="preserve"> </w:t>
            </w:r>
            <w:r w:rsidR="001749F6" w:rsidRPr="0031468F">
              <w:rPr>
                <w:b w:val="0"/>
                <w:sz w:val="20"/>
              </w:rPr>
              <w:t>[</w:t>
            </w:r>
            <w:r w:rsidR="001749F6" w:rsidRPr="0031468F">
              <w:rPr>
                <w:sz w:val="20"/>
              </w:rPr>
              <w:fldChar w:fldCharType="begin"/>
            </w:r>
            <w:r w:rsidR="001749F6">
              <w:rPr>
                <w:b w:val="0"/>
                <w:sz w:val="20"/>
              </w:rPr>
              <w:instrText xml:space="preserve"> REF _Ref531604343 \r \h </w:instrText>
            </w:r>
            <w:r w:rsidR="001749F6" w:rsidRPr="0031468F">
              <w:rPr>
                <w:sz w:val="20"/>
              </w:rPr>
            </w:r>
            <w:r w:rsidR="001749F6" w:rsidRPr="0031468F">
              <w:rPr>
                <w:sz w:val="20"/>
              </w:rPr>
              <w:fldChar w:fldCharType="separate"/>
            </w:r>
            <w:r w:rsidR="00154150">
              <w:rPr>
                <w:b w:val="0"/>
                <w:sz w:val="20"/>
              </w:rPr>
              <w:t>1</w:t>
            </w:r>
            <w:r w:rsidR="001749F6" w:rsidRPr="0031468F">
              <w:rPr>
                <w:sz w:val="20"/>
              </w:rPr>
              <w:fldChar w:fldCharType="end"/>
            </w:r>
            <w:r w:rsidR="001749F6" w:rsidRPr="0031468F">
              <w:rPr>
                <w:b w:val="0"/>
                <w:sz w:val="20"/>
              </w:rPr>
              <w:t>]</w:t>
            </w:r>
            <w:r w:rsidR="00206B71">
              <w:rPr>
                <w:b w:val="0"/>
                <w:sz w:val="20"/>
              </w:rPr>
              <w:t>)</w:t>
            </w:r>
          </w:p>
          <w:p w14:paraId="3BB848BA" w14:textId="3D9AE4E0" w:rsidR="00EF73C6" w:rsidRPr="005A25C9" w:rsidRDefault="00EF73C6" w:rsidP="0031468F">
            <w:pPr>
              <w:spacing w:before="0" w:after="0" w:line="240" w:lineRule="auto"/>
              <w:rPr>
                <w:b w:val="0"/>
                <w:sz w:val="20"/>
                <w:szCs w:val="20"/>
              </w:rPr>
            </w:pPr>
            <w:r w:rsidRPr="0031468F">
              <w:rPr>
                <w:b w:val="0"/>
                <w:sz w:val="20"/>
              </w:rPr>
              <w:t>(</w:t>
            </w:r>
            <w:r w:rsidRPr="005A25C9">
              <w:rPr>
                <w:sz w:val="20"/>
                <w:szCs w:val="20"/>
              </w:rPr>
              <w:t>Pravilnik o energetskom pregledu za velika poduzeća (NN</w:t>
            </w:r>
            <w:r w:rsidRPr="0031468F">
              <w:rPr>
                <w:sz w:val="20"/>
                <w:szCs w:val="20"/>
              </w:rPr>
              <w:t xml:space="preserve"> 123/15)</w:t>
            </w:r>
            <w:r w:rsidRPr="0031468F">
              <w:rPr>
                <w:b w:val="0"/>
                <w:sz w:val="20"/>
              </w:rPr>
              <w:t>)</w:t>
            </w:r>
          </w:p>
        </w:tc>
      </w:tr>
      <w:tr w:rsidR="00EF73C6" w:rsidRPr="00F52E31" w14:paraId="617E9004"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2E85E3BD" w14:textId="4B90F0F9" w:rsidR="00EF73C6" w:rsidRPr="005A25C9" w:rsidRDefault="00EF73C6" w:rsidP="005A25C9">
            <w:pPr>
              <w:spacing w:before="0" w:after="0" w:line="240" w:lineRule="auto"/>
              <w:rPr>
                <w:b w:val="0"/>
                <w:sz w:val="20"/>
                <w:szCs w:val="20"/>
              </w:rPr>
            </w:pPr>
            <w:r w:rsidRPr="0031468F">
              <w:rPr>
                <w:b w:val="0"/>
                <w:sz w:val="20"/>
              </w:rPr>
              <w:t xml:space="preserve">Obveza javnog sektora da provodi energetske preglede sustava javne rasvjete svakih 5 godina te da održava i rekonstruira javnu rasvjetu </w:t>
            </w:r>
            <w:r w:rsidR="00A13BE2">
              <w:rPr>
                <w:b w:val="0"/>
                <w:sz w:val="20"/>
              </w:rPr>
              <w:t xml:space="preserve">tako </w:t>
            </w:r>
            <w:r w:rsidRPr="0031468F">
              <w:rPr>
                <w:b w:val="0"/>
                <w:sz w:val="20"/>
              </w:rPr>
              <w:t>da smanjuje potrošnju električne energije i ispunjava ostale uvjete propisane Zakonom o zaštiti od svjetlosnog onečišćenja i propisa koji iz njega proizlaze</w:t>
            </w:r>
          </w:p>
        </w:tc>
      </w:tr>
      <w:tr w:rsidR="00EF73C6" w:rsidRPr="00F52E31" w14:paraId="1660F86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4F67D8CC" w14:textId="4C2C5431" w:rsidR="00EF73C6" w:rsidRPr="00F52E31" w:rsidRDefault="00EF73C6" w:rsidP="00EF73C6">
            <w:pPr>
              <w:spacing w:before="0" w:after="0" w:line="240" w:lineRule="auto"/>
              <w:rPr>
                <w:bCs w:val="0"/>
                <w:sz w:val="20"/>
              </w:rPr>
            </w:pPr>
            <w:r w:rsidRPr="00F52E31">
              <w:rPr>
                <w:b w:val="0"/>
                <w:sz w:val="20"/>
              </w:rPr>
              <w:t>Obveza javnog sektora da sustavno gospodari energijom, što podrazumijeva imenovanje odgovorne osobe za gospodarenje energijom, redovno praćenje potrošnje energije i unošenje pod</w:t>
            </w:r>
            <w:r w:rsidR="00C651D3">
              <w:rPr>
                <w:b w:val="0"/>
                <w:sz w:val="20"/>
              </w:rPr>
              <w:t>a</w:t>
            </w:r>
            <w:r w:rsidRPr="00F52E31">
              <w:rPr>
                <w:b w:val="0"/>
                <w:sz w:val="20"/>
              </w:rPr>
              <w:t xml:space="preserve">taka o potrošnji energije u nacionalni informacijski sustav za gospodarenje energijom (ISGE) </w:t>
            </w:r>
          </w:p>
          <w:p w14:paraId="5DF4E0CD" w14:textId="7325934C" w:rsidR="00EF73C6" w:rsidRPr="004179D0" w:rsidRDefault="00EF73C6" w:rsidP="00EF73C6">
            <w:pPr>
              <w:spacing w:before="0" w:after="0" w:line="240" w:lineRule="auto"/>
              <w:rPr>
                <w:b w:val="0"/>
                <w:sz w:val="20"/>
                <w:szCs w:val="20"/>
              </w:rPr>
            </w:pPr>
            <w:r w:rsidRPr="004179D0">
              <w:rPr>
                <w:rStyle w:val="Strong"/>
                <w:sz w:val="20"/>
                <w:szCs w:val="20"/>
              </w:rPr>
              <w:t>(</w:t>
            </w:r>
            <w:r w:rsidRPr="351A17E0">
              <w:rPr>
                <w:rStyle w:val="Strong"/>
                <w:sz w:val="20"/>
                <w:szCs w:val="20"/>
              </w:rPr>
              <w:t xml:space="preserve">Pravilnik o sustavnom gospodarenju energijom u javnom sektoru (NN </w:t>
            </w:r>
            <w:hyperlink r:id="rId17" w:history="1">
              <w:r w:rsidRPr="351A17E0">
                <w:rPr>
                  <w:rStyle w:val="Strong"/>
                  <w:sz w:val="20"/>
                  <w:szCs w:val="20"/>
                </w:rPr>
                <w:t>18/15</w:t>
              </w:r>
            </w:hyperlink>
            <w:r w:rsidR="00E15FA0" w:rsidRPr="00BE5FD3">
              <w:rPr>
                <w:rStyle w:val="Strong"/>
                <w:b/>
                <w:sz w:val="20"/>
                <w:szCs w:val="20"/>
              </w:rPr>
              <w:t>,</w:t>
            </w:r>
            <w:r w:rsidR="00E15FA0" w:rsidRPr="00BE5FD3">
              <w:rPr>
                <w:rStyle w:val="Strong"/>
                <w:b/>
                <w:szCs w:val="20"/>
              </w:rPr>
              <w:t xml:space="preserve"> </w:t>
            </w:r>
            <w:r w:rsidR="00E15FA0" w:rsidRPr="00BE5FD3">
              <w:rPr>
                <w:rStyle w:val="Strong"/>
                <w:b/>
                <w:sz w:val="20"/>
                <w:szCs w:val="20"/>
              </w:rPr>
              <w:t>06/16)</w:t>
            </w:r>
            <w:r w:rsidRPr="004179D0">
              <w:rPr>
                <w:rStyle w:val="Strong"/>
                <w:sz w:val="20"/>
                <w:szCs w:val="20"/>
              </w:rPr>
              <w:t>)</w:t>
            </w:r>
          </w:p>
        </w:tc>
      </w:tr>
      <w:tr w:rsidR="00EF73C6" w:rsidRPr="00F52E31" w14:paraId="0675D797"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21258E43" w14:textId="77777777" w:rsidR="00EF73C6" w:rsidRPr="00F52E31" w:rsidRDefault="00EF73C6" w:rsidP="00EF73C6">
            <w:pPr>
              <w:spacing w:before="0" w:after="0" w:line="240" w:lineRule="auto"/>
              <w:rPr>
                <w:bCs w:val="0"/>
                <w:sz w:val="20"/>
              </w:rPr>
            </w:pPr>
            <w:r w:rsidRPr="00F52E31">
              <w:rPr>
                <w:b w:val="0"/>
                <w:sz w:val="20"/>
              </w:rPr>
              <w:t>Obveza prijavljivanja svih aktivnosti energetske učinkovitosti i ostvarenih ušteda u nacionalni sustav za praćenje, mjerenje i verifikaciju ušteda (SMiV) za javni sektor, pružatelje energetskih usluga i davatelje subvencija</w:t>
            </w:r>
          </w:p>
          <w:p w14:paraId="38CF5ED5" w14:textId="32D65D63" w:rsidR="00EF73C6" w:rsidRPr="005A25C9" w:rsidRDefault="00EF73C6" w:rsidP="005A25C9">
            <w:pPr>
              <w:spacing w:before="0" w:after="0" w:line="240" w:lineRule="auto"/>
              <w:rPr>
                <w:b w:val="0"/>
                <w:sz w:val="20"/>
                <w:szCs w:val="20"/>
              </w:rPr>
            </w:pPr>
            <w:r w:rsidRPr="00A238EB">
              <w:rPr>
                <w:b w:val="0"/>
                <w:bCs w:val="0"/>
                <w:sz w:val="20"/>
              </w:rPr>
              <w:t>(</w:t>
            </w:r>
            <w:r w:rsidRPr="005A25C9">
              <w:rPr>
                <w:sz w:val="20"/>
                <w:szCs w:val="20"/>
              </w:rPr>
              <w:t>Pravilnik o sustavu za praćenje, mjerenje i verifikaciju ušteda energije</w:t>
            </w:r>
            <w:r w:rsidRPr="00A238EB">
              <w:rPr>
                <w:b w:val="0"/>
                <w:bCs w:val="0"/>
                <w:sz w:val="20"/>
              </w:rPr>
              <w:t xml:space="preserve"> </w:t>
            </w:r>
            <w:r w:rsidRPr="005A25C9">
              <w:rPr>
                <w:sz w:val="20"/>
                <w:szCs w:val="20"/>
              </w:rPr>
              <w:t>(NN 71/15)</w:t>
            </w:r>
            <w:r w:rsidRPr="00A238EB">
              <w:rPr>
                <w:b w:val="0"/>
                <w:bCs w:val="0"/>
                <w:sz w:val="20"/>
              </w:rPr>
              <w:t>)</w:t>
            </w:r>
          </w:p>
        </w:tc>
      </w:tr>
      <w:tr w:rsidR="00EF73C6" w:rsidRPr="00F52E31" w14:paraId="354C7EA5"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71DC76E5" w14:textId="5EE8624C" w:rsidR="00EF73C6" w:rsidRPr="005A25C9" w:rsidRDefault="00EF73C6" w:rsidP="005A25C9">
            <w:pPr>
              <w:spacing w:before="0" w:after="0" w:line="240" w:lineRule="auto"/>
              <w:rPr>
                <w:sz w:val="20"/>
                <w:szCs w:val="20"/>
              </w:rPr>
            </w:pPr>
            <w:r w:rsidRPr="00A238EB">
              <w:rPr>
                <w:b w:val="0"/>
                <w:sz w:val="20"/>
              </w:rPr>
              <w:t xml:space="preserve">Obveza nadležnih ministarstava i </w:t>
            </w:r>
            <w:r w:rsidR="00E15FA0">
              <w:rPr>
                <w:b w:val="0"/>
                <w:sz w:val="20"/>
              </w:rPr>
              <w:t>Nacionalnog koordinacijskog tijela (</w:t>
            </w:r>
            <w:r w:rsidR="00E15FA0" w:rsidRPr="00A238EB">
              <w:rPr>
                <w:b w:val="0"/>
                <w:sz w:val="20"/>
              </w:rPr>
              <w:t>NKT</w:t>
            </w:r>
            <w:r w:rsidR="00E15FA0">
              <w:rPr>
                <w:b w:val="0"/>
                <w:sz w:val="20"/>
              </w:rPr>
              <w:t>)</w:t>
            </w:r>
            <w:r w:rsidR="001A5DBA">
              <w:rPr>
                <w:b w:val="0"/>
                <w:sz w:val="20"/>
              </w:rPr>
              <w:t xml:space="preserve"> </w:t>
            </w:r>
            <w:r w:rsidRPr="00A238EB">
              <w:rPr>
                <w:b w:val="0"/>
                <w:sz w:val="20"/>
              </w:rPr>
              <w:t>uspostavljanja i vođenja informacij</w:t>
            </w:r>
            <w:r w:rsidR="001A5DBA">
              <w:rPr>
                <w:b w:val="0"/>
                <w:sz w:val="20"/>
              </w:rPr>
              <w:t>sk</w:t>
            </w:r>
            <w:r w:rsidRPr="00A238EB">
              <w:rPr>
                <w:b w:val="0"/>
                <w:sz w:val="20"/>
              </w:rPr>
              <w:t xml:space="preserve">e platforme o energetskoj učinkovitosti </w:t>
            </w:r>
          </w:p>
          <w:p w14:paraId="31CA347D" w14:textId="0390BE61" w:rsidR="00EF73C6" w:rsidRPr="005A25C9" w:rsidRDefault="00EF73C6" w:rsidP="0031468F">
            <w:pPr>
              <w:spacing w:before="0" w:after="0" w:line="240" w:lineRule="auto"/>
              <w:rPr>
                <w:b w:val="0"/>
                <w:sz w:val="20"/>
                <w:szCs w:val="20"/>
              </w:rPr>
            </w:pPr>
            <w:r w:rsidRPr="00A238EB">
              <w:rPr>
                <w:b w:val="0"/>
                <w:sz w:val="20"/>
              </w:rPr>
              <w:t>(</w:t>
            </w:r>
            <w:r w:rsidRPr="005A25C9">
              <w:rPr>
                <w:sz w:val="20"/>
                <w:szCs w:val="20"/>
              </w:rPr>
              <w:t>Nacionalni portal energetske učinkovitosti:</w:t>
            </w:r>
            <w:r w:rsidRPr="00A238EB">
              <w:rPr>
                <w:b w:val="0"/>
                <w:sz w:val="20"/>
              </w:rPr>
              <w:t xml:space="preserve"> </w:t>
            </w:r>
            <w:hyperlink r:id="rId18" w:history="1">
              <w:r w:rsidRPr="00733872">
                <w:rPr>
                  <w:rStyle w:val="Hyperlink"/>
                  <w:b w:val="0"/>
                  <w:sz w:val="20"/>
                  <w:szCs w:val="20"/>
                </w:rPr>
                <w:t>https://www.enu.hr/</w:t>
              </w:r>
            </w:hyperlink>
            <w:r w:rsidRPr="00A238EB">
              <w:rPr>
                <w:sz w:val="20"/>
                <w:szCs w:val="20"/>
              </w:rPr>
              <w:t>)</w:t>
            </w:r>
          </w:p>
        </w:tc>
      </w:tr>
      <w:tr w:rsidR="00EF73C6" w:rsidRPr="00F52E31" w14:paraId="7C9C287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2A3549C" w14:textId="67C99034" w:rsidR="00EF73C6" w:rsidRPr="005A25C9" w:rsidRDefault="00EF73C6" w:rsidP="005A25C9">
            <w:pPr>
              <w:spacing w:before="0" w:after="0" w:line="240" w:lineRule="auto"/>
              <w:rPr>
                <w:sz w:val="20"/>
                <w:szCs w:val="20"/>
              </w:rPr>
            </w:pPr>
            <w:r w:rsidRPr="00A238EB">
              <w:rPr>
                <w:sz w:val="20"/>
                <w:szCs w:val="20"/>
              </w:rPr>
              <w:t xml:space="preserve">Obveza označavanja uređaja povezanih s energijom </w:t>
            </w:r>
            <w:r w:rsidRPr="00F976A8">
              <w:rPr>
                <w:b w:val="0"/>
                <w:sz w:val="20"/>
                <w:szCs w:val="20"/>
              </w:rPr>
              <w:t>(MEN-8</w:t>
            </w:r>
            <w:r w:rsidR="001749F6" w:rsidRPr="00F976A8">
              <w:rPr>
                <w:b w:val="0"/>
                <w:sz w:val="20"/>
                <w:szCs w:val="20"/>
              </w:rPr>
              <w:t xml:space="preserve"> [</w:t>
            </w:r>
            <w:r w:rsidR="001749F6" w:rsidRPr="00F976A8">
              <w:rPr>
                <w:sz w:val="20"/>
              </w:rPr>
              <w:fldChar w:fldCharType="begin"/>
            </w:r>
            <w:r w:rsidR="001749F6" w:rsidRPr="00F976A8">
              <w:rPr>
                <w:b w:val="0"/>
                <w:sz w:val="20"/>
              </w:rPr>
              <w:instrText xml:space="preserve"> REF _Ref531604343 \r \h </w:instrText>
            </w:r>
            <w:r w:rsidR="00206B71" w:rsidRPr="00F976A8">
              <w:rPr>
                <w:b w:val="0"/>
              </w:rPr>
              <w:instrText xml:space="preserve"> \* MERGEFORMAT </w:instrText>
            </w:r>
            <w:r w:rsidR="001749F6" w:rsidRPr="00F976A8">
              <w:rPr>
                <w:sz w:val="20"/>
              </w:rPr>
            </w:r>
            <w:r w:rsidR="001749F6" w:rsidRPr="00F976A8">
              <w:rPr>
                <w:sz w:val="20"/>
              </w:rPr>
              <w:fldChar w:fldCharType="separate"/>
            </w:r>
            <w:r w:rsidR="00154150">
              <w:rPr>
                <w:b w:val="0"/>
                <w:sz w:val="20"/>
              </w:rPr>
              <w:t>1</w:t>
            </w:r>
            <w:r w:rsidR="001749F6" w:rsidRPr="00F976A8">
              <w:rPr>
                <w:sz w:val="20"/>
              </w:rPr>
              <w:fldChar w:fldCharType="end"/>
            </w:r>
            <w:r w:rsidR="001749F6" w:rsidRPr="00BF6BC3">
              <w:rPr>
                <w:b w:val="0"/>
                <w:sz w:val="20"/>
              </w:rPr>
              <w:t>]</w:t>
            </w:r>
            <w:r w:rsidR="351A17E0" w:rsidRPr="00F976A8">
              <w:rPr>
                <w:b w:val="0"/>
              </w:rPr>
              <w:t>)</w:t>
            </w:r>
          </w:p>
          <w:p w14:paraId="5EF1C840" w14:textId="77777777" w:rsidR="00EF73C6" w:rsidRPr="005A25C9" w:rsidRDefault="00EF73C6" w:rsidP="0031468F">
            <w:pPr>
              <w:spacing w:before="0" w:after="0" w:line="240" w:lineRule="auto"/>
              <w:rPr>
                <w:b w:val="0"/>
                <w:sz w:val="20"/>
                <w:szCs w:val="20"/>
              </w:rPr>
            </w:pPr>
            <w:r w:rsidRPr="00A238EB">
              <w:rPr>
                <w:b w:val="0"/>
                <w:sz w:val="20"/>
              </w:rPr>
              <w:t>(relevantne uredbe EU za pojedine grupe uređaja)</w:t>
            </w:r>
          </w:p>
        </w:tc>
      </w:tr>
      <w:tr w:rsidR="00EF73C6" w:rsidRPr="00F52E31" w14:paraId="1EE7CA7D"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0DC89E85" w14:textId="77777777" w:rsidR="00EF73C6" w:rsidRPr="005A25C9" w:rsidRDefault="00EF73C6" w:rsidP="005A25C9">
            <w:pPr>
              <w:spacing w:before="0" w:after="0" w:line="240" w:lineRule="auto"/>
              <w:rPr>
                <w:sz w:val="20"/>
                <w:szCs w:val="20"/>
              </w:rPr>
            </w:pPr>
            <w:r w:rsidRPr="00A238EB">
              <w:rPr>
                <w:b w:val="0"/>
                <w:sz w:val="20"/>
              </w:rPr>
              <w:t xml:space="preserve">Reguliranje energetske usluge (ugovora o energetskom učinku) u javnom sektoru </w:t>
            </w:r>
          </w:p>
          <w:p w14:paraId="64760697" w14:textId="1FA24EB8" w:rsidR="00EF73C6" w:rsidRPr="005A25C9" w:rsidRDefault="00EF73C6" w:rsidP="0031468F">
            <w:pPr>
              <w:spacing w:before="0" w:after="0" w:line="240" w:lineRule="auto"/>
              <w:rPr>
                <w:b w:val="0"/>
                <w:sz w:val="20"/>
                <w:szCs w:val="20"/>
              </w:rPr>
            </w:pPr>
            <w:r w:rsidRPr="00A238EB">
              <w:rPr>
                <w:b w:val="0"/>
                <w:sz w:val="20"/>
              </w:rPr>
              <w:t>(</w:t>
            </w:r>
            <w:r w:rsidRPr="005A25C9">
              <w:rPr>
                <w:sz w:val="20"/>
                <w:szCs w:val="20"/>
              </w:rPr>
              <w:t>Uredba o ugovaranju i provedbi energetske usluge u javnom sektoru NN 11/15)</w:t>
            </w:r>
            <w:r w:rsidRPr="00A238EB">
              <w:rPr>
                <w:b w:val="0"/>
                <w:sz w:val="20"/>
              </w:rPr>
              <w:t>)</w:t>
            </w:r>
          </w:p>
        </w:tc>
      </w:tr>
      <w:tr w:rsidR="00EF73C6" w:rsidRPr="00F52E31" w14:paraId="3E1DF75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3D4FEC03" w14:textId="77777777" w:rsidR="00EF73C6" w:rsidRPr="00F52E31" w:rsidRDefault="00EF73C6" w:rsidP="00EF73C6">
            <w:pPr>
              <w:spacing w:before="0" w:after="0" w:line="240" w:lineRule="auto"/>
              <w:rPr>
                <w:b w:val="0"/>
                <w:sz w:val="20"/>
              </w:rPr>
            </w:pPr>
            <w:r w:rsidRPr="00F52E31">
              <w:rPr>
                <w:b w:val="0"/>
                <w:sz w:val="20"/>
              </w:rPr>
              <w:lastRenderedPageBreak/>
              <w:t>Reguliranje ugovaranja energetske usluge i radova energetske obnove višestambenih zgrada te utvrđivanje donošenja odluke o energetskoj obnovi na temelju natpolovične većine glasova suvlasnika koja se računa po suvlasničkim dijelovima i po broju suvlasnika zgrade</w:t>
            </w:r>
          </w:p>
        </w:tc>
      </w:tr>
      <w:tr w:rsidR="00EF73C6" w:rsidRPr="00F52E31" w14:paraId="00D9B89A"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EA5E287" w14:textId="77777777" w:rsidR="00EF73C6" w:rsidRPr="005A25C9" w:rsidRDefault="00EF73C6" w:rsidP="005A25C9">
            <w:pPr>
              <w:spacing w:before="0" w:after="0" w:line="240" w:lineRule="auto"/>
              <w:rPr>
                <w:sz w:val="20"/>
                <w:szCs w:val="20"/>
              </w:rPr>
            </w:pPr>
            <w:r w:rsidRPr="00A238EB">
              <w:rPr>
                <w:b w:val="0"/>
                <w:sz w:val="20"/>
              </w:rPr>
              <w:t xml:space="preserve">Obveza korištenja kriterija energetske učinkovitosti u postupcima javne nabave proizvoda povezanih s energijom </w:t>
            </w:r>
          </w:p>
          <w:p w14:paraId="5CF0116F" w14:textId="30B2A1DE" w:rsidR="00EF73C6" w:rsidRPr="005A25C9" w:rsidRDefault="00EF73C6" w:rsidP="0031468F">
            <w:pPr>
              <w:spacing w:before="0" w:after="0" w:line="240" w:lineRule="auto"/>
              <w:rPr>
                <w:b w:val="0"/>
                <w:sz w:val="20"/>
                <w:szCs w:val="20"/>
              </w:rPr>
            </w:pPr>
            <w:r w:rsidRPr="00A238EB">
              <w:rPr>
                <w:b w:val="0"/>
                <w:sz w:val="20"/>
              </w:rPr>
              <w:t>(</w:t>
            </w:r>
            <w:r w:rsidRPr="005A25C9">
              <w:rPr>
                <w:sz w:val="20"/>
                <w:szCs w:val="20"/>
              </w:rPr>
              <w:t>Pravilnik o zahtjevima energetske učinkovitosti proizvoda povezanih s energijom u postupcima javne nabave (NN 70/15)</w:t>
            </w:r>
            <w:r w:rsidRPr="00A238EB">
              <w:rPr>
                <w:b w:val="0"/>
                <w:sz w:val="20"/>
              </w:rPr>
              <w:t>)</w:t>
            </w:r>
          </w:p>
        </w:tc>
      </w:tr>
      <w:tr w:rsidR="00EF73C6" w:rsidRPr="00F52E31" w14:paraId="739CEEA7"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3B8BA74A" w14:textId="44243B76" w:rsidR="00EF73C6" w:rsidRPr="005A25C9" w:rsidRDefault="00EF73C6" w:rsidP="005A25C9">
            <w:pPr>
              <w:spacing w:before="0" w:after="0" w:line="240" w:lineRule="auto"/>
              <w:rPr>
                <w:sz w:val="20"/>
                <w:szCs w:val="20"/>
              </w:rPr>
            </w:pPr>
            <w:r w:rsidRPr="00A238EB">
              <w:rPr>
                <w:b w:val="0"/>
                <w:sz w:val="20"/>
              </w:rPr>
              <w:t xml:space="preserve">Obveza zadovoljavanja eko-dizajna proizvoda povezanih s energijom prilikom stavljanja na tržište </w:t>
            </w:r>
            <w:r w:rsidRPr="00BF6BC3">
              <w:rPr>
                <w:b w:val="0"/>
                <w:sz w:val="20"/>
              </w:rPr>
              <w:t>(MEN-9</w:t>
            </w:r>
            <w:r w:rsidR="001749F6" w:rsidRPr="00BF6BC3">
              <w:rPr>
                <w:b w:val="0"/>
                <w:sz w:val="20"/>
              </w:rPr>
              <w:t xml:space="preserve"> [</w:t>
            </w:r>
            <w:r w:rsidR="001749F6" w:rsidRPr="00F976A8">
              <w:fldChar w:fldCharType="begin"/>
            </w:r>
            <w:r w:rsidR="001749F6" w:rsidRPr="00F976A8">
              <w:rPr>
                <w:b w:val="0"/>
                <w:sz w:val="20"/>
              </w:rPr>
              <w:instrText xml:space="preserve"> REF _Ref531604343 \r \h </w:instrText>
            </w:r>
            <w:r w:rsidR="00BF6BC3" w:rsidRPr="00F976A8">
              <w:rPr>
                <w:b w:val="0"/>
              </w:rPr>
              <w:instrText xml:space="preserve"> \* MERGEFOR</w:instrText>
            </w:r>
            <w:r w:rsidR="00BF6BC3" w:rsidRPr="00F976A8">
              <w:instrText xml:space="preserve">MAT </w:instrText>
            </w:r>
            <w:r w:rsidR="001749F6" w:rsidRPr="00F976A8">
              <w:rPr>
                <w:sz w:val="20"/>
              </w:rPr>
              <w:fldChar w:fldCharType="separate"/>
            </w:r>
            <w:r w:rsidR="00154150">
              <w:rPr>
                <w:b w:val="0"/>
                <w:sz w:val="20"/>
              </w:rPr>
              <w:t>1</w:t>
            </w:r>
            <w:r w:rsidR="001749F6" w:rsidRPr="00F976A8">
              <w:rPr>
                <w:sz w:val="20"/>
              </w:rPr>
              <w:fldChar w:fldCharType="end"/>
            </w:r>
            <w:r w:rsidR="001749F6" w:rsidRPr="00BF6BC3">
              <w:rPr>
                <w:b w:val="0"/>
                <w:sz w:val="20"/>
              </w:rPr>
              <w:t>]</w:t>
            </w:r>
            <w:r w:rsidR="351A17E0" w:rsidRPr="00F976A8">
              <w:rPr>
                <w:b w:val="0"/>
              </w:rPr>
              <w:t>)</w:t>
            </w:r>
          </w:p>
          <w:p w14:paraId="779D9653" w14:textId="0B026F2B" w:rsidR="00EF73C6" w:rsidRPr="005A25C9" w:rsidRDefault="00EF73C6" w:rsidP="0031468F">
            <w:pPr>
              <w:spacing w:before="0" w:after="0" w:line="240" w:lineRule="auto"/>
              <w:rPr>
                <w:b w:val="0"/>
                <w:sz w:val="20"/>
                <w:szCs w:val="20"/>
              </w:rPr>
            </w:pPr>
            <w:r w:rsidRPr="00A238EB">
              <w:rPr>
                <w:sz w:val="20"/>
                <w:szCs w:val="20"/>
              </w:rPr>
              <w:t>(</w:t>
            </w:r>
            <w:r w:rsidRPr="005A25C9">
              <w:rPr>
                <w:sz w:val="20"/>
                <w:szCs w:val="20"/>
              </w:rPr>
              <w:t>Pravilnik o utvrđivanju zahtjeva za eko-dizajn proizvoda povezanih s energijom (NN 50/15)</w:t>
            </w:r>
            <w:r w:rsidRPr="00A238EB">
              <w:rPr>
                <w:b w:val="0"/>
                <w:sz w:val="20"/>
              </w:rPr>
              <w:t>)</w:t>
            </w:r>
          </w:p>
        </w:tc>
      </w:tr>
      <w:tr w:rsidR="00EF73C6" w:rsidRPr="00F52E31" w14:paraId="4E0668D5" w14:textId="77777777" w:rsidTr="00725326">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667C6A49" w14:textId="77777777" w:rsidR="00EF73C6" w:rsidRPr="0031468F" w:rsidRDefault="00EF73C6" w:rsidP="005A25C9">
            <w:pPr>
              <w:spacing w:before="0" w:after="0" w:line="240" w:lineRule="auto"/>
              <w:rPr>
                <w:sz w:val="20"/>
                <w:szCs w:val="20"/>
              </w:rPr>
            </w:pPr>
            <w:r w:rsidRPr="005A25C9">
              <w:rPr>
                <w:sz w:val="20"/>
                <w:szCs w:val="20"/>
              </w:rPr>
              <w:t>Zakon o zaštiti od svjetlosnog onečišćenja</w:t>
            </w:r>
          </w:p>
        </w:tc>
      </w:tr>
      <w:tr w:rsidR="00EF73C6" w:rsidRPr="00E579D4" w14:paraId="6D0FA672"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344F9B90" w14:textId="095D424F" w:rsidR="00EF73C6" w:rsidRPr="00E579D4" w:rsidRDefault="002C7F9D" w:rsidP="00EF73C6">
            <w:pPr>
              <w:spacing w:before="0" w:after="0" w:line="240" w:lineRule="auto"/>
              <w:rPr>
                <w:b w:val="0"/>
                <w:sz w:val="20"/>
              </w:rPr>
            </w:pPr>
            <w:r w:rsidRPr="002C7F9D">
              <w:rPr>
                <w:b w:val="0"/>
                <w:sz w:val="20"/>
                <w:szCs w:val="20"/>
              </w:rPr>
              <w:t>Pri planiranju, projektiranju, gradnji, održavanju i rekonstrukciji vanjske rasvjete koja se odobrava prema zakonu kojim se uređuje građenje moraju se projektom rasvjete odabrati takva tehnička rješenja kojima se osigurava energetska učinkovitost</w:t>
            </w:r>
            <w:r w:rsidR="00536B85">
              <w:rPr>
                <w:b w:val="0"/>
                <w:sz w:val="20"/>
              </w:rPr>
              <w:t>; jedinice lokalne samouprave dužne su donijeti plan rasvjete</w:t>
            </w:r>
            <w:r w:rsidR="00383D73">
              <w:rPr>
                <w:b w:val="0"/>
                <w:sz w:val="20"/>
              </w:rPr>
              <w:t xml:space="preserve"> kao i akcijski plan izgradnje/rekonstrukcije rasvjete; </w:t>
            </w:r>
            <w:r w:rsidR="00201DEC" w:rsidRPr="00201DEC">
              <w:rPr>
                <w:b w:val="0"/>
                <w:sz w:val="20"/>
              </w:rPr>
              <w:t>kriterij</w:t>
            </w:r>
            <w:r w:rsidR="00201DEC">
              <w:rPr>
                <w:b w:val="0"/>
                <w:sz w:val="20"/>
              </w:rPr>
              <w:t>i</w:t>
            </w:r>
            <w:r w:rsidR="00201DEC" w:rsidRPr="00201DEC">
              <w:rPr>
                <w:b w:val="0"/>
                <w:sz w:val="20"/>
              </w:rPr>
              <w:t xml:space="preserve"> energetske učinkovitosti za rasvjetu propisuju se pravilnikom</w:t>
            </w:r>
          </w:p>
        </w:tc>
      </w:tr>
      <w:tr w:rsidR="00EF73C6" w:rsidRPr="00F52E31" w14:paraId="739786B2" w14:textId="77777777" w:rsidTr="00725326">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0C715A07" w14:textId="77777777" w:rsidR="00EF73C6" w:rsidRPr="0031468F" w:rsidRDefault="00EF73C6" w:rsidP="005A25C9">
            <w:pPr>
              <w:spacing w:before="0" w:after="0" w:line="240" w:lineRule="auto"/>
              <w:rPr>
                <w:sz w:val="20"/>
                <w:szCs w:val="20"/>
              </w:rPr>
            </w:pPr>
            <w:r w:rsidRPr="005A25C9">
              <w:rPr>
                <w:sz w:val="20"/>
                <w:szCs w:val="20"/>
              </w:rPr>
              <w:t>Zakon o gradnji</w:t>
            </w:r>
          </w:p>
        </w:tc>
      </w:tr>
      <w:tr w:rsidR="00EF73C6" w:rsidRPr="00F52E31" w14:paraId="758FEDC5"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171757CC" w14:textId="1C1D82AA" w:rsidR="00EF73C6" w:rsidRPr="005A25C9" w:rsidRDefault="00EF73C6" w:rsidP="005A25C9">
            <w:pPr>
              <w:spacing w:before="0" w:after="0" w:line="240" w:lineRule="auto"/>
              <w:rPr>
                <w:sz w:val="20"/>
              </w:rPr>
            </w:pPr>
            <w:r w:rsidRPr="00A238EB">
              <w:rPr>
                <w:b w:val="0"/>
                <w:sz w:val="20"/>
              </w:rPr>
              <w:t xml:space="preserve">Gospodarenje energijom i očuvanje topline kao jedan od temeljnih zahtjeva za građevine </w:t>
            </w:r>
            <w:r w:rsidR="00075852">
              <w:rPr>
                <w:sz w:val="20"/>
                <w:szCs w:val="20"/>
              </w:rPr>
              <w:t xml:space="preserve">- </w:t>
            </w:r>
            <w:r w:rsidRPr="0031468F">
              <w:rPr>
                <w:sz w:val="20"/>
                <w:szCs w:val="20"/>
              </w:rPr>
              <w:t>Tehničkim propisom i racionalnoj uporabi</w:t>
            </w:r>
            <w:r w:rsidR="00E15FA0">
              <w:rPr>
                <w:sz w:val="20"/>
                <w:szCs w:val="20"/>
              </w:rPr>
              <w:t xml:space="preserve"> energije</w:t>
            </w:r>
            <w:r w:rsidRPr="0031468F">
              <w:rPr>
                <w:sz w:val="20"/>
                <w:szCs w:val="20"/>
              </w:rPr>
              <w:t xml:space="preserve"> i toplinskoj zaštitu zgrada (</w:t>
            </w:r>
            <w:r w:rsidR="00880054">
              <w:rPr>
                <w:sz w:val="20"/>
                <w:szCs w:val="20"/>
              </w:rPr>
              <w:t>NN</w:t>
            </w:r>
            <w:r w:rsidRPr="0031468F">
              <w:rPr>
                <w:sz w:val="20"/>
                <w:szCs w:val="20"/>
              </w:rPr>
              <w:t xml:space="preserve"> 128/15, 70/18, 73/18</w:t>
            </w:r>
            <w:r w:rsidR="00505681">
              <w:rPr>
                <w:sz w:val="20"/>
                <w:szCs w:val="20"/>
              </w:rPr>
              <w:t>, 86/18</w:t>
            </w:r>
            <w:r w:rsidRPr="0031468F">
              <w:rPr>
                <w:sz w:val="20"/>
                <w:szCs w:val="20"/>
              </w:rPr>
              <w:t>)</w:t>
            </w:r>
            <w:r w:rsidRPr="00A238EB">
              <w:rPr>
                <w:b w:val="0"/>
                <w:sz w:val="20"/>
              </w:rPr>
              <w:t xml:space="preserve"> propisuju se minimalna energetska svojstva za nove zgrade i zgrade koje prolaze veliku rekonstrukciju, način određivanja energetskog svojstva zgrade, izrada elaborata korištenja alternativnih sustava energije te zahtijeva za zgrade gotovo nulte energije</w:t>
            </w:r>
            <w:r w:rsidR="00E15FA0">
              <w:rPr>
                <w:b w:val="0"/>
                <w:sz w:val="20"/>
              </w:rPr>
              <w:t>.</w:t>
            </w:r>
          </w:p>
        </w:tc>
      </w:tr>
      <w:tr w:rsidR="00EF73C6" w:rsidRPr="00F52E31" w14:paraId="7190B1F5"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2DA19567" w14:textId="77777777" w:rsidR="00EF73C6" w:rsidRPr="005A25C9" w:rsidRDefault="00EF73C6" w:rsidP="005A25C9">
            <w:pPr>
              <w:spacing w:before="0" w:after="0" w:line="240" w:lineRule="auto"/>
              <w:rPr>
                <w:sz w:val="20"/>
                <w:szCs w:val="20"/>
              </w:rPr>
            </w:pPr>
            <w:r w:rsidRPr="00A238EB">
              <w:rPr>
                <w:b w:val="0"/>
                <w:sz w:val="20"/>
              </w:rPr>
              <w:t>Obveza redovnih inspekcija sustava grijanja i sustava hlađenja ili klimatizacije u zgradama te energetskog certificiranja zgrada</w:t>
            </w:r>
          </w:p>
          <w:p w14:paraId="2AED6D8E" w14:textId="2EE3578E" w:rsidR="00EF73C6" w:rsidRPr="005A25C9" w:rsidRDefault="00EF73C6" w:rsidP="0031468F">
            <w:pPr>
              <w:spacing w:before="0" w:after="0" w:line="240" w:lineRule="auto"/>
              <w:rPr>
                <w:b w:val="0"/>
                <w:sz w:val="20"/>
                <w:szCs w:val="20"/>
              </w:rPr>
            </w:pPr>
            <w:r w:rsidRPr="00A238EB">
              <w:rPr>
                <w:b w:val="0"/>
                <w:bCs w:val="0"/>
                <w:sz w:val="20"/>
              </w:rPr>
              <w:t>(</w:t>
            </w:r>
            <w:r w:rsidRPr="005A25C9">
              <w:rPr>
                <w:sz w:val="20"/>
                <w:szCs w:val="20"/>
              </w:rPr>
              <w:t>Pravilnik o energetskom pregledu zgrade i energetskom certificiranju (</w:t>
            </w:r>
            <w:r w:rsidR="00880054">
              <w:rPr>
                <w:sz w:val="20"/>
                <w:szCs w:val="20"/>
              </w:rPr>
              <w:t>NN</w:t>
            </w:r>
            <w:r w:rsidRPr="005A25C9">
              <w:rPr>
                <w:sz w:val="20"/>
                <w:szCs w:val="20"/>
              </w:rPr>
              <w:t xml:space="preserve"> 88/17); Pravilnik o kontroli energetskog certifikata zgrad</w:t>
            </w:r>
            <w:r w:rsidRPr="0031468F">
              <w:rPr>
                <w:sz w:val="20"/>
                <w:szCs w:val="20"/>
              </w:rPr>
              <w:t>e i izvješća o redovitom pregledu sustava grijanja i sustava hlađenja ili klimatizacije u zgradi (</w:t>
            </w:r>
            <w:r w:rsidR="00880054">
              <w:rPr>
                <w:sz w:val="20"/>
                <w:szCs w:val="20"/>
              </w:rPr>
              <w:t>NN</w:t>
            </w:r>
            <w:r w:rsidRPr="0031468F">
              <w:rPr>
                <w:sz w:val="20"/>
                <w:szCs w:val="20"/>
              </w:rPr>
              <w:t xml:space="preserve"> 73/15); Pravilnik o osobama ovlaštenim za energetsko certificiranje, energetski pregled zgrade i redoviti pregled sustava grijanja i sustava hlađenja ili klimatizacije u zgradi (</w:t>
            </w:r>
            <w:r w:rsidR="00880054">
              <w:rPr>
                <w:sz w:val="20"/>
                <w:szCs w:val="20"/>
              </w:rPr>
              <w:t>NN</w:t>
            </w:r>
            <w:r w:rsidRPr="0031468F">
              <w:rPr>
                <w:sz w:val="20"/>
                <w:szCs w:val="20"/>
              </w:rPr>
              <w:t xml:space="preserve"> 73/15, 133/15)</w:t>
            </w:r>
            <w:r w:rsidRPr="00A238EB">
              <w:rPr>
                <w:b w:val="0"/>
                <w:bCs w:val="0"/>
                <w:sz w:val="20"/>
              </w:rPr>
              <w:t>)</w:t>
            </w:r>
          </w:p>
        </w:tc>
      </w:tr>
      <w:tr w:rsidR="008767AE" w:rsidRPr="00F52E31" w14:paraId="2ED03334" w14:textId="77777777" w:rsidTr="00EF73C6">
        <w:tc>
          <w:tcPr>
            <w:cnfStyle w:val="001000000000" w:firstRow="0" w:lastRow="0" w:firstColumn="1" w:lastColumn="0" w:oddVBand="0" w:evenVBand="0" w:oddHBand="0" w:evenHBand="0" w:firstRowFirstColumn="0" w:firstRowLastColumn="0" w:lastRowFirstColumn="0" w:lastRowLastColumn="0"/>
            <w:tcW w:w="5000" w:type="pct"/>
          </w:tcPr>
          <w:p w14:paraId="5C0B0BCA" w14:textId="0EF49906" w:rsidR="008767AE" w:rsidRPr="006549EC" w:rsidRDefault="006549EC" w:rsidP="005A25C9">
            <w:pPr>
              <w:spacing w:before="0" w:after="0" w:line="240" w:lineRule="auto"/>
              <w:rPr>
                <w:b w:val="0"/>
                <w:bCs w:val="0"/>
                <w:sz w:val="20"/>
              </w:rPr>
            </w:pPr>
            <w:r>
              <w:rPr>
                <w:b w:val="0"/>
                <w:bCs w:val="0"/>
                <w:sz w:val="20"/>
              </w:rPr>
              <w:t>U</w:t>
            </w:r>
            <w:r w:rsidRPr="006549EC">
              <w:rPr>
                <w:b w:val="0"/>
                <w:bCs w:val="0"/>
                <w:sz w:val="20"/>
              </w:rPr>
              <w:t xml:space="preserve"> tijeku su </w:t>
            </w:r>
            <w:r>
              <w:rPr>
                <w:b w:val="0"/>
                <w:bCs w:val="0"/>
                <w:sz w:val="20"/>
              </w:rPr>
              <w:t>i</w:t>
            </w:r>
            <w:r w:rsidRPr="006549EC">
              <w:rPr>
                <w:b w:val="0"/>
                <w:bCs w:val="0"/>
                <w:sz w:val="20"/>
              </w:rPr>
              <w:t>zmjene i dopune Zakona</w:t>
            </w:r>
            <w:r w:rsidR="00622DB1">
              <w:rPr>
                <w:b w:val="0"/>
                <w:bCs w:val="0"/>
                <w:sz w:val="20"/>
              </w:rPr>
              <w:t xml:space="preserve"> </w:t>
            </w:r>
            <w:r w:rsidRPr="006549EC">
              <w:rPr>
                <w:b w:val="0"/>
                <w:bCs w:val="0"/>
                <w:sz w:val="20"/>
              </w:rPr>
              <w:t>o gradnji koje će se odnositi na donošenje i provođenje nove Dugoročne strategije obnove nacionalnog fonda zgrada do 2050. godine, promicanje elektromobilnosti kroz postavljanje infrastrukture za punjenje električnih vozila u zgradama i na parkiralištima uz zgrade, pojednostavljenja redovitih pregleda sustava grijanja i sustava hlađenja ili klimatizacija u zgradama, podešavanj</w:t>
            </w:r>
            <w:r w:rsidR="000719FE">
              <w:rPr>
                <w:b w:val="0"/>
                <w:bCs w:val="0"/>
                <w:sz w:val="20"/>
              </w:rPr>
              <w:t>e</w:t>
            </w:r>
            <w:r w:rsidRPr="006549EC">
              <w:rPr>
                <w:b w:val="0"/>
                <w:bCs w:val="0"/>
                <w:sz w:val="20"/>
              </w:rPr>
              <w:t xml:space="preserve"> i nadzor tehničkih sustava zgrada, definiranj</w:t>
            </w:r>
            <w:r w:rsidR="000719FE">
              <w:rPr>
                <w:b w:val="0"/>
                <w:bCs w:val="0"/>
                <w:sz w:val="20"/>
              </w:rPr>
              <w:t>e</w:t>
            </w:r>
            <w:r w:rsidRPr="006549EC">
              <w:rPr>
                <w:b w:val="0"/>
                <w:bCs w:val="0"/>
                <w:sz w:val="20"/>
              </w:rPr>
              <w:t xml:space="preserve"> zahtjeva vezanih na postavljanje uređaja za samoregulaciju, te sustave automatizacija i upravljanja zgradama, kao i</w:t>
            </w:r>
            <w:r w:rsidR="00622DB1">
              <w:rPr>
                <w:b w:val="0"/>
                <w:bCs w:val="0"/>
                <w:sz w:val="20"/>
              </w:rPr>
              <w:t xml:space="preserve"> </w:t>
            </w:r>
            <w:r w:rsidRPr="006549EC">
              <w:rPr>
                <w:b w:val="0"/>
                <w:bCs w:val="0"/>
                <w:sz w:val="20"/>
              </w:rPr>
              <w:t>izmjene u sustavu izdavanja ovlaštenja za energetsko certificiranje zgrada</w:t>
            </w:r>
            <w:r w:rsidR="00405BD8">
              <w:rPr>
                <w:b w:val="0"/>
                <w:bCs w:val="0"/>
                <w:sz w:val="20"/>
              </w:rPr>
              <w:t>.</w:t>
            </w:r>
          </w:p>
        </w:tc>
      </w:tr>
    </w:tbl>
    <w:p w14:paraId="7839CFFF" w14:textId="77777777" w:rsidR="00154150" w:rsidRPr="00154150" w:rsidRDefault="00FF0CF3" w:rsidP="00154150">
      <w:r w:rsidRPr="005B2316">
        <w:t xml:space="preserve">Osim regulatornih mjera, u Hrvatskoj se provode i druge mjere energetske učinkovitosti i to prema trogodišnjim nacionalnim akcijskim planovima. Posljednji, četvrti NAPEnU pripremljen je za razdoblje </w:t>
      </w:r>
      <w:r w:rsidRPr="00B82EC3">
        <w:t>do</w:t>
      </w:r>
      <w:r w:rsidRPr="00165156">
        <w:t xml:space="preserve"> </w:t>
      </w:r>
      <w:r w:rsidR="00A709BE" w:rsidRPr="00165156">
        <w:t>kraja</w:t>
      </w:r>
      <w:r w:rsidRPr="00165156">
        <w:t xml:space="preserve"> 2019. godine</w:t>
      </w:r>
      <w:r w:rsidR="001749F6" w:rsidRPr="008E00CE">
        <w:t xml:space="preserve"> [</w:t>
      </w:r>
      <w:r w:rsidR="003D500A" w:rsidRPr="00305D39">
        <w:fldChar w:fldCharType="begin"/>
      </w:r>
      <w:r w:rsidR="003D500A" w:rsidRPr="00305D39">
        <w:instrText xml:space="preserve"> REF _Ref531609660 \r \h </w:instrText>
      </w:r>
      <w:r w:rsidR="00E560C6" w:rsidRPr="00305D39">
        <w:instrText xml:space="preserve"> \* MERGEFORMAT </w:instrText>
      </w:r>
      <w:r w:rsidR="003D500A" w:rsidRPr="00305D39">
        <w:fldChar w:fldCharType="separate"/>
      </w:r>
      <w:r w:rsidR="00154150">
        <w:t>15</w:t>
      </w:r>
      <w:r w:rsidR="003D500A" w:rsidRPr="00305D39">
        <w:fldChar w:fldCharType="end"/>
      </w:r>
      <w:r w:rsidR="001749F6" w:rsidRPr="009E2CCC">
        <w:rPr>
          <w:rFonts w:cs="Arial"/>
        </w:rPr>
        <w:t>]</w:t>
      </w:r>
      <w:r w:rsidRPr="009E2CCC">
        <w:rPr>
          <w:rFonts w:cs="Arial"/>
        </w:rPr>
        <w:t>.</w:t>
      </w:r>
      <w:r w:rsidRPr="008455A2">
        <w:t xml:space="preserve"> Mjere iz 4.</w:t>
      </w:r>
      <w:r w:rsidR="009368C3" w:rsidRPr="006B560F">
        <w:t xml:space="preserve"> </w:t>
      </w:r>
      <w:r w:rsidRPr="00BF7DD8">
        <w:t xml:space="preserve">NAPEnU koje se u trenutku izrade ovog Plana provode u Hrvatskoj prikazuje </w:t>
      </w:r>
      <w:r w:rsidR="00EF73C6" w:rsidRPr="0045434A">
        <w:fldChar w:fldCharType="begin"/>
      </w:r>
      <w:r w:rsidR="00EF73C6" w:rsidRPr="00BF7DD8">
        <w:instrText xml:space="preserve"> REF _Ref531596836 \h </w:instrText>
      </w:r>
      <w:r w:rsidR="008400DD" w:rsidRPr="00BF7DD8">
        <w:instrText xml:space="preserve"> \* MERGEFORMAT </w:instrText>
      </w:r>
      <w:r w:rsidR="00EF73C6" w:rsidRPr="0045434A">
        <w:fldChar w:fldCharType="separate"/>
      </w:r>
    </w:p>
    <w:p w14:paraId="26F31CF7" w14:textId="2375A760" w:rsidR="00CA3FC6" w:rsidRDefault="00154150" w:rsidP="00725326">
      <w:r w:rsidRPr="00F149EB">
        <w:t>Tablica</w:t>
      </w:r>
      <w:r w:rsidRPr="00F149EB">
        <w:rPr>
          <w:noProof/>
        </w:rPr>
        <w:t xml:space="preserve"> </w:t>
      </w:r>
      <w:r>
        <w:t>1</w:t>
      </w:r>
      <w:r>
        <w:rPr>
          <w:noProof/>
        </w:rPr>
        <w:t>–6</w:t>
      </w:r>
      <w:r w:rsidR="00EF73C6" w:rsidRPr="0045434A">
        <w:fldChar w:fldCharType="end"/>
      </w:r>
      <w:r w:rsidR="00EF73C6" w:rsidRPr="00BF7DD8">
        <w:t xml:space="preserve">. </w:t>
      </w:r>
      <w:r w:rsidR="00FF0CF3" w:rsidRPr="00BF7DD8">
        <w:t xml:space="preserve">Radi se dominantno o mjerama financijskog poticanja </w:t>
      </w:r>
      <w:r w:rsidR="00E15FA0" w:rsidRPr="00BF7DD8">
        <w:t xml:space="preserve">mehanizmom </w:t>
      </w:r>
      <w:r w:rsidR="00FF0CF3" w:rsidRPr="00BF7DD8">
        <w:t xml:space="preserve">bespovratnih sredstava ili </w:t>
      </w:r>
      <w:r w:rsidR="00E15FA0" w:rsidRPr="00BF7DD8">
        <w:t xml:space="preserve">financijskih instrumenata </w:t>
      </w:r>
      <w:r w:rsidR="00FF0CF3" w:rsidRPr="00BF7DD8">
        <w:t xml:space="preserve">iz nacionalnih izvora (Fonda za zaštitu okoliša i energetsku učinkovitost) i EU izvora (Europski fond za </w:t>
      </w:r>
      <w:r w:rsidR="00FF0CF3" w:rsidRPr="009E2CCC">
        <w:rPr>
          <w:rFonts w:cs="Arial"/>
        </w:rPr>
        <w:t>regionalni razvoj</w:t>
      </w:r>
      <w:r w:rsidR="00400E82" w:rsidRPr="009E2CCC">
        <w:rPr>
          <w:rFonts w:cs="Arial"/>
        </w:rPr>
        <w:t xml:space="preserve">, </w:t>
      </w:r>
      <w:r w:rsidR="00FF0CF3" w:rsidRPr="008455A2">
        <w:rPr>
          <w:rFonts w:cs="Arial"/>
        </w:rPr>
        <w:t>EFRR), u skladu s mjerama definiranima u Operativnom programu Konkurentnost</w:t>
      </w:r>
      <w:r w:rsidR="00DA7284">
        <w:rPr>
          <w:rFonts w:cs="Arial"/>
        </w:rPr>
        <w:t xml:space="preserve"> </w:t>
      </w:r>
      <w:r w:rsidR="00FF0CF3" w:rsidRPr="008455A2">
        <w:rPr>
          <w:rFonts w:cs="Arial"/>
        </w:rPr>
        <w:t>i kohezija 2014.– 2020. (OPKK).</w:t>
      </w:r>
      <w:r w:rsidR="00482332" w:rsidRPr="008455A2">
        <w:rPr>
          <w:rFonts w:cs="Arial"/>
        </w:rPr>
        <w:t xml:space="preserve"> Potrebno je istaknuti da su navedene mjere također prijavljene i u</w:t>
      </w:r>
      <w:r w:rsidR="00E616C5" w:rsidRPr="006B560F">
        <w:rPr>
          <w:rFonts w:cs="Arial"/>
        </w:rPr>
        <w:t xml:space="preserve"> Sedmo</w:t>
      </w:r>
      <w:r w:rsidR="000A0786" w:rsidRPr="00BF7DD8">
        <w:t>m</w:t>
      </w:r>
      <w:r w:rsidR="00E616C5" w:rsidRPr="00BF7DD8">
        <w:t xml:space="preserve"> nacionalno</w:t>
      </w:r>
      <w:r w:rsidR="000A0786" w:rsidRPr="00BF7DD8">
        <w:t>m</w:t>
      </w:r>
      <w:r w:rsidR="00E616C5" w:rsidRPr="00BF7DD8">
        <w:t xml:space="preserve"> </w:t>
      </w:r>
      <w:r w:rsidR="000A0786" w:rsidRPr="00BF7DD8">
        <w:t>izvješću</w:t>
      </w:r>
      <w:r w:rsidR="00E616C5" w:rsidRPr="00BF7DD8">
        <w:t xml:space="preserve"> i trećem dvogodišnjem izvješ</w:t>
      </w:r>
      <w:r w:rsidR="000610C7" w:rsidRPr="00BF7DD8">
        <w:t>ću</w:t>
      </w:r>
      <w:r w:rsidR="009A4252" w:rsidRPr="00BF7DD8">
        <w:t xml:space="preserve"> Republike Hrvatske prema </w:t>
      </w:r>
      <w:r w:rsidR="000610C7" w:rsidRPr="00BF7DD8">
        <w:t>O</w:t>
      </w:r>
      <w:r w:rsidR="009A4252" w:rsidRPr="00BF7DD8">
        <w:t xml:space="preserve">kvirnoj konvenciji </w:t>
      </w:r>
      <w:r w:rsidR="000610C7" w:rsidRPr="00BF7DD8">
        <w:t xml:space="preserve">UN-a </w:t>
      </w:r>
      <w:r w:rsidR="009A4252" w:rsidRPr="00BF7DD8">
        <w:t xml:space="preserve">o klimatskim promjenama </w:t>
      </w:r>
      <w:r w:rsidR="00E616C5" w:rsidRPr="00BF7DD8">
        <w:t>(UNFCCC)</w:t>
      </w:r>
      <w:r w:rsidR="00EF5587" w:rsidRPr="00BF7DD8">
        <w:t xml:space="preserve">. Stoga su uz naziv svake mjere, dane i njihove oznake iz navedena dva dokumenta. </w:t>
      </w:r>
    </w:p>
    <w:p w14:paraId="43A472D5" w14:textId="4B5AB837" w:rsidR="006C59DD" w:rsidRDefault="00846695" w:rsidP="0040080D">
      <w:pPr>
        <w:suppressAutoHyphens w:val="0"/>
        <w:rPr>
          <w:b/>
          <w:sz w:val="20"/>
          <w:szCs w:val="28"/>
        </w:rPr>
      </w:pPr>
      <w:r w:rsidRPr="0045434A">
        <w:t xml:space="preserve">Mjere </w:t>
      </w:r>
      <w:r w:rsidRPr="005B2316">
        <w:t xml:space="preserve">u sektoru zgradarstva usklađene su s </w:t>
      </w:r>
      <w:r w:rsidR="00913343" w:rsidRPr="00000A05">
        <w:t>Dugoročnom strategijom za poticanje ulaganja u obnovu nacionalnog fonda zgrada Republike Hrvatske [</w:t>
      </w:r>
      <w:r w:rsidR="00B920C5" w:rsidRPr="00725326">
        <w:fldChar w:fldCharType="begin"/>
      </w:r>
      <w:r w:rsidR="00B920C5" w:rsidRPr="00725326">
        <w:instrText xml:space="preserve"> REF _Ref11839960 \r \h </w:instrText>
      </w:r>
      <w:r w:rsidR="00B920C5">
        <w:instrText xml:space="preserve"> \* MERGEFORMAT </w:instrText>
      </w:r>
      <w:r w:rsidR="00B920C5" w:rsidRPr="00725326">
        <w:fldChar w:fldCharType="separate"/>
      </w:r>
      <w:r w:rsidR="00154150">
        <w:t>18</w:t>
      </w:r>
      <w:r w:rsidR="00B920C5" w:rsidRPr="00725326">
        <w:fldChar w:fldCharType="end"/>
      </w:r>
      <w:r w:rsidR="00913343" w:rsidRPr="00725326">
        <w:t>]</w:t>
      </w:r>
      <w:r w:rsidR="002E5428" w:rsidRPr="00725326">
        <w:t xml:space="preserve">. Prva Dugoročna strategija </w:t>
      </w:r>
      <w:r w:rsidR="00906CA1" w:rsidRPr="005B2316">
        <w:lastRenderedPageBreak/>
        <w:t>usvojena</w:t>
      </w:r>
      <w:r w:rsidR="002E5428" w:rsidRPr="00725326">
        <w:t xml:space="preserve"> je 2014. godine</w:t>
      </w:r>
      <w:r w:rsidR="00906CA1" w:rsidRPr="005B2316">
        <w:t xml:space="preserve"> (</w:t>
      </w:r>
      <w:r w:rsidR="00880054">
        <w:t>NN</w:t>
      </w:r>
      <w:r w:rsidR="00906CA1" w:rsidRPr="005B2316">
        <w:t xml:space="preserve"> </w:t>
      </w:r>
      <w:r w:rsidR="000068EE" w:rsidRPr="00B82EC3">
        <w:t>74/14)</w:t>
      </w:r>
      <w:r w:rsidR="002E5428" w:rsidRPr="00725326">
        <w:t xml:space="preserve">, a novelirana je </w:t>
      </w:r>
      <w:r w:rsidR="00675016" w:rsidRPr="00725326">
        <w:t>2017. godine</w:t>
      </w:r>
      <w:r w:rsidR="000068EE" w:rsidRPr="005B2316">
        <w:t xml:space="preserve"> te usvojena početkom 2019.</w:t>
      </w:r>
      <w:r w:rsidR="00F546F6">
        <w:t xml:space="preserve"> </w:t>
      </w:r>
      <w:r w:rsidR="000068EE" w:rsidRPr="005B2316">
        <w:t>godine (</w:t>
      </w:r>
      <w:r w:rsidR="00880054">
        <w:t>NN</w:t>
      </w:r>
      <w:r w:rsidR="000068EE" w:rsidRPr="005B2316">
        <w:t xml:space="preserve"> 28/19)</w:t>
      </w:r>
      <w:r w:rsidR="00675016" w:rsidRPr="00725326">
        <w:t>.</w:t>
      </w:r>
      <w:r w:rsidR="00AE5F2B">
        <w:t xml:space="preserve"> </w:t>
      </w:r>
      <w:r w:rsidR="00FE6555" w:rsidRPr="00B82EC3">
        <w:t>Dugoročna stra</w:t>
      </w:r>
      <w:r w:rsidR="0073608B">
        <w:t>t</w:t>
      </w:r>
      <w:r w:rsidR="00FE6555" w:rsidRPr="00B82EC3">
        <w:t xml:space="preserve">egija </w:t>
      </w:r>
      <w:r w:rsidR="00E560C6" w:rsidRPr="00000A05">
        <w:t>obuhvaća pregled nacionalnog fonda zgrada Republike Hrvatske, analizu ključnih elemenata programa obnove zgrada, politike i mjere za poticanje troškovno učinkovite integralne obnove zgrada</w:t>
      </w:r>
      <w:r w:rsidR="00CF65DB" w:rsidRPr="00000A05">
        <w:t xml:space="preserve">, </w:t>
      </w:r>
      <w:r w:rsidR="00CF65DB" w:rsidRPr="00B82EC3">
        <w:t>d</w:t>
      </w:r>
      <w:r w:rsidR="00E560C6" w:rsidRPr="00165156">
        <w:t>ugoročn</w:t>
      </w:r>
      <w:r w:rsidR="00CF65DB" w:rsidRPr="00000A05">
        <w:t>u</w:t>
      </w:r>
      <w:r w:rsidR="00E560C6" w:rsidRPr="00000A05">
        <w:t xml:space="preserve"> perspektiv</w:t>
      </w:r>
      <w:r w:rsidR="00CF65DB" w:rsidRPr="00000A05">
        <w:t>u</w:t>
      </w:r>
      <w:r w:rsidR="00E560C6" w:rsidRPr="00000A05">
        <w:t xml:space="preserve"> za usmjeravanje odluka pojedinca, građevinske industrije i financijskih ulaganja do 2050. godine</w:t>
      </w:r>
      <w:r w:rsidR="00CF65DB" w:rsidRPr="00000A05">
        <w:t xml:space="preserve"> te</w:t>
      </w:r>
      <w:r w:rsidR="00CF65DB" w:rsidRPr="00901037">
        <w:rPr>
          <w:rFonts w:cs="Arial"/>
        </w:rPr>
        <w:t xml:space="preserve"> </w:t>
      </w:r>
      <w:r w:rsidR="00E560C6" w:rsidRPr="0088553D">
        <w:rPr>
          <w:rFonts w:cs="Arial"/>
          <w:b/>
        </w:rPr>
        <w:t>procjen</w:t>
      </w:r>
      <w:r w:rsidR="00CF65DB" w:rsidRPr="0088553D">
        <w:rPr>
          <w:rFonts w:cs="Arial"/>
          <w:b/>
        </w:rPr>
        <w:t>e</w:t>
      </w:r>
      <w:r w:rsidR="00E560C6" w:rsidRPr="0088553D">
        <w:rPr>
          <w:rFonts w:cs="Arial"/>
          <w:b/>
        </w:rPr>
        <w:t xml:space="preserve"> očekivane uštede energije i širih koristi utemeljena na računskim i modelskim podacima</w:t>
      </w:r>
      <w:r w:rsidR="00CF65DB" w:rsidRPr="0088553D">
        <w:rPr>
          <w:rFonts w:cs="Arial"/>
          <w:b/>
        </w:rPr>
        <w:t xml:space="preserve">. </w:t>
      </w:r>
      <w:r w:rsidR="00AB5260" w:rsidRPr="00AB5260">
        <w:rPr>
          <w:rFonts w:cs="Arial"/>
          <w:bCs/>
        </w:rPr>
        <w:t>Sukladno Direktivi 2018/844 EU koja će u nacionalno zakonodavstvo biti prenesena Zakonom o gradnji, donosi se Dugoročna strategija energetske obnove nacionalnog fonda zgrada do 2050., svakih 10 godina sukladno Uredbi (EU) 2018/1999. Prva strategija donijet će se do 10. ožujka 2020. godine</w:t>
      </w:r>
      <w:r w:rsidR="008227AB" w:rsidRPr="00223709">
        <w:rPr>
          <w:rFonts w:cs="Arial"/>
          <w:bCs/>
        </w:rPr>
        <w:t>.</w:t>
      </w:r>
      <w:bookmarkStart w:id="87" w:name="_Ref531596836"/>
    </w:p>
    <w:p w14:paraId="4EEB85E8" w14:textId="4B8307CA" w:rsidR="00EF73C6" w:rsidRPr="00F149EB" w:rsidRDefault="00EF5587" w:rsidP="0040080D">
      <w:pPr>
        <w:suppressAutoHyphens w:val="0"/>
      </w:pPr>
      <w:bookmarkStart w:id="88" w:name="_Toc27396198"/>
      <w:r w:rsidRPr="00F149EB">
        <w:t xml:space="preserve">Tablica </w:t>
      </w:r>
      <w:fldSimple w:instr=" STYLEREF 1 \s ">
        <w:r w:rsidR="00154150">
          <w:rPr>
            <w:noProof/>
          </w:rPr>
          <w:t>1</w:t>
        </w:r>
      </w:fldSimple>
      <w:r w:rsidR="00562DF0">
        <w:t>–</w:t>
      </w:r>
      <w:fldSimple w:instr=" SEQ Tablica \* ARABIC \s 1 ">
        <w:r w:rsidR="00154150">
          <w:rPr>
            <w:noProof/>
          </w:rPr>
          <w:t>6</w:t>
        </w:r>
      </w:fldSimple>
      <w:bookmarkEnd w:id="87"/>
      <w:r w:rsidR="00210967">
        <w:rPr>
          <w:noProof/>
        </w:rPr>
        <w:t>.</w:t>
      </w:r>
      <w:r w:rsidR="00A87274">
        <w:t xml:space="preserve"> </w:t>
      </w:r>
      <w:r>
        <w:t>Pregled postojećih ne-regulatornih mjera energetske učinkovitosti</w:t>
      </w:r>
      <w:r w:rsidR="006639E3">
        <w:t xml:space="preserve"> po sektorima </w:t>
      </w:r>
      <w:r w:rsidR="005977A5">
        <w:t>neposredne potrošnje</w:t>
      </w:r>
      <w:r w:rsidR="00A37D74">
        <w:t xml:space="preserve"> (bez prometa)</w:t>
      </w:r>
      <w:r w:rsidR="0040080D">
        <w:t>.</w:t>
      </w:r>
      <w:bookmarkEnd w:id="88"/>
    </w:p>
    <w:tbl>
      <w:tblPr>
        <w:tblStyle w:val="Svijetlatablicareetke11"/>
        <w:tblW w:w="5000" w:type="pct"/>
        <w:tblLook w:val="04A0" w:firstRow="1" w:lastRow="0" w:firstColumn="1" w:lastColumn="0" w:noHBand="0" w:noVBand="1"/>
      </w:tblPr>
      <w:tblGrid>
        <w:gridCol w:w="2265"/>
        <w:gridCol w:w="2265"/>
        <w:gridCol w:w="4530"/>
      </w:tblGrid>
      <w:tr w:rsidR="00EF73C6" w:rsidRPr="00EF5587" w14:paraId="1179454F"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3C7CF74A" w14:textId="77777777" w:rsidR="00EF73C6" w:rsidRPr="00EF5587" w:rsidRDefault="00EF73C6" w:rsidP="00EF73C6">
            <w:pPr>
              <w:spacing w:before="0" w:after="0" w:line="240" w:lineRule="auto"/>
              <w:rPr>
                <w:rFonts w:cs="Arial"/>
                <w:sz w:val="20"/>
                <w:szCs w:val="20"/>
              </w:rPr>
            </w:pPr>
            <w:r w:rsidRPr="00EF5587">
              <w:rPr>
                <w:rFonts w:cs="Arial"/>
                <w:sz w:val="20"/>
                <w:szCs w:val="20"/>
              </w:rPr>
              <w:t>Naziv mjere</w:t>
            </w:r>
          </w:p>
        </w:tc>
        <w:tc>
          <w:tcPr>
            <w:tcW w:w="0" w:type="pct"/>
            <w:shd w:val="clear" w:color="auto" w:fill="DEEAF6" w:themeFill="accent1" w:themeFillTint="33"/>
          </w:tcPr>
          <w:p w14:paraId="21279BD7" w14:textId="18A2AC16" w:rsidR="00EF73C6" w:rsidRPr="00EF5587" w:rsidRDefault="00EF73C6" w:rsidP="00EF73C6">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Kategorija</w:t>
            </w:r>
            <w:r w:rsidR="00453E21">
              <w:rPr>
                <w:rFonts w:cs="Arial"/>
                <w:sz w:val="20"/>
                <w:szCs w:val="20"/>
              </w:rPr>
              <w:t xml:space="preserve"> mjere</w:t>
            </w:r>
          </w:p>
        </w:tc>
        <w:tc>
          <w:tcPr>
            <w:tcW w:w="0" w:type="pct"/>
            <w:shd w:val="clear" w:color="auto" w:fill="DEEAF6" w:themeFill="accent1" w:themeFillTint="33"/>
          </w:tcPr>
          <w:p w14:paraId="0792454D" w14:textId="77777777" w:rsidR="00EF73C6" w:rsidRPr="00EF5587" w:rsidRDefault="00EF73C6" w:rsidP="00EF73C6">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EF73C6" w:rsidRPr="00EF5587" w14:paraId="563C9581"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7464B339" w14:textId="77777777" w:rsidR="00EF73C6" w:rsidRPr="00EF5587" w:rsidRDefault="00EF73C6" w:rsidP="00223709">
            <w:pPr>
              <w:spacing w:before="0" w:after="0" w:line="240" w:lineRule="auto"/>
              <w:jc w:val="center"/>
              <w:rPr>
                <w:rFonts w:cs="Arial"/>
                <w:sz w:val="20"/>
                <w:szCs w:val="20"/>
              </w:rPr>
            </w:pPr>
            <w:r w:rsidRPr="00EF5587">
              <w:rPr>
                <w:rFonts w:cs="Arial"/>
                <w:sz w:val="20"/>
                <w:szCs w:val="20"/>
              </w:rPr>
              <w:t>Kućanstva</w:t>
            </w:r>
          </w:p>
        </w:tc>
      </w:tr>
      <w:tr w:rsidR="00EF73C6" w:rsidRPr="00EF5587" w14:paraId="31969E94"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6D40632E" w14:textId="6603A3CE" w:rsidR="00EF73C6" w:rsidRPr="00EF5587" w:rsidRDefault="00EF73C6" w:rsidP="00EF73C6">
            <w:pPr>
              <w:pStyle w:val="Default"/>
              <w:rPr>
                <w:sz w:val="20"/>
                <w:szCs w:val="20"/>
              </w:rPr>
            </w:pPr>
            <w:r w:rsidRPr="00EF5587">
              <w:rPr>
                <w:b w:val="0"/>
                <w:bCs w:val="0"/>
                <w:sz w:val="20"/>
                <w:szCs w:val="20"/>
              </w:rPr>
              <w:t xml:space="preserve">Poticanje integralne obnove višestambenih zgrada </w:t>
            </w:r>
            <w:r w:rsidRPr="00736D7C">
              <w:rPr>
                <w:b w:val="0"/>
                <w:bCs w:val="0"/>
                <w:sz w:val="20"/>
                <w:szCs w:val="20"/>
              </w:rPr>
              <w:t>(B.3</w:t>
            </w:r>
            <w:r w:rsidR="003D500A">
              <w:rPr>
                <w:b w:val="0"/>
                <w:bCs w:val="0"/>
                <w:sz w:val="20"/>
                <w:szCs w:val="20"/>
              </w:rPr>
              <w:t xml:space="preserve"> </w:t>
            </w:r>
            <w:r w:rsidR="003D500A">
              <w:rPr>
                <w:b w:val="0"/>
                <w:sz w:val="20"/>
              </w:rPr>
              <w:t>[</w:t>
            </w:r>
            <w:r w:rsidR="003D500A">
              <w:rPr>
                <w:sz w:val="20"/>
              </w:rPr>
              <w:fldChar w:fldCharType="begin"/>
            </w:r>
            <w:r w:rsidR="003D500A">
              <w:rPr>
                <w:b w:val="0"/>
                <w:sz w:val="20"/>
              </w:rPr>
              <w:instrText xml:space="preserve"> REF _Ref531609660 \r \h </w:instrText>
            </w:r>
            <w:r w:rsidR="003D500A">
              <w:rPr>
                <w:sz w:val="20"/>
              </w:rPr>
            </w:r>
            <w:r w:rsidR="003D500A">
              <w:rPr>
                <w:sz w:val="20"/>
              </w:rPr>
              <w:fldChar w:fldCharType="separate"/>
            </w:r>
            <w:r w:rsidR="00154150">
              <w:rPr>
                <w:b w:val="0"/>
                <w:sz w:val="20"/>
              </w:rPr>
              <w:t>15</w:t>
            </w:r>
            <w:r w:rsidR="003D500A">
              <w:rPr>
                <w:sz w:val="20"/>
              </w:rPr>
              <w:fldChar w:fldCharType="end"/>
            </w:r>
            <w:r w:rsidR="003D500A">
              <w:rPr>
                <w:b w:val="0"/>
                <w:sz w:val="20"/>
              </w:rPr>
              <w:t>]</w:t>
            </w:r>
            <w:r w:rsidRPr="00736D7C">
              <w:rPr>
                <w:b w:val="0"/>
                <w:bCs w:val="0"/>
                <w:sz w:val="20"/>
                <w:szCs w:val="20"/>
              </w:rPr>
              <w:t>; MEN-2</w:t>
            </w:r>
            <w:r w:rsidR="003D500A">
              <w:rPr>
                <w:b w:val="0"/>
                <w:bCs w:val="0"/>
                <w:sz w:val="20"/>
                <w:szCs w:val="20"/>
              </w:rPr>
              <w:t xml:space="preserve"> </w:t>
            </w:r>
            <w:r w:rsidR="003D500A">
              <w:rPr>
                <w:b w:val="0"/>
                <w:sz w:val="20"/>
              </w:rPr>
              <w:t>[</w:t>
            </w:r>
            <w:r w:rsidR="003D500A">
              <w:rPr>
                <w:sz w:val="20"/>
              </w:rPr>
              <w:fldChar w:fldCharType="begin"/>
            </w:r>
            <w:r w:rsidR="003D500A">
              <w:rPr>
                <w:b w:val="0"/>
                <w:sz w:val="20"/>
              </w:rPr>
              <w:instrText xml:space="preserve"> REF _Ref531604343 \r \h </w:instrText>
            </w:r>
            <w:r w:rsidR="003D500A">
              <w:rPr>
                <w:sz w:val="20"/>
              </w:rPr>
            </w:r>
            <w:r w:rsidR="003D500A">
              <w:rPr>
                <w:sz w:val="20"/>
              </w:rPr>
              <w:fldChar w:fldCharType="separate"/>
            </w:r>
            <w:r w:rsidR="00154150">
              <w:rPr>
                <w:b w:val="0"/>
                <w:sz w:val="20"/>
              </w:rPr>
              <w:t>1</w:t>
            </w:r>
            <w:r w:rsidR="003D500A">
              <w:rPr>
                <w:sz w:val="20"/>
              </w:rPr>
              <w:fldChar w:fldCharType="end"/>
            </w:r>
            <w:r w:rsidR="003D500A">
              <w:rPr>
                <w:b w:val="0"/>
                <w:sz w:val="20"/>
              </w:rPr>
              <w:t>]</w:t>
            </w:r>
            <w:r w:rsidRPr="00736D7C">
              <w:rPr>
                <w:b w:val="0"/>
                <w:bCs w:val="0"/>
                <w:sz w:val="20"/>
                <w:szCs w:val="20"/>
              </w:rPr>
              <w:t>)</w:t>
            </w:r>
          </w:p>
        </w:tc>
        <w:tc>
          <w:tcPr>
            <w:tcW w:w="1250" w:type="pct"/>
          </w:tcPr>
          <w:p w14:paraId="5A29DC70" w14:textId="10CFCAFE" w:rsidR="00EF73C6" w:rsidRPr="00EF5587" w:rsidRDefault="00453E21"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Financijska - </w:t>
            </w:r>
            <w:r w:rsidR="00EF73C6" w:rsidRPr="005A25C9">
              <w:rPr>
                <w:rFonts w:cs="Arial"/>
                <w:sz w:val="20"/>
                <w:szCs w:val="20"/>
              </w:rPr>
              <w:t>Bespovratna sredstva</w:t>
            </w:r>
          </w:p>
        </w:tc>
        <w:tc>
          <w:tcPr>
            <w:tcW w:w="2500" w:type="pct"/>
          </w:tcPr>
          <w:p w14:paraId="12FA90ED" w14:textId="28AFEFB5" w:rsidR="00EF73C6" w:rsidRPr="0031468F" w:rsidRDefault="0084539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Program se u razdoblju </w:t>
            </w:r>
            <w:r w:rsidR="00A8751A">
              <w:rPr>
                <w:sz w:val="20"/>
                <w:szCs w:val="20"/>
              </w:rPr>
              <w:t>o</w:t>
            </w:r>
            <w:r>
              <w:rPr>
                <w:sz w:val="20"/>
                <w:szCs w:val="20"/>
              </w:rPr>
              <w:t xml:space="preserve">d 2014. do 2016. </w:t>
            </w:r>
            <w:r w:rsidR="009137D2">
              <w:rPr>
                <w:sz w:val="20"/>
                <w:szCs w:val="20"/>
              </w:rPr>
              <w:t>finan</w:t>
            </w:r>
            <w:r w:rsidR="00B479F3">
              <w:rPr>
                <w:sz w:val="20"/>
                <w:szCs w:val="20"/>
              </w:rPr>
              <w:t>c</w:t>
            </w:r>
            <w:r w:rsidR="009137D2">
              <w:rPr>
                <w:sz w:val="20"/>
                <w:szCs w:val="20"/>
              </w:rPr>
              <w:t xml:space="preserve">irao iz sredstava od dražbi i </w:t>
            </w:r>
            <w:r>
              <w:rPr>
                <w:sz w:val="20"/>
                <w:szCs w:val="20"/>
              </w:rPr>
              <w:t xml:space="preserve">provodio </w:t>
            </w:r>
            <w:r w:rsidR="009137D2">
              <w:rPr>
                <w:sz w:val="20"/>
                <w:szCs w:val="20"/>
              </w:rPr>
              <w:t xml:space="preserve">putem </w:t>
            </w:r>
            <w:r>
              <w:rPr>
                <w:sz w:val="20"/>
                <w:szCs w:val="20"/>
              </w:rPr>
              <w:t xml:space="preserve">Fonda za zaštitu okoliša i energetsku učinkovitost; </w:t>
            </w:r>
            <w:r w:rsidR="00E15FA0">
              <w:rPr>
                <w:sz w:val="20"/>
                <w:szCs w:val="20"/>
              </w:rPr>
              <w:t>k</w:t>
            </w:r>
            <w:r>
              <w:rPr>
                <w:sz w:val="20"/>
                <w:szCs w:val="20"/>
              </w:rPr>
              <w:t xml:space="preserve">rajem 2016. godine MGIPU je raspisao poziv prema kojemu je dodijeljeno </w:t>
            </w:r>
            <w:r w:rsidR="00743680">
              <w:rPr>
                <w:sz w:val="20"/>
                <w:szCs w:val="20"/>
              </w:rPr>
              <w:t>539</w:t>
            </w:r>
            <w:r w:rsidR="00355E52">
              <w:rPr>
                <w:sz w:val="20"/>
                <w:szCs w:val="20"/>
              </w:rPr>
              <w:t>,</w:t>
            </w:r>
            <w:r w:rsidR="00743680">
              <w:rPr>
                <w:sz w:val="20"/>
                <w:szCs w:val="20"/>
              </w:rPr>
              <w:t xml:space="preserve">23 </w:t>
            </w:r>
            <w:r>
              <w:rPr>
                <w:sz w:val="20"/>
                <w:szCs w:val="20"/>
              </w:rPr>
              <w:t xml:space="preserve">milijuna kn za energetsku obnovu </w:t>
            </w:r>
            <w:r w:rsidR="00DB3B77">
              <w:rPr>
                <w:sz w:val="20"/>
                <w:szCs w:val="20"/>
              </w:rPr>
              <w:t xml:space="preserve">556 </w:t>
            </w:r>
            <w:r w:rsidR="001752DA">
              <w:rPr>
                <w:sz w:val="20"/>
                <w:szCs w:val="20"/>
              </w:rPr>
              <w:t>zgrad</w:t>
            </w:r>
            <w:r w:rsidR="00DB3B77">
              <w:rPr>
                <w:sz w:val="20"/>
                <w:szCs w:val="20"/>
              </w:rPr>
              <w:t>a</w:t>
            </w:r>
            <w:r>
              <w:rPr>
                <w:sz w:val="20"/>
                <w:szCs w:val="20"/>
              </w:rPr>
              <w:t xml:space="preserve">; </w:t>
            </w:r>
            <w:r w:rsidR="00E55A54" w:rsidRPr="00E55A54">
              <w:rPr>
                <w:sz w:val="20"/>
                <w:szCs w:val="20"/>
              </w:rPr>
              <w:t>predviđa se da će realizacija projekata u sklopu ovog programa završiti do kraja 2023. godine.</w:t>
            </w:r>
            <w:r w:rsidR="00EE0A9F">
              <w:rPr>
                <w:sz w:val="20"/>
                <w:szCs w:val="20"/>
              </w:rPr>
              <w:t xml:space="preserve"> Krajem 2019. godine planiran</w:t>
            </w:r>
            <w:r w:rsidR="00D20CB6">
              <w:rPr>
                <w:sz w:val="20"/>
                <w:szCs w:val="20"/>
              </w:rPr>
              <w:t>o je raspisivanje novog poziva za energetsku obnovu višestambenih zgrada</w:t>
            </w:r>
            <w:r w:rsidR="00304277">
              <w:rPr>
                <w:sz w:val="20"/>
                <w:szCs w:val="20"/>
              </w:rPr>
              <w:t xml:space="preserve">. Bespovratna sredstva osigurala bi se iz alokacije namijenjene </w:t>
            </w:r>
            <w:r w:rsidR="008A00A4">
              <w:rPr>
                <w:sz w:val="20"/>
                <w:szCs w:val="20"/>
              </w:rPr>
              <w:t>za energetsku obnovu obiteljskih kuća.</w:t>
            </w:r>
          </w:p>
        </w:tc>
      </w:tr>
      <w:tr w:rsidR="00EF73C6" w:rsidRPr="00EF5587" w14:paraId="238768FE"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7A4E5C5E" w14:textId="619AF731" w:rsidR="00EF73C6" w:rsidRPr="00EF5587" w:rsidRDefault="00EF73C6" w:rsidP="00EF73C6">
            <w:pPr>
              <w:pStyle w:val="Default"/>
              <w:rPr>
                <w:sz w:val="20"/>
                <w:szCs w:val="20"/>
              </w:rPr>
            </w:pPr>
            <w:r w:rsidRPr="00EF5587">
              <w:rPr>
                <w:b w:val="0"/>
                <w:bCs w:val="0"/>
                <w:sz w:val="20"/>
                <w:szCs w:val="20"/>
              </w:rPr>
              <w:t xml:space="preserve">Program energetske obnove obiteljskih kuća 2014.-2020. </w:t>
            </w:r>
            <w:r w:rsidRPr="00B73AF5">
              <w:rPr>
                <w:b w:val="0"/>
                <w:bCs w:val="0"/>
                <w:sz w:val="20"/>
                <w:szCs w:val="20"/>
              </w:rPr>
              <w:t>(B.5</w:t>
            </w:r>
            <w:r w:rsidR="008400DD">
              <w:rPr>
                <w:b w:val="0"/>
                <w:bCs w:val="0"/>
                <w:sz w:val="20"/>
                <w:szCs w:val="20"/>
              </w:rPr>
              <w:t xml:space="preserve"> [</w:t>
            </w:r>
            <w:r w:rsidR="00B40103">
              <w:rPr>
                <w:b w:val="0"/>
                <w:bCs w:val="0"/>
                <w:sz w:val="20"/>
                <w:szCs w:val="20"/>
              </w:rPr>
              <w:t>14</w:t>
            </w:r>
            <w:r w:rsidR="008400DD">
              <w:rPr>
                <w:b w:val="0"/>
                <w:bCs w:val="0"/>
                <w:sz w:val="20"/>
                <w:szCs w:val="20"/>
              </w:rPr>
              <w:t>]</w:t>
            </w:r>
            <w:r w:rsidRPr="00B73AF5">
              <w:rPr>
                <w:b w:val="0"/>
                <w:bCs w:val="0"/>
                <w:sz w:val="20"/>
                <w:szCs w:val="20"/>
              </w:rPr>
              <w:t>; MEN-4</w:t>
            </w:r>
            <w:r w:rsidR="008400DD">
              <w:rPr>
                <w:b w:val="0"/>
                <w:bCs w:val="0"/>
                <w:sz w:val="20"/>
                <w:szCs w:val="20"/>
              </w:rPr>
              <w:t xml:space="preserve"> </w:t>
            </w:r>
            <w:r w:rsidR="00350841">
              <w:rPr>
                <w:b w:val="0"/>
                <w:sz w:val="20"/>
              </w:rPr>
              <w:t>[</w:t>
            </w:r>
            <w:r w:rsidR="00350841">
              <w:rPr>
                <w:sz w:val="20"/>
              </w:rPr>
              <w:fldChar w:fldCharType="begin"/>
            </w:r>
            <w:r w:rsidR="00350841">
              <w:rPr>
                <w:b w:val="0"/>
                <w:sz w:val="20"/>
              </w:rPr>
              <w:instrText xml:space="preserve"> REF _Ref531604343 \r \h </w:instrText>
            </w:r>
            <w:r w:rsidR="00350841">
              <w:rPr>
                <w:sz w:val="20"/>
              </w:rPr>
            </w:r>
            <w:r w:rsidR="00350841">
              <w:rPr>
                <w:sz w:val="20"/>
              </w:rPr>
              <w:fldChar w:fldCharType="separate"/>
            </w:r>
            <w:r w:rsidR="00154150">
              <w:rPr>
                <w:b w:val="0"/>
                <w:sz w:val="20"/>
              </w:rPr>
              <w:t>1</w:t>
            </w:r>
            <w:r w:rsidR="00350841">
              <w:rPr>
                <w:sz w:val="20"/>
              </w:rPr>
              <w:fldChar w:fldCharType="end"/>
            </w:r>
            <w:r w:rsidR="00350841">
              <w:rPr>
                <w:b w:val="0"/>
                <w:sz w:val="20"/>
              </w:rPr>
              <w:t>]</w:t>
            </w:r>
            <w:r w:rsidRPr="00B73AF5">
              <w:rPr>
                <w:b w:val="0"/>
                <w:bCs w:val="0"/>
                <w:sz w:val="20"/>
                <w:szCs w:val="20"/>
              </w:rPr>
              <w:t>)</w:t>
            </w:r>
          </w:p>
        </w:tc>
        <w:tc>
          <w:tcPr>
            <w:tcW w:w="1250" w:type="pct"/>
          </w:tcPr>
          <w:p w14:paraId="2B3A82BA" w14:textId="1A219ED0" w:rsidR="00EF73C6" w:rsidRPr="0031468F" w:rsidRDefault="00453E21"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w:t>
            </w:r>
            <w:r w:rsidR="00B479F3">
              <w:rPr>
                <w:sz w:val="20"/>
                <w:szCs w:val="20"/>
              </w:rPr>
              <w:t>n</w:t>
            </w:r>
            <w:r>
              <w:rPr>
                <w:sz w:val="20"/>
                <w:szCs w:val="20"/>
              </w:rPr>
              <w:t xml:space="preserve">cijska - </w:t>
            </w:r>
            <w:r w:rsidR="00EF73C6" w:rsidRPr="005A25C9">
              <w:rPr>
                <w:sz w:val="20"/>
                <w:szCs w:val="20"/>
              </w:rPr>
              <w:t>Bespovratna sredstva</w:t>
            </w:r>
          </w:p>
        </w:tc>
        <w:tc>
          <w:tcPr>
            <w:tcW w:w="2500" w:type="pct"/>
          </w:tcPr>
          <w:p w14:paraId="7EB5E7B8" w14:textId="008BC075" w:rsidR="00EF73C6" w:rsidRPr="0031468F" w:rsidRDefault="0084539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Program se u razdoblju </w:t>
            </w:r>
            <w:r w:rsidR="00E15FA0">
              <w:rPr>
                <w:sz w:val="20"/>
                <w:szCs w:val="20"/>
              </w:rPr>
              <w:t>o</w:t>
            </w:r>
            <w:r>
              <w:rPr>
                <w:sz w:val="20"/>
                <w:szCs w:val="20"/>
              </w:rPr>
              <w:t xml:space="preserve">d 2014. do 2016. </w:t>
            </w:r>
            <w:r w:rsidR="00074124">
              <w:rPr>
                <w:sz w:val="20"/>
                <w:szCs w:val="20"/>
              </w:rPr>
              <w:t>financirao</w:t>
            </w:r>
            <w:r>
              <w:rPr>
                <w:sz w:val="20"/>
                <w:szCs w:val="20"/>
              </w:rPr>
              <w:t xml:space="preserve"> </w:t>
            </w:r>
            <w:r w:rsidR="00EE7391">
              <w:rPr>
                <w:sz w:val="20"/>
                <w:szCs w:val="20"/>
              </w:rPr>
              <w:t xml:space="preserve">nacionalnim </w:t>
            </w:r>
            <w:r>
              <w:rPr>
                <w:sz w:val="20"/>
                <w:szCs w:val="20"/>
              </w:rPr>
              <w:t>sredstv</w:t>
            </w:r>
            <w:r w:rsidR="00EE7391">
              <w:rPr>
                <w:sz w:val="20"/>
                <w:szCs w:val="20"/>
              </w:rPr>
              <w:t>im</w:t>
            </w:r>
            <w:r>
              <w:rPr>
                <w:sz w:val="20"/>
                <w:szCs w:val="20"/>
              </w:rPr>
              <w:t>a</w:t>
            </w:r>
            <w:r w:rsidR="008C3F5B">
              <w:rPr>
                <w:sz w:val="20"/>
                <w:szCs w:val="20"/>
              </w:rPr>
              <w:t xml:space="preserve"> od dražbi, a putem</w:t>
            </w:r>
            <w:r>
              <w:rPr>
                <w:sz w:val="20"/>
                <w:szCs w:val="20"/>
              </w:rPr>
              <w:t xml:space="preserve"> Fonda za zaštitu okoliša i energetsku učinkovitost; </w:t>
            </w:r>
            <w:r w:rsidR="00E15FA0">
              <w:rPr>
                <w:sz w:val="20"/>
                <w:szCs w:val="20"/>
              </w:rPr>
              <w:t xml:space="preserve">raspoloživa </w:t>
            </w:r>
            <w:r>
              <w:rPr>
                <w:sz w:val="20"/>
                <w:szCs w:val="20"/>
              </w:rPr>
              <w:t xml:space="preserve">sredstva iz EFRR prema OPKK su </w:t>
            </w:r>
            <w:r w:rsidR="006D53A6">
              <w:rPr>
                <w:sz w:val="20"/>
                <w:szCs w:val="20"/>
              </w:rPr>
              <w:t xml:space="preserve">200 </w:t>
            </w:r>
            <w:r>
              <w:rPr>
                <w:sz w:val="20"/>
                <w:szCs w:val="20"/>
              </w:rPr>
              <w:t>milijuna kn</w:t>
            </w:r>
            <w:r w:rsidR="00A37FBE">
              <w:rPr>
                <w:sz w:val="20"/>
                <w:szCs w:val="20"/>
              </w:rPr>
              <w:t xml:space="preserve">, ali </w:t>
            </w:r>
            <w:r w:rsidR="00296139">
              <w:rPr>
                <w:sz w:val="20"/>
                <w:szCs w:val="20"/>
              </w:rPr>
              <w:t xml:space="preserve">se zbog kompleksnih procedura ne </w:t>
            </w:r>
            <w:r>
              <w:rPr>
                <w:sz w:val="20"/>
                <w:szCs w:val="20"/>
              </w:rPr>
              <w:t xml:space="preserve">predviđa iskorištavanje ovih sredstava </w:t>
            </w:r>
            <w:r w:rsidR="00296139">
              <w:rPr>
                <w:sz w:val="20"/>
                <w:szCs w:val="20"/>
              </w:rPr>
              <w:t>za energetsku obnovu obit</w:t>
            </w:r>
            <w:r w:rsidR="004C3649">
              <w:rPr>
                <w:sz w:val="20"/>
                <w:szCs w:val="20"/>
              </w:rPr>
              <w:t>e</w:t>
            </w:r>
            <w:r w:rsidR="00296139">
              <w:rPr>
                <w:sz w:val="20"/>
                <w:szCs w:val="20"/>
              </w:rPr>
              <w:t>ljs</w:t>
            </w:r>
            <w:r w:rsidR="00205550">
              <w:rPr>
                <w:sz w:val="20"/>
                <w:szCs w:val="20"/>
              </w:rPr>
              <w:t>k</w:t>
            </w:r>
            <w:r w:rsidR="00296139">
              <w:rPr>
                <w:sz w:val="20"/>
                <w:szCs w:val="20"/>
              </w:rPr>
              <w:t xml:space="preserve">ih kuća – planira se ta sredstva </w:t>
            </w:r>
            <w:r w:rsidR="0097044D">
              <w:rPr>
                <w:sz w:val="20"/>
                <w:szCs w:val="20"/>
              </w:rPr>
              <w:t xml:space="preserve">preraspodijeliti za energetsku obnovu javnih i višestambenih zgrada, dok će se ovaj Program od 2019. godine nastaviti sufinancirati sredstvima </w:t>
            </w:r>
            <w:r w:rsidR="0048283A" w:rsidRPr="0048283A">
              <w:rPr>
                <w:sz w:val="20"/>
                <w:szCs w:val="20"/>
              </w:rPr>
              <w:t xml:space="preserve">dobivenih od prodaje emisijskih jedinica </w:t>
            </w:r>
            <w:r w:rsidR="002C5679">
              <w:rPr>
                <w:sz w:val="20"/>
                <w:szCs w:val="20"/>
              </w:rPr>
              <w:t>od</w:t>
            </w:r>
            <w:r w:rsidR="002C5679" w:rsidRPr="0048283A">
              <w:rPr>
                <w:sz w:val="20"/>
                <w:szCs w:val="20"/>
              </w:rPr>
              <w:t xml:space="preserve"> </w:t>
            </w:r>
            <w:r w:rsidR="0048283A" w:rsidRPr="0048283A">
              <w:rPr>
                <w:sz w:val="20"/>
                <w:szCs w:val="20"/>
              </w:rPr>
              <w:t>dražbi</w:t>
            </w:r>
            <w:r w:rsidR="003E3BAB">
              <w:rPr>
                <w:sz w:val="20"/>
                <w:szCs w:val="20"/>
              </w:rPr>
              <w:t>, putem FZOEU</w:t>
            </w:r>
          </w:p>
        </w:tc>
      </w:tr>
      <w:tr w:rsidR="00EF73C6" w:rsidRPr="00EF5587" w14:paraId="7EF4E4C2"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1CD3A886" w14:textId="77777777" w:rsidR="00EF73C6" w:rsidRPr="00CB7357" w:rsidRDefault="00EF73C6" w:rsidP="00223709">
            <w:pPr>
              <w:spacing w:before="0" w:after="0" w:line="240" w:lineRule="auto"/>
              <w:jc w:val="center"/>
              <w:rPr>
                <w:rFonts w:cs="Arial"/>
                <w:sz w:val="20"/>
                <w:szCs w:val="20"/>
              </w:rPr>
            </w:pPr>
            <w:r w:rsidRPr="00CB7357">
              <w:rPr>
                <w:rFonts w:cs="Arial"/>
                <w:sz w:val="20"/>
                <w:szCs w:val="20"/>
              </w:rPr>
              <w:t>Javni sektor</w:t>
            </w:r>
          </w:p>
        </w:tc>
      </w:tr>
      <w:tr w:rsidR="00EF73C6" w:rsidRPr="00EF5587" w14:paraId="1B343983"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13F8DCA4" w14:textId="257D7641" w:rsidR="00EF73C6" w:rsidRPr="00EF5587" w:rsidRDefault="00EF73C6" w:rsidP="00EF73C6">
            <w:pPr>
              <w:pStyle w:val="Default"/>
              <w:rPr>
                <w:sz w:val="20"/>
                <w:szCs w:val="20"/>
              </w:rPr>
            </w:pPr>
            <w:r w:rsidRPr="00EF5587">
              <w:rPr>
                <w:b w:val="0"/>
                <w:bCs w:val="0"/>
                <w:sz w:val="20"/>
                <w:szCs w:val="20"/>
              </w:rPr>
              <w:t>Program energetske obnove zgrada javnog sektora 201</w:t>
            </w:r>
            <w:r>
              <w:rPr>
                <w:b w:val="0"/>
                <w:bCs w:val="0"/>
                <w:sz w:val="20"/>
                <w:szCs w:val="20"/>
              </w:rPr>
              <w:t>4</w:t>
            </w:r>
            <w:r w:rsidRPr="00EF5587">
              <w:rPr>
                <w:b w:val="0"/>
                <w:bCs w:val="0"/>
                <w:sz w:val="20"/>
                <w:szCs w:val="20"/>
              </w:rPr>
              <w:t>.-20</w:t>
            </w:r>
            <w:r>
              <w:rPr>
                <w:b w:val="0"/>
                <w:bCs w:val="0"/>
                <w:sz w:val="20"/>
                <w:szCs w:val="20"/>
              </w:rPr>
              <w:t>15</w:t>
            </w:r>
            <w:r w:rsidRPr="00EF5587">
              <w:rPr>
                <w:b w:val="0"/>
                <w:bCs w:val="0"/>
                <w:sz w:val="20"/>
                <w:szCs w:val="20"/>
              </w:rPr>
              <w:t>.</w:t>
            </w:r>
            <w:r>
              <w:rPr>
                <w:b w:val="0"/>
                <w:bCs w:val="0"/>
                <w:sz w:val="20"/>
                <w:szCs w:val="20"/>
              </w:rPr>
              <w:t xml:space="preserve"> (P.1</w:t>
            </w:r>
            <w:r w:rsidR="008400DD">
              <w:rPr>
                <w:b w:val="0"/>
                <w:bCs w:val="0"/>
                <w:sz w:val="20"/>
                <w:szCs w:val="20"/>
              </w:rPr>
              <w:t xml:space="preserve"> [</w:t>
            </w:r>
            <w:r w:rsidR="00B40103">
              <w:rPr>
                <w:b w:val="0"/>
                <w:bCs w:val="0"/>
                <w:sz w:val="20"/>
                <w:szCs w:val="20"/>
              </w:rPr>
              <w:t>14</w:t>
            </w:r>
            <w:r w:rsidR="008400DD">
              <w:rPr>
                <w:b w:val="0"/>
                <w:bCs w:val="0"/>
                <w:sz w:val="20"/>
                <w:szCs w:val="20"/>
              </w:rPr>
              <w:t>]</w:t>
            </w:r>
            <w:r>
              <w:rPr>
                <w:b w:val="0"/>
                <w:bCs w:val="0"/>
                <w:sz w:val="20"/>
                <w:szCs w:val="20"/>
              </w:rPr>
              <w:t>)</w:t>
            </w:r>
          </w:p>
        </w:tc>
        <w:tc>
          <w:tcPr>
            <w:tcW w:w="1250" w:type="pct"/>
          </w:tcPr>
          <w:p w14:paraId="4D354449" w14:textId="260B74B6" w:rsidR="00EF73C6" w:rsidRPr="0031468F" w:rsidRDefault="00453E21"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Fina</w:t>
            </w:r>
            <w:r w:rsidR="004C3649">
              <w:rPr>
                <w:sz w:val="20"/>
                <w:szCs w:val="20"/>
              </w:rPr>
              <w:t>n</w:t>
            </w:r>
            <w:r>
              <w:rPr>
                <w:sz w:val="20"/>
                <w:szCs w:val="20"/>
              </w:rPr>
              <w:t xml:space="preserve">cijska - </w:t>
            </w:r>
            <w:r w:rsidR="00EF73C6" w:rsidRPr="005A25C9">
              <w:rPr>
                <w:sz w:val="20"/>
                <w:szCs w:val="20"/>
              </w:rPr>
              <w:t>ESCO model</w:t>
            </w:r>
            <w:r>
              <w:rPr>
                <w:sz w:val="20"/>
                <w:szCs w:val="20"/>
              </w:rPr>
              <w:t xml:space="preserve"> i </w:t>
            </w:r>
          </w:p>
          <w:p w14:paraId="0F899404" w14:textId="592E54C8" w:rsidR="00EF73C6" w:rsidRPr="0031468F" w:rsidRDefault="00453E21"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w:t>
            </w:r>
            <w:r w:rsidR="00EF73C6" w:rsidRPr="0031468F">
              <w:rPr>
                <w:sz w:val="20"/>
                <w:szCs w:val="20"/>
              </w:rPr>
              <w:t>espovratna sredstva</w:t>
            </w:r>
          </w:p>
        </w:tc>
        <w:tc>
          <w:tcPr>
            <w:tcW w:w="2500" w:type="pct"/>
          </w:tcPr>
          <w:p w14:paraId="2C001BB8" w14:textId="77777777" w:rsidR="00EF73C6" w:rsidRPr="0031468F" w:rsidRDefault="00EF73C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Program se provodi ugovaranjem energetske usluge u zgradama javnog sektora, kojega u ime i za račun javnog sektora provodi Agencija za pravni promet i posredovanje nekretninama (APN), a Fond za zaštitu okoliša i energetsku učinkovitost (FZOEU) osigurava bespovratna sredstva do 40% opravdanih troškova energetske obnove.</w:t>
            </w:r>
          </w:p>
        </w:tc>
      </w:tr>
      <w:tr w:rsidR="00EF73C6" w:rsidRPr="00EF5587" w14:paraId="48FC47DB"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D8F1DFF" w14:textId="47E45D6D" w:rsidR="00EF73C6" w:rsidRPr="00EF5587" w:rsidRDefault="00EF73C6" w:rsidP="00EF73C6">
            <w:pPr>
              <w:pStyle w:val="Default"/>
              <w:rPr>
                <w:sz w:val="20"/>
                <w:szCs w:val="20"/>
              </w:rPr>
            </w:pPr>
            <w:r w:rsidRPr="00EF5587">
              <w:rPr>
                <w:b w:val="0"/>
                <w:bCs w:val="0"/>
                <w:sz w:val="20"/>
                <w:szCs w:val="20"/>
              </w:rPr>
              <w:t xml:space="preserve">Program energetske obnove zgrada javnog sektora 2016.-2020. </w:t>
            </w:r>
            <w:r w:rsidRPr="005023D2">
              <w:rPr>
                <w:b w:val="0"/>
                <w:bCs w:val="0"/>
                <w:sz w:val="20"/>
                <w:szCs w:val="20"/>
              </w:rPr>
              <w:t>(P.2</w:t>
            </w:r>
            <w:r w:rsidR="008400DD">
              <w:rPr>
                <w:b w:val="0"/>
                <w:bCs w:val="0"/>
                <w:sz w:val="20"/>
                <w:szCs w:val="20"/>
              </w:rPr>
              <w:t xml:space="preserve"> [</w:t>
            </w:r>
            <w:r w:rsidR="00B40103">
              <w:rPr>
                <w:b w:val="0"/>
                <w:bCs w:val="0"/>
                <w:sz w:val="20"/>
                <w:szCs w:val="20"/>
              </w:rPr>
              <w:t>14</w:t>
            </w:r>
            <w:r w:rsidR="008400DD">
              <w:rPr>
                <w:b w:val="0"/>
                <w:bCs w:val="0"/>
                <w:sz w:val="20"/>
                <w:szCs w:val="20"/>
              </w:rPr>
              <w:t>]</w:t>
            </w:r>
            <w:r w:rsidRPr="005023D2">
              <w:rPr>
                <w:b w:val="0"/>
                <w:bCs w:val="0"/>
                <w:sz w:val="20"/>
                <w:szCs w:val="20"/>
              </w:rPr>
              <w:t>; MEN-5</w:t>
            </w:r>
            <w:r w:rsidR="008400DD">
              <w:rPr>
                <w:b w:val="0"/>
                <w:bCs w:val="0"/>
                <w:sz w:val="20"/>
                <w:szCs w:val="20"/>
              </w:rPr>
              <w:t xml:space="preserve"> </w:t>
            </w:r>
            <w:r w:rsidR="00436032">
              <w:rPr>
                <w:b w:val="0"/>
                <w:sz w:val="20"/>
              </w:rPr>
              <w:t>[</w:t>
            </w:r>
            <w:r w:rsidR="00436032">
              <w:rPr>
                <w:sz w:val="20"/>
              </w:rPr>
              <w:fldChar w:fldCharType="begin"/>
            </w:r>
            <w:r w:rsidR="00436032">
              <w:rPr>
                <w:b w:val="0"/>
                <w:sz w:val="20"/>
              </w:rPr>
              <w:instrText xml:space="preserve"> REF _Ref531604343 \r \h </w:instrText>
            </w:r>
            <w:r w:rsidR="00436032">
              <w:rPr>
                <w:sz w:val="20"/>
              </w:rPr>
            </w:r>
            <w:r w:rsidR="00436032">
              <w:rPr>
                <w:sz w:val="20"/>
              </w:rPr>
              <w:fldChar w:fldCharType="separate"/>
            </w:r>
            <w:r w:rsidR="00154150">
              <w:rPr>
                <w:b w:val="0"/>
                <w:sz w:val="20"/>
              </w:rPr>
              <w:t>1</w:t>
            </w:r>
            <w:r w:rsidR="00436032">
              <w:rPr>
                <w:sz w:val="20"/>
              </w:rPr>
              <w:fldChar w:fldCharType="end"/>
            </w:r>
            <w:r w:rsidR="00436032">
              <w:rPr>
                <w:b w:val="0"/>
                <w:sz w:val="20"/>
              </w:rPr>
              <w:t>]</w:t>
            </w:r>
            <w:r w:rsidRPr="005023D2">
              <w:rPr>
                <w:b w:val="0"/>
                <w:bCs w:val="0"/>
                <w:sz w:val="20"/>
                <w:szCs w:val="20"/>
              </w:rPr>
              <w:t>)</w:t>
            </w:r>
          </w:p>
        </w:tc>
        <w:tc>
          <w:tcPr>
            <w:tcW w:w="1250" w:type="pct"/>
          </w:tcPr>
          <w:p w14:paraId="367E9D73" w14:textId="61A00337" w:rsidR="00EF73C6" w:rsidRPr="0031468F" w:rsidRDefault="00F425FE"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Financijska - </w:t>
            </w:r>
            <w:r w:rsidR="00EF73C6" w:rsidRPr="005A25C9">
              <w:rPr>
                <w:sz w:val="20"/>
                <w:szCs w:val="20"/>
              </w:rPr>
              <w:t>Bespovratna sredstva</w:t>
            </w:r>
          </w:p>
          <w:p w14:paraId="326B0824"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Povoljni krediti</w:t>
            </w:r>
          </w:p>
          <w:p w14:paraId="4F240BDE"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Energetska usluga</w:t>
            </w:r>
          </w:p>
        </w:tc>
        <w:tc>
          <w:tcPr>
            <w:tcW w:w="2500" w:type="pct"/>
          </w:tcPr>
          <w:p w14:paraId="34E825BB" w14:textId="40B87120"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Raspoloživa sredstva iz EFRR prema OPKK su 211 milijuna EUR za energetsku obnovu zgrada javnog sektora</w:t>
            </w:r>
            <w:r w:rsidR="00BB660E">
              <w:rPr>
                <w:rFonts w:cs="Arial"/>
                <w:sz w:val="20"/>
                <w:szCs w:val="20"/>
              </w:rPr>
              <w:t xml:space="preserve">, a do sada je već </w:t>
            </w:r>
            <w:r w:rsidR="006F4518">
              <w:rPr>
                <w:rFonts w:cs="Arial"/>
                <w:sz w:val="20"/>
                <w:szCs w:val="20"/>
              </w:rPr>
              <w:t>dodijeljeno oko</w:t>
            </w:r>
            <w:r w:rsidR="006F4518" w:rsidRPr="006F4518">
              <w:rPr>
                <w:rFonts w:cs="Arial"/>
                <w:sz w:val="20"/>
                <w:szCs w:val="20"/>
              </w:rPr>
              <w:t xml:space="preserve"> 1,</w:t>
            </w:r>
            <w:r w:rsidR="00204CF1">
              <w:rPr>
                <w:rFonts w:cs="Arial"/>
                <w:sz w:val="20"/>
                <w:szCs w:val="20"/>
              </w:rPr>
              <w:t>499</w:t>
            </w:r>
            <w:r w:rsidR="005F5486" w:rsidRPr="006F4518">
              <w:rPr>
                <w:rFonts w:cs="Arial"/>
                <w:sz w:val="20"/>
                <w:szCs w:val="20"/>
              </w:rPr>
              <w:t xml:space="preserve"> </w:t>
            </w:r>
            <w:r w:rsidR="006F4518" w:rsidRPr="006F4518">
              <w:rPr>
                <w:rFonts w:cs="Arial"/>
                <w:sz w:val="20"/>
                <w:szCs w:val="20"/>
              </w:rPr>
              <w:t>milijard</w:t>
            </w:r>
            <w:r w:rsidR="006F4518">
              <w:rPr>
                <w:rFonts w:cs="Arial"/>
                <w:sz w:val="20"/>
                <w:szCs w:val="20"/>
              </w:rPr>
              <w:t>i</w:t>
            </w:r>
            <w:r w:rsidR="006F4518" w:rsidRPr="006F4518">
              <w:rPr>
                <w:rFonts w:cs="Arial"/>
                <w:sz w:val="20"/>
                <w:szCs w:val="20"/>
              </w:rPr>
              <w:t xml:space="preserve"> kn za energetsku obnovu </w:t>
            </w:r>
            <w:r w:rsidR="00D93823" w:rsidRPr="006F4518">
              <w:rPr>
                <w:rFonts w:cs="Arial"/>
                <w:sz w:val="20"/>
                <w:szCs w:val="20"/>
              </w:rPr>
              <w:t>8</w:t>
            </w:r>
            <w:r w:rsidR="00D93823">
              <w:rPr>
                <w:rFonts w:cs="Arial"/>
                <w:sz w:val="20"/>
                <w:szCs w:val="20"/>
              </w:rPr>
              <w:t>66</w:t>
            </w:r>
            <w:r w:rsidR="00D93823" w:rsidRPr="006F4518">
              <w:rPr>
                <w:rFonts w:cs="Arial"/>
                <w:sz w:val="20"/>
                <w:szCs w:val="20"/>
              </w:rPr>
              <w:t xml:space="preserve"> </w:t>
            </w:r>
            <w:r w:rsidR="006F4518" w:rsidRPr="006F4518">
              <w:rPr>
                <w:rFonts w:cs="Arial"/>
                <w:sz w:val="20"/>
                <w:szCs w:val="20"/>
              </w:rPr>
              <w:lastRenderedPageBreak/>
              <w:t>zgrade</w:t>
            </w:r>
            <w:r w:rsidRPr="0031468F">
              <w:rPr>
                <w:rFonts w:cs="Arial"/>
                <w:sz w:val="20"/>
                <w:szCs w:val="20"/>
              </w:rPr>
              <w:t>; predviđa se da će realizacija projekata u sklopu ovog programa završiti do kraja 2023. godine</w:t>
            </w:r>
            <w:r w:rsidR="00E15FA0">
              <w:rPr>
                <w:rFonts w:cs="Arial"/>
                <w:sz w:val="20"/>
                <w:szCs w:val="20"/>
              </w:rPr>
              <w:t>.</w:t>
            </w:r>
            <w:r w:rsidR="00D93823">
              <w:rPr>
                <w:rFonts w:cs="Arial"/>
                <w:sz w:val="20"/>
                <w:szCs w:val="20"/>
              </w:rPr>
              <w:t xml:space="preserve"> Također je predviđen </w:t>
            </w:r>
            <w:r w:rsidR="00CD3B69">
              <w:rPr>
                <w:rFonts w:cs="Arial"/>
                <w:sz w:val="20"/>
                <w:szCs w:val="20"/>
              </w:rPr>
              <w:t xml:space="preserve">FI ESIF kredit za energetsku učinkovitost </w:t>
            </w:r>
            <w:r w:rsidR="00A914DD">
              <w:rPr>
                <w:rFonts w:cs="Arial"/>
                <w:sz w:val="20"/>
                <w:szCs w:val="20"/>
              </w:rPr>
              <w:t>za javne zgrade u iznosu od 190 milijuna kuna.</w:t>
            </w:r>
          </w:p>
        </w:tc>
      </w:tr>
      <w:tr w:rsidR="00EF73C6" w:rsidRPr="00EF5587" w14:paraId="31CDCD70"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115D7CFF" w14:textId="38FDC2F8" w:rsidR="00EF73C6" w:rsidRPr="00EF5587" w:rsidRDefault="00EF73C6" w:rsidP="00EF73C6">
            <w:pPr>
              <w:pStyle w:val="Default"/>
              <w:rPr>
                <w:b w:val="0"/>
                <w:bCs w:val="0"/>
                <w:sz w:val="20"/>
                <w:szCs w:val="20"/>
              </w:rPr>
            </w:pPr>
            <w:r w:rsidRPr="00EF5587">
              <w:rPr>
                <w:b w:val="0"/>
                <w:bCs w:val="0"/>
                <w:sz w:val="20"/>
                <w:szCs w:val="20"/>
              </w:rPr>
              <w:lastRenderedPageBreak/>
              <w:t>Sustavno gospodarenje energijom u javnom sektoru</w:t>
            </w:r>
            <w:r w:rsidRPr="005023D2">
              <w:rPr>
                <w:rFonts w:cs="Times New Roman"/>
                <w:b w:val="0"/>
                <w:bCs w:val="0"/>
                <w:color w:val="auto"/>
                <w:sz w:val="22"/>
                <w:szCs w:val="22"/>
              </w:rPr>
              <w:t xml:space="preserve"> </w:t>
            </w:r>
            <w:r w:rsidRPr="005023D2">
              <w:rPr>
                <w:b w:val="0"/>
                <w:bCs w:val="0"/>
                <w:sz w:val="20"/>
                <w:szCs w:val="20"/>
              </w:rPr>
              <w:t>(P.3</w:t>
            </w:r>
            <w:r w:rsidR="008400DD">
              <w:rPr>
                <w:b w:val="0"/>
                <w:bCs w:val="0"/>
                <w:sz w:val="20"/>
                <w:szCs w:val="20"/>
              </w:rPr>
              <w:t xml:space="preserve"> [</w:t>
            </w:r>
            <w:r w:rsidR="00B40103">
              <w:rPr>
                <w:b w:val="0"/>
                <w:bCs w:val="0"/>
                <w:sz w:val="20"/>
                <w:szCs w:val="20"/>
              </w:rPr>
              <w:t>14</w:t>
            </w:r>
            <w:r w:rsidR="008400DD">
              <w:rPr>
                <w:b w:val="0"/>
                <w:bCs w:val="0"/>
                <w:sz w:val="20"/>
                <w:szCs w:val="20"/>
              </w:rPr>
              <w:t>]</w:t>
            </w:r>
            <w:r w:rsidRPr="005023D2">
              <w:rPr>
                <w:b w:val="0"/>
                <w:bCs w:val="0"/>
                <w:sz w:val="20"/>
                <w:szCs w:val="20"/>
              </w:rPr>
              <w:t>; MEN-6</w:t>
            </w:r>
            <w:r w:rsidR="008400DD">
              <w:rPr>
                <w:b w:val="0"/>
                <w:bCs w:val="0"/>
                <w:sz w:val="20"/>
                <w:szCs w:val="20"/>
              </w:rPr>
              <w:t xml:space="preserve"> </w:t>
            </w:r>
            <w:r w:rsidR="00436032">
              <w:rPr>
                <w:b w:val="0"/>
                <w:sz w:val="20"/>
              </w:rPr>
              <w:t>[</w:t>
            </w:r>
            <w:r w:rsidR="00436032">
              <w:rPr>
                <w:sz w:val="20"/>
              </w:rPr>
              <w:fldChar w:fldCharType="begin"/>
            </w:r>
            <w:r w:rsidR="00436032">
              <w:rPr>
                <w:b w:val="0"/>
                <w:sz w:val="20"/>
              </w:rPr>
              <w:instrText xml:space="preserve"> REF _Ref531604343 \r \h </w:instrText>
            </w:r>
            <w:r w:rsidR="00436032">
              <w:rPr>
                <w:sz w:val="20"/>
              </w:rPr>
            </w:r>
            <w:r w:rsidR="00436032">
              <w:rPr>
                <w:sz w:val="20"/>
              </w:rPr>
              <w:fldChar w:fldCharType="separate"/>
            </w:r>
            <w:r w:rsidR="00154150">
              <w:rPr>
                <w:b w:val="0"/>
                <w:sz w:val="20"/>
              </w:rPr>
              <w:t>1</w:t>
            </w:r>
            <w:r w:rsidR="00436032">
              <w:rPr>
                <w:sz w:val="20"/>
              </w:rPr>
              <w:fldChar w:fldCharType="end"/>
            </w:r>
            <w:r w:rsidR="00436032">
              <w:rPr>
                <w:b w:val="0"/>
                <w:sz w:val="20"/>
              </w:rPr>
              <w:t>]</w:t>
            </w:r>
            <w:r w:rsidRPr="005023D2">
              <w:rPr>
                <w:b w:val="0"/>
                <w:bCs w:val="0"/>
                <w:sz w:val="20"/>
                <w:szCs w:val="20"/>
              </w:rPr>
              <w:t>)</w:t>
            </w:r>
          </w:p>
        </w:tc>
        <w:tc>
          <w:tcPr>
            <w:tcW w:w="1250" w:type="pct"/>
          </w:tcPr>
          <w:p w14:paraId="4A90ED58" w14:textId="1F151185" w:rsidR="00EF73C6" w:rsidRPr="0031468F" w:rsidRDefault="00F425FE"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Informativn</w:t>
            </w:r>
            <w:r>
              <w:rPr>
                <w:sz w:val="20"/>
                <w:szCs w:val="20"/>
              </w:rPr>
              <w:t>a</w:t>
            </w:r>
            <w:r w:rsidRPr="005A25C9">
              <w:rPr>
                <w:sz w:val="20"/>
                <w:szCs w:val="20"/>
              </w:rPr>
              <w:t xml:space="preserve"> </w:t>
            </w:r>
          </w:p>
        </w:tc>
        <w:tc>
          <w:tcPr>
            <w:tcW w:w="2500" w:type="pct"/>
          </w:tcPr>
          <w:p w14:paraId="34EE3757" w14:textId="17BF3615" w:rsidR="00EF73C6" w:rsidRPr="0031468F" w:rsidRDefault="00EF73C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Program provodi APN, a temelji se na obvezi javnog sektora za sustavno gospodarenje energijom; uštede u ovom programu </w:t>
            </w:r>
            <w:r w:rsidR="00E15FA0">
              <w:rPr>
                <w:rFonts w:cs="Arial"/>
                <w:sz w:val="20"/>
                <w:szCs w:val="20"/>
              </w:rPr>
              <w:t>rezultat</w:t>
            </w:r>
            <w:r w:rsidR="00E15FA0" w:rsidRPr="0031468F">
              <w:rPr>
                <w:rFonts w:cs="Arial"/>
                <w:sz w:val="20"/>
                <w:szCs w:val="20"/>
              </w:rPr>
              <w:t xml:space="preserve"> </w:t>
            </w:r>
            <w:r w:rsidRPr="0031468F">
              <w:rPr>
                <w:rFonts w:cs="Arial"/>
                <w:sz w:val="20"/>
                <w:szCs w:val="20"/>
              </w:rPr>
              <w:t>su organizacijskih i informativnih mjera</w:t>
            </w:r>
          </w:p>
        </w:tc>
      </w:tr>
      <w:tr w:rsidR="00EF73C6" w:rsidRPr="00EF5587" w14:paraId="7487CF01"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F4F0A71" w14:textId="3F72DDEB" w:rsidR="00EF73C6" w:rsidRPr="00EF5587" w:rsidRDefault="00EF73C6" w:rsidP="00EF73C6">
            <w:pPr>
              <w:pStyle w:val="Default"/>
              <w:rPr>
                <w:b w:val="0"/>
                <w:bCs w:val="0"/>
                <w:sz w:val="20"/>
                <w:szCs w:val="20"/>
              </w:rPr>
            </w:pPr>
            <w:r w:rsidRPr="00EF5587">
              <w:rPr>
                <w:b w:val="0"/>
                <w:bCs w:val="0"/>
                <w:sz w:val="20"/>
                <w:szCs w:val="20"/>
              </w:rPr>
              <w:t>Program „Energetski učinkovita javna rasvjeta“</w:t>
            </w:r>
            <w:r>
              <w:rPr>
                <w:b w:val="0"/>
                <w:bCs w:val="0"/>
                <w:sz w:val="20"/>
                <w:szCs w:val="20"/>
              </w:rPr>
              <w:t xml:space="preserve"> </w:t>
            </w:r>
            <w:r w:rsidRPr="00D12928">
              <w:rPr>
                <w:b w:val="0"/>
                <w:bCs w:val="0"/>
                <w:sz w:val="20"/>
                <w:szCs w:val="20"/>
              </w:rPr>
              <w:t>(P.4</w:t>
            </w:r>
            <w:r w:rsidR="008400DD">
              <w:rPr>
                <w:b w:val="0"/>
                <w:bCs w:val="0"/>
                <w:sz w:val="20"/>
                <w:szCs w:val="20"/>
              </w:rPr>
              <w:t xml:space="preserve"> [</w:t>
            </w:r>
            <w:r w:rsidR="00B40103">
              <w:rPr>
                <w:b w:val="0"/>
                <w:bCs w:val="0"/>
                <w:sz w:val="20"/>
                <w:szCs w:val="20"/>
              </w:rPr>
              <w:t>14</w:t>
            </w:r>
            <w:r w:rsidR="008400DD">
              <w:rPr>
                <w:b w:val="0"/>
                <w:bCs w:val="0"/>
                <w:sz w:val="20"/>
                <w:szCs w:val="20"/>
              </w:rPr>
              <w:t>]</w:t>
            </w:r>
            <w:r w:rsidRPr="00D12928">
              <w:rPr>
                <w:b w:val="0"/>
                <w:bCs w:val="0"/>
                <w:sz w:val="20"/>
                <w:szCs w:val="20"/>
              </w:rPr>
              <w:t>; MEN-13</w:t>
            </w:r>
            <w:r w:rsidR="008400DD">
              <w:rPr>
                <w:b w:val="0"/>
                <w:bCs w:val="0"/>
                <w:sz w:val="20"/>
                <w:szCs w:val="20"/>
              </w:rPr>
              <w:t xml:space="preserve"> </w:t>
            </w:r>
            <w:r w:rsidR="00436032">
              <w:rPr>
                <w:b w:val="0"/>
                <w:sz w:val="20"/>
              </w:rPr>
              <w:t>[</w:t>
            </w:r>
            <w:r w:rsidR="00436032">
              <w:rPr>
                <w:sz w:val="20"/>
              </w:rPr>
              <w:fldChar w:fldCharType="begin"/>
            </w:r>
            <w:r w:rsidR="00436032">
              <w:rPr>
                <w:b w:val="0"/>
                <w:sz w:val="20"/>
              </w:rPr>
              <w:instrText xml:space="preserve"> REF _Ref531604343 \r \h </w:instrText>
            </w:r>
            <w:r w:rsidR="00436032">
              <w:rPr>
                <w:sz w:val="20"/>
              </w:rPr>
            </w:r>
            <w:r w:rsidR="00436032">
              <w:rPr>
                <w:sz w:val="20"/>
              </w:rPr>
              <w:fldChar w:fldCharType="separate"/>
            </w:r>
            <w:r w:rsidR="00154150">
              <w:rPr>
                <w:b w:val="0"/>
                <w:sz w:val="20"/>
              </w:rPr>
              <w:t>1</w:t>
            </w:r>
            <w:r w:rsidR="00436032">
              <w:rPr>
                <w:sz w:val="20"/>
              </w:rPr>
              <w:fldChar w:fldCharType="end"/>
            </w:r>
            <w:r w:rsidR="00436032">
              <w:rPr>
                <w:b w:val="0"/>
                <w:sz w:val="20"/>
              </w:rPr>
              <w:t>]</w:t>
            </w:r>
            <w:r w:rsidRPr="00D12928">
              <w:rPr>
                <w:b w:val="0"/>
                <w:bCs w:val="0"/>
                <w:sz w:val="20"/>
                <w:szCs w:val="20"/>
              </w:rPr>
              <w:t>)</w:t>
            </w:r>
          </w:p>
        </w:tc>
        <w:tc>
          <w:tcPr>
            <w:tcW w:w="1250" w:type="pct"/>
          </w:tcPr>
          <w:p w14:paraId="56507933" w14:textId="39DAB2A6" w:rsidR="00EF73C6" w:rsidRPr="0031468F" w:rsidRDefault="00F425FE"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Financijska - </w:t>
            </w:r>
            <w:r w:rsidR="00EF73C6" w:rsidRPr="005A25C9">
              <w:rPr>
                <w:sz w:val="20"/>
                <w:szCs w:val="20"/>
              </w:rPr>
              <w:t>Povol</w:t>
            </w:r>
            <w:r w:rsidR="00EF73C6" w:rsidRPr="0031468F">
              <w:rPr>
                <w:sz w:val="20"/>
                <w:szCs w:val="20"/>
              </w:rPr>
              <w:t>jni krediti</w:t>
            </w:r>
          </w:p>
        </w:tc>
        <w:tc>
          <w:tcPr>
            <w:tcW w:w="2500" w:type="pct"/>
          </w:tcPr>
          <w:p w14:paraId="684685CC" w14:textId="7ED8B528" w:rsidR="00EF73C6" w:rsidRPr="0031468F" w:rsidRDefault="00EF73C6" w:rsidP="005A25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1468F">
              <w:rPr>
                <w:rFonts w:cs="Arial"/>
                <w:sz w:val="20"/>
                <w:szCs w:val="20"/>
              </w:rPr>
              <w:t xml:space="preserve">Raspoloživa sredstva iz EFRR prema OPKK su </w:t>
            </w:r>
            <w:r w:rsidR="008A0B6A" w:rsidRPr="0031468F">
              <w:rPr>
                <w:rFonts w:cs="Arial"/>
                <w:sz w:val="20"/>
                <w:szCs w:val="20"/>
              </w:rPr>
              <w:t>15</w:t>
            </w:r>
            <w:r w:rsidR="008A0B6A">
              <w:rPr>
                <w:rFonts w:cs="Arial"/>
                <w:sz w:val="20"/>
                <w:szCs w:val="20"/>
              </w:rPr>
              <w:t>2</w:t>
            </w:r>
            <w:r w:rsidR="008A0B6A" w:rsidRPr="0031468F">
              <w:rPr>
                <w:rFonts w:cs="Arial"/>
                <w:sz w:val="20"/>
                <w:szCs w:val="20"/>
              </w:rPr>
              <w:t xml:space="preserve"> </w:t>
            </w:r>
            <w:r w:rsidRPr="0031468F">
              <w:rPr>
                <w:rFonts w:cs="Arial"/>
                <w:sz w:val="20"/>
                <w:szCs w:val="20"/>
              </w:rPr>
              <w:t>milijuna kn (20 milijuna EUR) za energetsku obnovu sustava javne rasvjete; program se provodi kreditiranjem kojeg osigurava HBOR; predviđa se da će realizacija projekata u sklopu ovog programa završiti do kraja 2023. godine</w:t>
            </w:r>
          </w:p>
        </w:tc>
      </w:tr>
      <w:tr w:rsidR="00EF73C6" w:rsidRPr="00DD7F26" w14:paraId="6BBC7FE7"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191D48C9" w14:textId="1DC02E6F" w:rsidR="00EF73C6" w:rsidRPr="00DD7F26" w:rsidRDefault="00EF73C6" w:rsidP="00EF73C6">
            <w:pPr>
              <w:pStyle w:val="Default"/>
              <w:rPr>
                <w:b w:val="0"/>
                <w:sz w:val="20"/>
                <w:szCs w:val="20"/>
              </w:rPr>
            </w:pPr>
            <w:r w:rsidRPr="00DD7F26">
              <w:rPr>
                <w:b w:val="0"/>
                <w:sz w:val="20"/>
                <w:szCs w:val="20"/>
              </w:rPr>
              <w:t>“Zelena” javna nabava (P.5</w:t>
            </w:r>
            <w:r w:rsidR="008400DD">
              <w:rPr>
                <w:b w:val="0"/>
                <w:sz w:val="20"/>
                <w:szCs w:val="20"/>
              </w:rPr>
              <w:t xml:space="preserve"> [</w:t>
            </w:r>
            <w:r w:rsidR="00B40103">
              <w:rPr>
                <w:b w:val="0"/>
                <w:sz w:val="20"/>
                <w:szCs w:val="20"/>
              </w:rPr>
              <w:t>14</w:t>
            </w:r>
            <w:r w:rsidR="008400DD">
              <w:rPr>
                <w:b w:val="0"/>
                <w:sz w:val="20"/>
                <w:szCs w:val="20"/>
              </w:rPr>
              <w:t>]</w:t>
            </w:r>
            <w:r w:rsidRPr="00DD7F26">
              <w:rPr>
                <w:b w:val="0"/>
                <w:sz w:val="20"/>
                <w:szCs w:val="20"/>
              </w:rPr>
              <w:t>; MEN-14</w:t>
            </w:r>
            <w:r w:rsidR="008400DD">
              <w:rPr>
                <w:b w:val="0"/>
                <w:sz w:val="20"/>
                <w:szCs w:val="20"/>
              </w:rPr>
              <w:t xml:space="preserve"> </w:t>
            </w:r>
            <w:r w:rsidR="00436032">
              <w:rPr>
                <w:b w:val="0"/>
                <w:sz w:val="20"/>
              </w:rPr>
              <w:t>[</w:t>
            </w:r>
            <w:r w:rsidR="00436032">
              <w:rPr>
                <w:sz w:val="20"/>
              </w:rPr>
              <w:fldChar w:fldCharType="begin"/>
            </w:r>
            <w:r w:rsidR="00436032">
              <w:rPr>
                <w:b w:val="0"/>
                <w:sz w:val="20"/>
              </w:rPr>
              <w:instrText xml:space="preserve"> REF _Ref531604343 \r \h </w:instrText>
            </w:r>
            <w:r w:rsidR="00436032">
              <w:rPr>
                <w:sz w:val="20"/>
              </w:rPr>
            </w:r>
            <w:r w:rsidR="00436032">
              <w:rPr>
                <w:sz w:val="20"/>
              </w:rPr>
              <w:fldChar w:fldCharType="separate"/>
            </w:r>
            <w:r w:rsidR="00154150">
              <w:rPr>
                <w:b w:val="0"/>
                <w:sz w:val="20"/>
              </w:rPr>
              <w:t>1</w:t>
            </w:r>
            <w:r w:rsidR="00436032">
              <w:rPr>
                <w:sz w:val="20"/>
              </w:rPr>
              <w:fldChar w:fldCharType="end"/>
            </w:r>
            <w:r w:rsidR="00436032">
              <w:rPr>
                <w:b w:val="0"/>
                <w:sz w:val="20"/>
              </w:rPr>
              <w:t>]</w:t>
            </w:r>
            <w:r w:rsidRPr="00DD7F26">
              <w:rPr>
                <w:b w:val="0"/>
                <w:sz w:val="20"/>
                <w:szCs w:val="20"/>
              </w:rPr>
              <w:t>)</w:t>
            </w:r>
          </w:p>
        </w:tc>
        <w:tc>
          <w:tcPr>
            <w:tcW w:w="1250" w:type="pct"/>
          </w:tcPr>
          <w:p w14:paraId="137DFE65"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Dobrovoljni sporazumi i kooperativni instrumenti</w:t>
            </w:r>
          </w:p>
        </w:tc>
        <w:tc>
          <w:tcPr>
            <w:tcW w:w="2500" w:type="pct"/>
          </w:tcPr>
          <w:p w14:paraId="63952515" w14:textId="1CBECC8E"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Izrada i provedba n</w:t>
            </w:r>
            <w:r w:rsidRPr="00AB11E8">
              <w:rPr>
                <w:rFonts w:cs="Arial"/>
                <w:bCs/>
                <w:sz w:val="20"/>
                <w:szCs w:val="20"/>
              </w:rPr>
              <w:t>acionalni</w:t>
            </w:r>
            <w:r w:rsidR="00C651D3">
              <w:rPr>
                <w:rFonts w:cs="Arial"/>
                <w:bCs/>
                <w:sz w:val="20"/>
                <w:szCs w:val="20"/>
              </w:rPr>
              <w:t>h</w:t>
            </w:r>
            <w:r w:rsidRPr="00AB11E8">
              <w:rPr>
                <w:rFonts w:cs="Arial"/>
                <w:bCs/>
                <w:sz w:val="20"/>
                <w:szCs w:val="20"/>
              </w:rPr>
              <w:t xml:space="preserve"> akcijski</w:t>
            </w:r>
            <w:r>
              <w:rPr>
                <w:rFonts w:cs="Arial"/>
                <w:bCs/>
                <w:sz w:val="20"/>
                <w:szCs w:val="20"/>
              </w:rPr>
              <w:t>h</w:t>
            </w:r>
            <w:r w:rsidRPr="00AB11E8">
              <w:rPr>
                <w:rFonts w:cs="Arial"/>
                <w:bCs/>
                <w:sz w:val="20"/>
                <w:szCs w:val="20"/>
              </w:rPr>
              <w:t xml:space="preserve"> plan</w:t>
            </w:r>
            <w:r>
              <w:rPr>
                <w:rFonts w:cs="Arial"/>
                <w:bCs/>
                <w:sz w:val="20"/>
                <w:szCs w:val="20"/>
              </w:rPr>
              <w:t>ova</w:t>
            </w:r>
            <w:r w:rsidRPr="00AB11E8">
              <w:rPr>
                <w:rFonts w:cs="Arial"/>
                <w:bCs/>
                <w:sz w:val="20"/>
                <w:szCs w:val="20"/>
              </w:rPr>
              <w:t xml:space="preserve"> za </w:t>
            </w:r>
            <w:r>
              <w:rPr>
                <w:rFonts w:cs="Arial"/>
                <w:bCs/>
                <w:sz w:val="20"/>
                <w:szCs w:val="20"/>
              </w:rPr>
              <w:t>z</w:t>
            </w:r>
            <w:r w:rsidRPr="00AB11E8">
              <w:rPr>
                <w:rFonts w:cs="Arial"/>
                <w:bCs/>
                <w:sz w:val="20"/>
                <w:szCs w:val="20"/>
              </w:rPr>
              <w:t>elenu javnu</w:t>
            </w:r>
            <w:r>
              <w:rPr>
                <w:rFonts w:cs="Arial"/>
                <w:bCs/>
                <w:sz w:val="20"/>
                <w:szCs w:val="20"/>
              </w:rPr>
              <w:t xml:space="preserve"> nabavu s ciljem </w:t>
            </w:r>
            <w:r w:rsidRPr="00590FEB">
              <w:rPr>
                <w:rFonts w:cs="Arial"/>
                <w:bCs/>
                <w:sz w:val="20"/>
                <w:szCs w:val="20"/>
              </w:rPr>
              <w:t xml:space="preserve">da </w:t>
            </w:r>
            <w:r>
              <w:rPr>
                <w:rFonts w:cs="Arial"/>
                <w:bCs/>
                <w:sz w:val="20"/>
                <w:szCs w:val="20"/>
              </w:rPr>
              <w:t xml:space="preserve">u </w:t>
            </w:r>
            <w:r w:rsidRPr="00590FEB">
              <w:rPr>
                <w:rFonts w:cs="Arial"/>
                <w:bCs/>
                <w:sz w:val="20"/>
                <w:szCs w:val="20"/>
              </w:rPr>
              <w:t>50% provedenih postupaka javne nabave bud</w:t>
            </w:r>
            <w:r>
              <w:rPr>
                <w:rFonts w:cs="Arial"/>
                <w:bCs/>
                <w:sz w:val="20"/>
                <w:szCs w:val="20"/>
              </w:rPr>
              <w:t>u</w:t>
            </w:r>
            <w:r w:rsidRPr="00590FEB">
              <w:rPr>
                <w:rFonts w:cs="Arial"/>
                <w:bCs/>
                <w:sz w:val="20"/>
                <w:szCs w:val="20"/>
              </w:rPr>
              <w:t xml:space="preserve"> prim</w:t>
            </w:r>
            <w:r w:rsidR="00C651D3">
              <w:rPr>
                <w:rFonts w:cs="Arial"/>
                <w:bCs/>
                <w:sz w:val="20"/>
                <w:szCs w:val="20"/>
              </w:rPr>
              <w:t>i</w:t>
            </w:r>
            <w:r w:rsidRPr="00590FEB">
              <w:rPr>
                <w:rFonts w:cs="Arial"/>
                <w:bCs/>
                <w:sz w:val="20"/>
                <w:szCs w:val="20"/>
              </w:rPr>
              <w:t>jen</w:t>
            </w:r>
            <w:r>
              <w:rPr>
                <w:rFonts w:cs="Arial"/>
                <w:bCs/>
                <w:sz w:val="20"/>
                <w:szCs w:val="20"/>
              </w:rPr>
              <w:t xml:space="preserve">jena </w:t>
            </w:r>
            <w:r w:rsidRPr="00590FEB">
              <w:rPr>
                <w:rFonts w:cs="Arial"/>
                <w:bCs/>
                <w:sz w:val="20"/>
                <w:szCs w:val="20"/>
              </w:rPr>
              <w:t>mjerila zelene javne nabave do 2020. godine</w:t>
            </w:r>
          </w:p>
        </w:tc>
      </w:tr>
      <w:tr w:rsidR="00EF73C6" w:rsidRPr="00DD7F26" w14:paraId="0A02A893"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3983A2A0" w14:textId="77777777" w:rsidR="00EF73C6" w:rsidRPr="00DD7F26" w:rsidRDefault="00EF73C6" w:rsidP="00223709">
            <w:pPr>
              <w:spacing w:before="0" w:after="0" w:line="240" w:lineRule="auto"/>
              <w:jc w:val="center"/>
              <w:rPr>
                <w:rFonts w:cs="Arial"/>
                <w:sz w:val="20"/>
                <w:szCs w:val="20"/>
              </w:rPr>
            </w:pPr>
            <w:r w:rsidRPr="00DD7F26">
              <w:rPr>
                <w:rFonts w:cs="Arial"/>
                <w:sz w:val="20"/>
                <w:szCs w:val="20"/>
              </w:rPr>
              <w:t>Komercijalni uslužni sektor</w:t>
            </w:r>
          </w:p>
        </w:tc>
      </w:tr>
      <w:tr w:rsidR="00EF73C6" w:rsidRPr="00EF5587" w14:paraId="6AEBAA3E"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2309B7B7" w14:textId="5EA4D0A5" w:rsidR="00EF73C6" w:rsidRPr="00EF5587" w:rsidRDefault="00EF73C6" w:rsidP="00EF73C6">
            <w:pPr>
              <w:pStyle w:val="Default"/>
              <w:jc w:val="both"/>
              <w:rPr>
                <w:sz w:val="20"/>
                <w:szCs w:val="20"/>
              </w:rPr>
            </w:pPr>
            <w:r w:rsidRPr="00EF5587">
              <w:rPr>
                <w:b w:val="0"/>
                <w:bCs w:val="0"/>
                <w:sz w:val="20"/>
                <w:szCs w:val="20"/>
              </w:rPr>
              <w:t xml:space="preserve">Povećanje energetske učinkovitosti i korištenja OIE u komercijalnom uslužnom sektoru (turizam i trgovina) </w:t>
            </w:r>
            <w:r w:rsidRPr="00736D7C">
              <w:rPr>
                <w:b w:val="0"/>
                <w:bCs w:val="0"/>
                <w:sz w:val="20"/>
                <w:szCs w:val="20"/>
              </w:rPr>
              <w:t>(B.4</w:t>
            </w:r>
            <w:r w:rsidR="00F976A8">
              <w:rPr>
                <w:b w:val="0"/>
                <w:bCs w:val="0"/>
                <w:sz w:val="20"/>
                <w:szCs w:val="20"/>
              </w:rPr>
              <w:t xml:space="preserve"> [</w:t>
            </w:r>
            <w:r w:rsidR="00B40103">
              <w:rPr>
                <w:b w:val="0"/>
                <w:bCs w:val="0"/>
                <w:sz w:val="20"/>
                <w:szCs w:val="20"/>
              </w:rPr>
              <w:t>14</w:t>
            </w:r>
            <w:r w:rsidR="00F976A8">
              <w:rPr>
                <w:b w:val="0"/>
                <w:bCs w:val="0"/>
                <w:sz w:val="20"/>
                <w:szCs w:val="20"/>
              </w:rPr>
              <w:t>]</w:t>
            </w:r>
            <w:r w:rsidRPr="00736D7C">
              <w:rPr>
                <w:b w:val="0"/>
                <w:bCs w:val="0"/>
                <w:sz w:val="20"/>
                <w:szCs w:val="20"/>
              </w:rPr>
              <w:t>; MEN-3</w:t>
            </w:r>
            <w:r w:rsidR="00F976A8">
              <w:rPr>
                <w:b w:val="0"/>
                <w:bCs w:val="0"/>
                <w:sz w:val="20"/>
                <w:szCs w:val="20"/>
              </w:rPr>
              <w:t xml:space="preserve"> </w:t>
            </w:r>
            <w:r w:rsidR="00436032">
              <w:rPr>
                <w:b w:val="0"/>
                <w:sz w:val="20"/>
              </w:rPr>
              <w:t>[</w:t>
            </w:r>
            <w:r w:rsidR="00436032">
              <w:rPr>
                <w:sz w:val="20"/>
              </w:rPr>
              <w:fldChar w:fldCharType="begin"/>
            </w:r>
            <w:r w:rsidR="00436032">
              <w:rPr>
                <w:b w:val="0"/>
                <w:sz w:val="20"/>
              </w:rPr>
              <w:instrText xml:space="preserve"> REF _Ref531604343 \r \h </w:instrText>
            </w:r>
            <w:r w:rsidR="00436032">
              <w:rPr>
                <w:sz w:val="20"/>
              </w:rPr>
            </w:r>
            <w:r w:rsidR="00436032">
              <w:rPr>
                <w:sz w:val="20"/>
              </w:rPr>
              <w:fldChar w:fldCharType="separate"/>
            </w:r>
            <w:r w:rsidR="00154150">
              <w:rPr>
                <w:b w:val="0"/>
                <w:sz w:val="20"/>
              </w:rPr>
              <w:t>1</w:t>
            </w:r>
            <w:r w:rsidR="00436032">
              <w:rPr>
                <w:sz w:val="20"/>
              </w:rPr>
              <w:fldChar w:fldCharType="end"/>
            </w:r>
            <w:r w:rsidR="00436032">
              <w:rPr>
                <w:b w:val="0"/>
                <w:sz w:val="20"/>
              </w:rPr>
              <w:t>]</w:t>
            </w:r>
            <w:r w:rsidRPr="00736D7C">
              <w:rPr>
                <w:b w:val="0"/>
                <w:bCs w:val="0"/>
                <w:sz w:val="20"/>
                <w:szCs w:val="20"/>
              </w:rPr>
              <w:t>)</w:t>
            </w:r>
          </w:p>
        </w:tc>
        <w:tc>
          <w:tcPr>
            <w:tcW w:w="1250" w:type="pct"/>
          </w:tcPr>
          <w:p w14:paraId="46D9B6AE" w14:textId="53D53DF1" w:rsidR="00EF73C6" w:rsidRPr="0031468F" w:rsidRDefault="00F425FE"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Financijska - </w:t>
            </w:r>
            <w:r w:rsidR="00EF73C6" w:rsidRPr="005A25C9">
              <w:rPr>
                <w:sz w:val="20"/>
                <w:szCs w:val="20"/>
              </w:rPr>
              <w:t>Bespovratna sredstva</w:t>
            </w:r>
          </w:p>
          <w:p w14:paraId="29420AD4"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Povoljni krediti</w:t>
            </w:r>
          </w:p>
          <w:p w14:paraId="65A623C8"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500" w:type="pct"/>
          </w:tcPr>
          <w:p w14:paraId="31B79569" w14:textId="656A6B85"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Raspoloživa sredstva iz EFRR prema OPKK su 300 milijuna kn (40 milijuna EUR)</w:t>
            </w:r>
            <w:r w:rsidR="0001214A">
              <w:rPr>
                <w:rFonts w:cs="Arial"/>
                <w:sz w:val="20"/>
                <w:szCs w:val="20"/>
              </w:rPr>
              <w:t xml:space="preserve">; dodijeljeno je </w:t>
            </w:r>
            <w:r w:rsidR="0036095C">
              <w:rPr>
                <w:rFonts w:cs="Arial"/>
                <w:sz w:val="20"/>
                <w:szCs w:val="20"/>
              </w:rPr>
              <w:t xml:space="preserve">oko 190 milijuna kuna za energetsku obnovu 77 zgrada; </w:t>
            </w:r>
            <w:r w:rsidRPr="005A25C9">
              <w:rPr>
                <w:rFonts w:cs="Arial"/>
                <w:sz w:val="20"/>
                <w:szCs w:val="20"/>
              </w:rPr>
              <w:t>predviđa se iskoriš</w:t>
            </w:r>
            <w:r w:rsidRPr="0031468F">
              <w:rPr>
                <w:rFonts w:cs="Arial"/>
                <w:sz w:val="20"/>
                <w:szCs w:val="20"/>
              </w:rPr>
              <w:t>tavanje ovih sredstava do kraja 2023. godine</w:t>
            </w:r>
          </w:p>
        </w:tc>
      </w:tr>
      <w:tr w:rsidR="00EF73C6" w:rsidRPr="00EF5587" w14:paraId="0640F353" w14:textId="77777777" w:rsidTr="0031468F">
        <w:tc>
          <w:tcPr>
            <w:cnfStyle w:val="001000000000" w:firstRow="0" w:lastRow="0" w:firstColumn="1" w:lastColumn="0" w:oddVBand="0" w:evenVBand="0" w:oddHBand="0" w:evenHBand="0" w:firstRowFirstColumn="0" w:firstRowLastColumn="0" w:lastRowFirstColumn="0" w:lastRowLastColumn="0"/>
            <w:tcW w:w="5000" w:type="pct"/>
            <w:gridSpan w:val="3"/>
          </w:tcPr>
          <w:p w14:paraId="6DEF0934" w14:textId="77777777" w:rsidR="00EF73C6" w:rsidRPr="00EF5587" w:rsidRDefault="00EF73C6" w:rsidP="00223709">
            <w:pPr>
              <w:spacing w:before="0" w:after="0" w:line="240" w:lineRule="auto"/>
              <w:jc w:val="center"/>
              <w:rPr>
                <w:rFonts w:cs="Arial"/>
                <w:sz w:val="20"/>
                <w:szCs w:val="20"/>
              </w:rPr>
            </w:pPr>
            <w:r w:rsidRPr="00EF5587">
              <w:rPr>
                <w:rFonts w:cs="Arial"/>
                <w:sz w:val="20"/>
                <w:szCs w:val="20"/>
              </w:rPr>
              <w:t>Industrija</w:t>
            </w:r>
          </w:p>
        </w:tc>
      </w:tr>
      <w:tr w:rsidR="00EF73C6" w:rsidRPr="00EF5587" w14:paraId="4AFF222F"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04C36C21" w14:textId="39DC72D8" w:rsidR="00EF73C6" w:rsidRPr="00EF5587" w:rsidRDefault="00EF73C6" w:rsidP="00EF73C6">
            <w:pPr>
              <w:pStyle w:val="Default"/>
              <w:jc w:val="both"/>
              <w:rPr>
                <w:sz w:val="20"/>
                <w:szCs w:val="20"/>
              </w:rPr>
            </w:pPr>
            <w:r w:rsidRPr="00EF5587">
              <w:rPr>
                <w:b w:val="0"/>
                <w:bCs w:val="0"/>
                <w:sz w:val="20"/>
                <w:szCs w:val="20"/>
              </w:rPr>
              <w:t xml:space="preserve">Povećanje energetske učinkovitosti i korištenja OIE u proizvodnim industrijama </w:t>
            </w:r>
            <w:r w:rsidRPr="00B73AF5">
              <w:rPr>
                <w:b w:val="0"/>
                <w:bCs w:val="0"/>
                <w:sz w:val="20"/>
                <w:szCs w:val="20"/>
              </w:rPr>
              <w:t>(I.2</w:t>
            </w:r>
            <w:r w:rsidR="00F976A8">
              <w:rPr>
                <w:b w:val="0"/>
                <w:bCs w:val="0"/>
                <w:sz w:val="20"/>
                <w:szCs w:val="20"/>
              </w:rPr>
              <w:t xml:space="preserve"> [</w:t>
            </w:r>
            <w:r w:rsidR="00B40103">
              <w:rPr>
                <w:b w:val="0"/>
                <w:bCs w:val="0"/>
                <w:sz w:val="20"/>
                <w:szCs w:val="20"/>
              </w:rPr>
              <w:t>14</w:t>
            </w:r>
            <w:r w:rsidR="00F976A8">
              <w:rPr>
                <w:b w:val="0"/>
                <w:bCs w:val="0"/>
                <w:sz w:val="20"/>
                <w:szCs w:val="20"/>
              </w:rPr>
              <w:t>]</w:t>
            </w:r>
            <w:r w:rsidRPr="00B73AF5">
              <w:rPr>
                <w:b w:val="0"/>
                <w:bCs w:val="0"/>
                <w:sz w:val="20"/>
                <w:szCs w:val="20"/>
              </w:rPr>
              <w:t>; MEN-17</w:t>
            </w:r>
            <w:r w:rsidR="00F976A8">
              <w:rPr>
                <w:b w:val="0"/>
                <w:bCs w:val="0"/>
                <w:sz w:val="20"/>
                <w:szCs w:val="20"/>
              </w:rPr>
              <w:t xml:space="preserve"> </w:t>
            </w:r>
            <w:r w:rsidR="00436032">
              <w:rPr>
                <w:b w:val="0"/>
                <w:sz w:val="20"/>
              </w:rPr>
              <w:t>[</w:t>
            </w:r>
            <w:r w:rsidR="00436032">
              <w:rPr>
                <w:sz w:val="20"/>
              </w:rPr>
              <w:fldChar w:fldCharType="begin"/>
            </w:r>
            <w:r w:rsidR="00436032">
              <w:rPr>
                <w:b w:val="0"/>
                <w:sz w:val="20"/>
              </w:rPr>
              <w:instrText xml:space="preserve"> REF _Ref531604343 \r \h </w:instrText>
            </w:r>
            <w:r w:rsidR="00436032">
              <w:rPr>
                <w:sz w:val="20"/>
              </w:rPr>
            </w:r>
            <w:r w:rsidR="00436032">
              <w:rPr>
                <w:sz w:val="20"/>
              </w:rPr>
              <w:fldChar w:fldCharType="separate"/>
            </w:r>
            <w:r w:rsidR="00154150">
              <w:rPr>
                <w:b w:val="0"/>
                <w:sz w:val="20"/>
              </w:rPr>
              <w:t>1</w:t>
            </w:r>
            <w:r w:rsidR="00436032">
              <w:rPr>
                <w:sz w:val="20"/>
              </w:rPr>
              <w:fldChar w:fldCharType="end"/>
            </w:r>
            <w:r w:rsidR="00436032">
              <w:rPr>
                <w:b w:val="0"/>
                <w:sz w:val="20"/>
              </w:rPr>
              <w:t>]</w:t>
            </w:r>
            <w:r w:rsidRPr="00B73AF5">
              <w:rPr>
                <w:b w:val="0"/>
                <w:bCs w:val="0"/>
                <w:sz w:val="20"/>
                <w:szCs w:val="20"/>
              </w:rPr>
              <w:t>)</w:t>
            </w:r>
          </w:p>
        </w:tc>
        <w:tc>
          <w:tcPr>
            <w:tcW w:w="1250" w:type="pct"/>
          </w:tcPr>
          <w:p w14:paraId="5817F193" w14:textId="0504D826" w:rsidR="00EF73C6" w:rsidRPr="0031468F" w:rsidRDefault="00F425FE"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Financijska </w:t>
            </w:r>
            <w:r w:rsidR="00E21655">
              <w:rPr>
                <w:sz w:val="20"/>
                <w:szCs w:val="20"/>
              </w:rPr>
              <w:t xml:space="preserve">- </w:t>
            </w:r>
            <w:r w:rsidR="00EF73C6" w:rsidRPr="005A25C9">
              <w:rPr>
                <w:sz w:val="20"/>
                <w:szCs w:val="20"/>
              </w:rPr>
              <w:t>Bespovratna sredstva</w:t>
            </w:r>
          </w:p>
          <w:p w14:paraId="299B6819"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Povoljni krediti</w:t>
            </w:r>
          </w:p>
          <w:p w14:paraId="49F55CCD"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500" w:type="pct"/>
          </w:tcPr>
          <w:p w14:paraId="64F5F684" w14:textId="5C96FFEA"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A25C9">
              <w:rPr>
                <w:rFonts w:cs="Arial"/>
                <w:sz w:val="20"/>
                <w:szCs w:val="20"/>
              </w:rPr>
              <w:t xml:space="preserve">Raspoloživa sredstva iz EFRR prema OPKK su 450 milijuna kn (60 milijuna EUR) – predviđa se iskorištavanje ovih sredstava do kraja 2023. godine; provedba mjere je započela javnim pozivom Ministarstva zaštite okoliša i energetike na temelju kojega je dodijeljeno oko </w:t>
            </w:r>
            <w:r w:rsidR="002A7CE4">
              <w:rPr>
                <w:rFonts w:cs="Arial"/>
                <w:sz w:val="20"/>
                <w:szCs w:val="20"/>
              </w:rPr>
              <w:t>303</w:t>
            </w:r>
            <w:r w:rsidR="002A7CE4" w:rsidRPr="005A25C9">
              <w:rPr>
                <w:rFonts w:cs="Arial"/>
                <w:sz w:val="20"/>
                <w:szCs w:val="20"/>
              </w:rPr>
              <w:t xml:space="preserve"> </w:t>
            </w:r>
            <w:r w:rsidRPr="005A25C9">
              <w:rPr>
                <w:rFonts w:cs="Arial"/>
                <w:sz w:val="20"/>
                <w:szCs w:val="20"/>
              </w:rPr>
              <w:t xml:space="preserve">milijuna kn za </w:t>
            </w:r>
            <w:r w:rsidR="002A7CE4">
              <w:rPr>
                <w:rFonts w:cs="Arial"/>
                <w:sz w:val="20"/>
                <w:szCs w:val="20"/>
              </w:rPr>
              <w:t>90</w:t>
            </w:r>
            <w:r w:rsidR="002A7CE4" w:rsidRPr="005A25C9">
              <w:rPr>
                <w:rFonts w:cs="Arial"/>
                <w:sz w:val="20"/>
                <w:szCs w:val="20"/>
              </w:rPr>
              <w:t xml:space="preserve"> </w:t>
            </w:r>
            <w:r w:rsidRPr="005A25C9">
              <w:rPr>
                <w:rFonts w:cs="Arial"/>
                <w:sz w:val="20"/>
                <w:szCs w:val="20"/>
              </w:rPr>
              <w:t xml:space="preserve">projekata </w:t>
            </w:r>
          </w:p>
        </w:tc>
      </w:tr>
      <w:tr w:rsidR="00EF73C6" w:rsidRPr="00EF5587" w14:paraId="3CAFF6CD"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8CF450F" w14:textId="6CDC04F5" w:rsidR="00EF73C6" w:rsidRPr="0069758D" w:rsidRDefault="00EF73C6" w:rsidP="00EF73C6">
            <w:pPr>
              <w:pStyle w:val="Default"/>
              <w:jc w:val="both"/>
              <w:rPr>
                <w:b w:val="0"/>
                <w:sz w:val="20"/>
                <w:szCs w:val="20"/>
              </w:rPr>
            </w:pPr>
            <w:r>
              <w:rPr>
                <w:b w:val="0"/>
                <w:sz w:val="20"/>
                <w:szCs w:val="20"/>
              </w:rPr>
              <w:t>Naknada</w:t>
            </w:r>
            <w:r w:rsidRPr="0069758D">
              <w:rPr>
                <w:b w:val="0"/>
                <w:sz w:val="20"/>
                <w:szCs w:val="20"/>
              </w:rPr>
              <w:t xml:space="preserve"> na emisiju CO</w:t>
            </w:r>
            <w:r w:rsidRPr="0069758D">
              <w:rPr>
                <w:b w:val="0"/>
                <w:sz w:val="20"/>
                <w:szCs w:val="20"/>
                <w:vertAlign w:val="subscript"/>
              </w:rPr>
              <w:t>2</w:t>
            </w:r>
            <w:r w:rsidRPr="0069758D">
              <w:rPr>
                <w:b w:val="0"/>
                <w:sz w:val="20"/>
                <w:szCs w:val="20"/>
              </w:rPr>
              <w:t xml:space="preserve"> za stacionarne izvore koji nisu u EU ETS-u (MEN-22</w:t>
            </w:r>
            <w:r w:rsidR="00F976A8">
              <w:rPr>
                <w:b w:val="0"/>
                <w:sz w:val="20"/>
                <w:szCs w:val="20"/>
              </w:rPr>
              <w:t xml:space="preserve"> </w:t>
            </w:r>
            <w:r w:rsidR="00436032">
              <w:rPr>
                <w:b w:val="0"/>
                <w:sz w:val="20"/>
              </w:rPr>
              <w:t>[</w:t>
            </w:r>
            <w:r w:rsidR="00436032">
              <w:rPr>
                <w:sz w:val="20"/>
              </w:rPr>
              <w:fldChar w:fldCharType="begin"/>
            </w:r>
            <w:r w:rsidR="00436032">
              <w:rPr>
                <w:b w:val="0"/>
                <w:sz w:val="20"/>
              </w:rPr>
              <w:instrText xml:space="preserve"> REF _Ref531604343 \r \h </w:instrText>
            </w:r>
            <w:r w:rsidR="00436032">
              <w:rPr>
                <w:sz w:val="20"/>
              </w:rPr>
            </w:r>
            <w:r w:rsidR="00436032">
              <w:rPr>
                <w:sz w:val="20"/>
              </w:rPr>
              <w:fldChar w:fldCharType="separate"/>
            </w:r>
            <w:r w:rsidR="00154150">
              <w:rPr>
                <w:b w:val="0"/>
                <w:sz w:val="20"/>
              </w:rPr>
              <w:t>1</w:t>
            </w:r>
            <w:r w:rsidR="00436032">
              <w:rPr>
                <w:sz w:val="20"/>
              </w:rPr>
              <w:fldChar w:fldCharType="end"/>
            </w:r>
            <w:r w:rsidR="00436032">
              <w:rPr>
                <w:b w:val="0"/>
                <w:sz w:val="20"/>
              </w:rPr>
              <w:t>]</w:t>
            </w:r>
            <w:r w:rsidRPr="0069758D">
              <w:rPr>
                <w:b w:val="0"/>
                <w:sz w:val="20"/>
                <w:szCs w:val="20"/>
              </w:rPr>
              <w:t>)</w:t>
            </w:r>
          </w:p>
        </w:tc>
        <w:tc>
          <w:tcPr>
            <w:tcW w:w="1250" w:type="pct"/>
          </w:tcPr>
          <w:p w14:paraId="02991E14" w14:textId="77777777" w:rsidR="00EF73C6" w:rsidRPr="0031468F" w:rsidRDefault="00EF73C6" w:rsidP="00EF73C6">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Porez</w:t>
            </w:r>
          </w:p>
        </w:tc>
        <w:tc>
          <w:tcPr>
            <w:tcW w:w="2500" w:type="pct"/>
          </w:tcPr>
          <w:p w14:paraId="47239FA2" w14:textId="77777777" w:rsidR="00EF73C6" w:rsidRPr="00EF5587" w:rsidRDefault="00EF73C6" w:rsidP="00EF73C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14876">
              <w:rPr>
                <w:rFonts w:cs="Arial"/>
                <w:bCs/>
                <w:sz w:val="20"/>
                <w:szCs w:val="20"/>
              </w:rPr>
              <w:t>Uredba o jediničnim naknadama, korektivnim koeficijentima i pobližim kriterijima i mjerilima za utvrđivanje naknade na emisiju u okoliš ugljikovog dioksida (NN 73/07, 48/09, 2/18) propisuje obvezu plaćanja naknade na emisiju CO</w:t>
            </w:r>
            <w:r w:rsidRPr="0001299F">
              <w:rPr>
                <w:rFonts w:cs="Arial"/>
                <w:bCs/>
                <w:sz w:val="20"/>
                <w:szCs w:val="20"/>
                <w:vertAlign w:val="subscript"/>
              </w:rPr>
              <w:t>2</w:t>
            </w:r>
            <w:r w:rsidRPr="00714876">
              <w:rPr>
                <w:rFonts w:cs="Arial"/>
                <w:bCs/>
                <w:sz w:val="20"/>
                <w:szCs w:val="20"/>
              </w:rPr>
              <w:t xml:space="preserve"> za sve stacionarne izvore koji emitiraju više od 450 tona CO</w:t>
            </w:r>
            <w:r w:rsidRPr="0001299F">
              <w:rPr>
                <w:rFonts w:cs="Arial"/>
                <w:bCs/>
                <w:sz w:val="20"/>
                <w:szCs w:val="20"/>
                <w:vertAlign w:val="subscript"/>
              </w:rPr>
              <w:t>2</w:t>
            </w:r>
            <w:r w:rsidRPr="00714876">
              <w:rPr>
                <w:rFonts w:cs="Arial"/>
                <w:bCs/>
                <w:sz w:val="20"/>
                <w:szCs w:val="20"/>
              </w:rPr>
              <w:t xml:space="preserve"> godišnje. Obveznicima plaćanja naknada koji ulažu u </w:t>
            </w:r>
            <w:r>
              <w:rPr>
                <w:rFonts w:cs="Arial"/>
                <w:bCs/>
                <w:sz w:val="20"/>
                <w:szCs w:val="20"/>
              </w:rPr>
              <w:t>EnU</w:t>
            </w:r>
            <w:r w:rsidRPr="00714876">
              <w:rPr>
                <w:rFonts w:cs="Arial"/>
                <w:bCs/>
                <w:sz w:val="20"/>
                <w:szCs w:val="20"/>
              </w:rPr>
              <w:t xml:space="preserve">, </w:t>
            </w:r>
            <w:r>
              <w:rPr>
                <w:rFonts w:cs="Arial"/>
                <w:bCs/>
                <w:sz w:val="20"/>
                <w:szCs w:val="20"/>
              </w:rPr>
              <w:t xml:space="preserve">OIE </w:t>
            </w:r>
            <w:r w:rsidRPr="00714876">
              <w:rPr>
                <w:rFonts w:cs="Arial"/>
                <w:bCs/>
                <w:sz w:val="20"/>
                <w:szCs w:val="20"/>
              </w:rPr>
              <w:t>i druge mjere za smanjenje emisije CO</w:t>
            </w:r>
            <w:r w:rsidRPr="0001299F">
              <w:rPr>
                <w:rFonts w:cs="Arial"/>
                <w:bCs/>
                <w:sz w:val="20"/>
                <w:szCs w:val="20"/>
                <w:vertAlign w:val="subscript"/>
              </w:rPr>
              <w:t>2</w:t>
            </w:r>
            <w:r w:rsidRPr="00714876">
              <w:rPr>
                <w:rFonts w:cs="Arial"/>
                <w:bCs/>
                <w:sz w:val="20"/>
                <w:szCs w:val="20"/>
              </w:rPr>
              <w:t xml:space="preserve"> i ostalih emisija stakleničkih plinova naplaćuje se niža naknada.</w:t>
            </w:r>
          </w:p>
        </w:tc>
      </w:tr>
    </w:tbl>
    <w:p w14:paraId="0CCA1929" w14:textId="6EB2BF72" w:rsidR="00060359" w:rsidRDefault="00F74B73" w:rsidP="00A238EB">
      <w:pPr>
        <w:pStyle w:val="Caption"/>
        <w:tabs>
          <w:tab w:val="clear" w:pos="1021"/>
          <w:tab w:val="left" w:pos="0"/>
        </w:tabs>
        <w:ind w:left="0" w:firstLine="0"/>
        <w:jc w:val="both"/>
      </w:pPr>
      <w:r w:rsidRPr="00890AE8">
        <w:rPr>
          <w:b w:val="0"/>
          <w:sz w:val="22"/>
          <w:szCs w:val="22"/>
        </w:rPr>
        <w:t>Uz gore navedene mjere, u postojećim dokumentima definiran</w:t>
      </w:r>
      <w:r w:rsidR="006639E3" w:rsidRPr="00890AE8">
        <w:rPr>
          <w:b w:val="0"/>
          <w:sz w:val="22"/>
          <w:szCs w:val="22"/>
        </w:rPr>
        <w:t xml:space="preserve"> je i niz mjera informativno-</w:t>
      </w:r>
      <w:r w:rsidR="00B4224E">
        <w:rPr>
          <w:b w:val="0"/>
          <w:sz w:val="22"/>
          <w:szCs w:val="22"/>
        </w:rPr>
        <w:t>edukativnog</w:t>
      </w:r>
      <w:r w:rsidR="00B4224E" w:rsidRPr="00890AE8">
        <w:rPr>
          <w:b w:val="0"/>
          <w:sz w:val="22"/>
          <w:szCs w:val="22"/>
        </w:rPr>
        <w:t xml:space="preserve"> </w:t>
      </w:r>
      <w:r w:rsidR="006639E3" w:rsidRPr="00890AE8">
        <w:rPr>
          <w:b w:val="0"/>
          <w:sz w:val="22"/>
          <w:szCs w:val="22"/>
        </w:rPr>
        <w:t xml:space="preserve">karaktera, koje </w:t>
      </w:r>
      <w:r w:rsidR="005977A5" w:rsidRPr="00890AE8">
        <w:rPr>
          <w:b w:val="0"/>
          <w:sz w:val="22"/>
          <w:szCs w:val="22"/>
        </w:rPr>
        <w:t>prikazuje</w:t>
      </w:r>
      <w:r w:rsidR="005977A5">
        <w:t xml:space="preserve"> </w:t>
      </w:r>
      <w:r w:rsidR="005977A5" w:rsidRPr="00CF2D4C">
        <w:rPr>
          <w:b w:val="0"/>
          <w:sz w:val="22"/>
          <w:szCs w:val="22"/>
        </w:rPr>
        <w:fldChar w:fldCharType="begin"/>
      </w:r>
      <w:r w:rsidR="005977A5" w:rsidRPr="00CF2D4C">
        <w:rPr>
          <w:b w:val="0"/>
          <w:sz w:val="22"/>
          <w:szCs w:val="22"/>
        </w:rPr>
        <w:instrText xml:space="preserve"> REF _Ref530993158 \h </w:instrText>
      </w:r>
      <w:r w:rsidR="00B40E8D" w:rsidRPr="00CF2D4C">
        <w:rPr>
          <w:b w:val="0"/>
          <w:sz w:val="22"/>
          <w:szCs w:val="22"/>
        </w:rPr>
        <w:instrText xml:space="preserve"> \* MERGEFORMAT </w:instrText>
      </w:r>
      <w:r w:rsidR="005977A5" w:rsidRPr="00CF2D4C">
        <w:rPr>
          <w:b w:val="0"/>
          <w:sz w:val="22"/>
          <w:szCs w:val="22"/>
        </w:rPr>
      </w:r>
      <w:r w:rsidR="005977A5" w:rsidRPr="00CF2D4C">
        <w:rPr>
          <w:b w:val="0"/>
          <w:sz w:val="22"/>
          <w:szCs w:val="22"/>
        </w:rPr>
        <w:fldChar w:fldCharType="separate"/>
      </w:r>
      <w:r w:rsidR="00154150" w:rsidRPr="00154150">
        <w:rPr>
          <w:b w:val="0"/>
          <w:sz w:val="22"/>
          <w:szCs w:val="22"/>
        </w:rPr>
        <w:t>Tablica 1</w:t>
      </w:r>
      <w:r w:rsidR="00154150">
        <w:t>–</w:t>
      </w:r>
      <w:r w:rsidR="00154150">
        <w:rPr>
          <w:noProof/>
        </w:rPr>
        <w:t>7</w:t>
      </w:r>
      <w:r w:rsidR="005977A5" w:rsidRPr="00CF2D4C">
        <w:rPr>
          <w:b w:val="0"/>
          <w:sz w:val="22"/>
          <w:szCs w:val="22"/>
        </w:rPr>
        <w:fldChar w:fldCharType="end"/>
      </w:r>
      <w:r w:rsidRPr="00CF2D4C">
        <w:rPr>
          <w:b w:val="0"/>
          <w:sz w:val="22"/>
          <w:szCs w:val="22"/>
        </w:rPr>
        <w:t>.</w:t>
      </w:r>
    </w:p>
    <w:p w14:paraId="06525AF2" w14:textId="06C133CC" w:rsidR="005977A5" w:rsidRPr="00F149EB" w:rsidRDefault="005977A5" w:rsidP="005977A5">
      <w:pPr>
        <w:pStyle w:val="Caption"/>
      </w:pPr>
      <w:bookmarkStart w:id="89" w:name="_Ref530993158"/>
      <w:bookmarkStart w:id="90" w:name="_Toc27396199"/>
      <w:r w:rsidRPr="00F149EB">
        <w:t xml:space="preserve">Tablica </w:t>
      </w:r>
      <w:fldSimple w:instr=" STYLEREF 1 \s ">
        <w:r w:rsidR="00154150">
          <w:rPr>
            <w:noProof/>
          </w:rPr>
          <w:t>1</w:t>
        </w:r>
      </w:fldSimple>
      <w:r w:rsidR="00562DF0">
        <w:t>–</w:t>
      </w:r>
      <w:fldSimple w:instr=" SEQ Tablica \* ARABIC \s 1 ">
        <w:r w:rsidR="00154150">
          <w:rPr>
            <w:noProof/>
          </w:rPr>
          <w:t>7</w:t>
        </w:r>
      </w:fldSimple>
      <w:bookmarkEnd w:id="89"/>
      <w:r w:rsidR="00210967">
        <w:t>.</w:t>
      </w:r>
      <w:r w:rsidR="00A87274">
        <w:t xml:space="preserve"> </w:t>
      </w:r>
      <w:r>
        <w:t>Pregled postojećih međusektorskih mjera energetske učinkovitosti</w:t>
      </w:r>
      <w:bookmarkEnd w:id="90"/>
      <w:r>
        <w:t xml:space="preserve"> </w:t>
      </w:r>
    </w:p>
    <w:tbl>
      <w:tblPr>
        <w:tblStyle w:val="Svijetlatablicareetke11"/>
        <w:tblW w:w="5000" w:type="pct"/>
        <w:tblLook w:val="04A0" w:firstRow="1" w:lastRow="0" w:firstColumn="1" w:lastColumn="0" w:noHBand="0" w:noVBand="1"/>
      </w:tblPr>
      <w:tblGrid>
        <w:gridCol w:w="2261"/>
        <w:gridCol w:w="2269"/>
        <w:gridCol w:w="4530"/>
      </w:tblGrid>
      <w:tr w:rsidR="00FF5ED3" w:rsidRPr="00EF5587" w14:paraId="24E3B562"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38BFB0D1" w14:textId="77777777" w:rsidR="00FF5ED3" w:rsidRPr="00EF5587" w:rsidRDefault="00FF5ED3" w:rsidP="00E00C7D">
            <w:pPr>
              <w:spacing w:before="0" w:after="0" w:line="240" w:lineRule="auto"/>
              <w:rPr>
                <w:rFonts w:cs="Arial"/>
                <w:sz w:val="20"/>
                <w:szCs w:val="20"/>
              </w:rPr>
            </w:pPr>
            <w:r w:rsidRPr="00EF5587">
              <w:rPr>
                <w:rFonts w:cs="Arial"/>
                <w:sz w:val="20"/>
                <w:szCs w:val="20"/>
              </w:rPr>
              <w:t>Naziv mjere</w:t>
            </w:r>
          </w:p>
        </w:tc>
        <w:tc>
          <w:tcPr>
            <w:tcW w:w="0" w:type="pct"/>
            <w:shd w:val="clear" w:color="auto" w:fill="DEEAF6" w:themeFill="accent1" w:themeFillTint="33"/>
          </w:tcPr>
          <w:p w14:paraId="2CEF0B95" w14:textId="327D3CAA" w:rsidR="00FF5ED3" w:rsidRPr="00EF5587" w:rsidRDefault="00FF5ED3" w:rsidP="00E00C7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Kategorija</w:t>
            </w:r>
            <w:r w:rsidR="00E21655">
              <w:rPr>
                <w:rFonts w:cs="Arial"/>
                <w:sz w:val="20"/>
                <w:szCs w:val="20"/>
              </w:rPr>
              <w:t xml:space="preserve"> mjere </w:t>
            </w:r>
          </w:p>
        </w:tc>
        <w:tc>
          <w:tcPr>
            <w:tcW w:w="0" w:type="pct"/>
            <w:shd w:val="clear" w:color="auto" w:fill="DEEAF6" w:themeFill="accent1" w:themeFillTint="33"/>
          </w:tcPr>
          <w:p w14:paraId="699C1BCF" w14:textId="77777777" w:rsidR="00FF5ED3" w:rsidRPr="00EF5587" w:rsidRDefault="00FF5ED3" w:rsidP="00E00C7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FF5ED3" w:rsidRPr="002003B1" w14:paraId="190DDD07"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4EB23AA1" w14:textId="295CA6E7" w:rsidR="00FF5ED3" w:rsidRPr="004D46C4" w:rsidRDefault="00C60769" w:rsidP="00E00C7D">
            <w:pPr>
              <w:pStyle w:val="Default"/>
              <w:rPr>
                <w:b w:val="0"/>
                <w:sz w:val="20"/>
                <w:szCs w:val="20"/>
              </w:rPr>
            </w:pPr>
            <w:r w:rsidRPr="00C60769">
              <w:rPr>
                <w:b w:val="0"/>
                <w:sz w:val="20"/>
                <w:szCs w:val="20"/>
              </w:rPr>
              <w:t xml:space="preserve">Program poticanja gradnje novih i obnavljanja postojećih zgrada do standarda </w:t>
            </w:r>
            <w:r w:rsidRPr="00C60769">
              <w:rPr>
                <w:b w:val="0"/>
                <w:sz w:val="20"/>
                <w:szCs w:val="20"/>
              </w:rPr>
              <w:lastRenderedPageBreak/>
              <w:t xml:space="preserve">gotovo nulte energije </w:t>
            </w:r>
            <w:r w:rsidR="00FF5ED3" w:rsidRPr="004D46C4">
              <w:rPr>
                <w:b w:val="0"/>
                <w:sz w:val="20"/>
                <w:szCs w:val="20"/>
              </w:rPr>
              <w:t>(B.2</w:t>
            </w:r>
            <w:r w:rsidR="006C7BAA">
              <w:rPr>
                <w:b w:val="0"/>
                <w:sz w:val="20"/>
                <w:szCs w:val="20"/>
              </w:rPr>
              <w:t xml:space="preserve"> [</w:t>
            </w:r>
            <w:r w:rsidR="003C38E3">
              <w:rPr>
                <w:b w:val="0"/>
                <w:sz w:val="20"/>
                <w:szCs w:val="20"/>
              </w:rPr>
              <w:t>14</w:t>
            </w:r>
            <w:r w:rsidR="006C7BAA">
              <w:rPr>
                <w:b w:val="0"/>
                <w:sz w:val="20"/>
                <w:szCs w:val="20"/>
              </w:rPr>
              <w:t>]</w:t>
            </w:r>
            <w:r w:rsidR="00FF5ED3" w:rsidRPr="004D46C4">
              <w:rPr>
                <w:b w:val="0"/>
                <w:sz w:val="20"/>
                <w:szCs w:val="20"/>
              </w:rPr>
              <w:t>; MEN-1</w:t>
            </w:r>
            <w:r w:rsidR="006C7BAA">
              <w:rPr>
                <w:b w:val="0"/>
                <w:sz w:val="20"/>
                <w:szCs w:val="20"/>
              </w:rPr>
              <w:t xml:space="preserve"> [</w:t>
            </w:r>
            <w:r w:rsidR="008E3990">
              <w:rPr>
                <w:b w:val="0"/>
                <w:sz w:val="20"/>
                <w:szCs w:val="20"/>
              </w:rPr>
              <w:t>9</w:t>
            </w:r>
            <w:r w:rsidR="006C7BAA">
              <w:rPr>
                <w:b w:val="0"/>
                <w:sz w:val="20"/>
                <w:szCs w:val="20"/>
              </w:rPr>
              <w:t>]</w:t>
            </w:r>
            <w:r w:rsidR="00FF5ED3" w:rsidRPr="004D46C4">
              <w:rPr>
                <w:b w:val="0"/>
                <w:sz w:val="20"/>
                <w:szCs w:val="20"/>
              </w:rPr>
              <w:t>)</w:t>
            </w:r>
          </w:p>
        </w:tc>
        <w:tc>
          <w:tcPr>
            <w:tcW w:w="1252" w:type="pct"/>
          </w:tcPr>
          <w:p w14:paraId="26801E03" w14:textId="5CB02DE2" w:rsidR="00FF5ED3" w:rsidRPr="00EF5587" w:rsidRDefault="00E21655"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64E80">
              <w:rPr>
                <w:rFonts w:cs="Arial"/>
                <w:sz w:val="20"/>
                <w:szCs w:val="20"/>
              </w:rPr>
              <w:lastRenderedPageBreak/>
              <w:t>Informacijsk</w:t>
            </w:r>
            <w:r>
              <w:rPr>
                <w:rFonts w:cs="Arial"/>
                <w:sz w:val="20"/>
                <w:szCs w:val="20"/>
              </w:rPr>
              <w:t>a</w:t>
            </w:r>
            <w:r w:rsidRPr="00364E80">
              <w:rPr>
                <w:rFonts w:cs="Arial"/>
                <w:sz w:val="20"/>
                <w:szCs w:val="20"/>
              </w:rPr>
              <w:t xml:space="preserve"> </w:t>
            </w:r>
          </w:p>
        </w:tc>
        <w:tc>
          <w:tcPr>
            <w:tcW w:w="2500" w:type="pct"/>
          </w:tcPr>
          <w:p w14:paraId="1C0C25AB" w14:textId="77777777" w:rsidR="00FF5ED3" w:rsidRPr="00EF5587" w:rsidRDefault="00FF5ED3" w:rsidP="00E00C7D">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Ova mjera podupire zakonsku obvezu te podrazumijeva obrazovanje i informiranje kako sudionika u gradnji tako i opće javnosti o nZEB standardu gradnje i obnove</w:t>
            </w:r>
          </w:p>
        </w:tc>
      </w:tr>
      <w:tr w:rsidR="00FF5ED3" w:rsidRPr="002003B1" w14:paraId="56B28639"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43E50918" w14:textId="55F692AD" w:rsidR="00FF5ED3" w:rsidRPr="00407817" w:rsidRDefault="00FF5ED3" w:rsidP="00E00C7D">
            <w:pPr>
              <w:pStyle w:val="Default"/>
              <w:rPr>
                <w:b w:val="0"/>
                <w:sz w:val="20"/>
                <w:szCs w:val="20"/>
              </w:rPr>
            </w:pPr>
            <w:r w:rsidRPr="008A7688">
              <w:rPr>
                <w:b w:val="0"/>
                <w:sz w:val="20"/>
                <w:szCs w:val="20"/>
              </w:rPr>
              <w:t>Informativni računi</w:t>
            </w:r>
            <w:r>
              <w:rPr>
                <w:b w:val="0"/>
                <w:sz w:val="20"/>
                <w:szCs w:val="20"/>
              </w:rPr>
              <w:t xml:space="preserve"> (H.1</w:t>
            </w:r>
            <w:r w:rsidR="006C7BAA">
              <w:rPr>
                <w:b w:val="0"/>
                <w:sz w:val="20"/>
                <w:szCs w:val="20"/>
              </w:rPr>
              <w:t xml:space="preserve"> [</w:t>
            </w:r>
            <w:r w:rsidR="003C38E3">
              <w:rPr>
                <w:b w:val="0"/>
                <w:sz w:val="20"/>
                <w:szCs w:val="20"/>
              </w:rPr>
              <w:t>14</w:t>
            </w:r>
            <w:r w:rsidR="006C7BAA">
              <w:rPr>
                <w:b w:val="0"/>
                <w:sz w:val="20"/>
                <w:szCs w:val="20"/>
              </w:rPr>
              <w:t>]</w:t>
            </w:r>
            <w:r>
              <w:rPr>
                <w:b w:val="0"/>
                <w:sz w:val="20"/>
                <w:szCs w:val="20"/>
              </w:rPr>
              <w:t>; MEN-7</w:t>
            </w:r>
            <w:r w:rsidR="006C7BAA">
              <w:rPr>
                <w:b w:val="0"/>
                <w:sz w:val="20"/>
                <w:szCs w:val="20"/>
              </w:rPr>
              <w:t xml:space="preserve"> [</w:t>
            </w:r>
            <w:r w:rsidR="008E3990">
              <w:rPr>
                <w:b w:val="0"/>
                <w:sz w:val="20"/>
                <w:szCs w:val="20"/>
              </w:rPr>
              <w:t>9</w:t>
            </w:r>
            <w:r w:rsidR="006C7BAA">
              <w:rPr>
                <w:b w:val="0"/>
                <w:sz w:val="20"/>
                <w:szCs w:val="20"/>
              </w:rPr>
              <w:t>]</w:t>
            </w:r>
            <w:r>
              <w:rPr>
                <w:b w:val="0"/>
                <w:sz w:val="20"/>
                <w:szCs w:val="20"/>
              </w:rPr>
              <w:t>)</w:t>
            </w:r>
          </w:p>
        </w:tc>
        <w:tc>
          <w:tcPr>
            <w:tcW w:w="1252" w:type="pct"/>
          </w:tcPr>
          <w:p w14:paraId="449AB65C" w14:textId="334B1BD9" w:rsidR="00FF5ED3" w:rsidRDefault="00E21655"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Regulatorna </w:t>
            </w:r>
          </w:p>
          <w:p w14:paraId="7E52BCB0" w14:textId="125509FD" w:rsidR="00FF5ED3" w:rsidRPr="00E76553" w:rsidRDefault="00E21655"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Informacijska </w:t>
            </w:r>
          </w:p>
        </w:tc>
        <w:tc>
          <w:tcPr>
            <w:tcW w:w="2500" w:type="pct"/>
          </w:tcPr>
          <w:p w14:paraId="471DA0E7" w14:textId="77777777" w:rsidR="00FF5ED3" w:rsidRPr="0031468F"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 xml:space="preserve">Obveze opskrbljivača o mjerenju i obračunavanju potrošnje </w:t>
            </w:r>
            <w:r w:rsidRPr="00A4765B">
              <w:rPr>
                <w:sz w:val="20"/>
                <w:szCs w:val="20"/>
              </w:rPr>
              <w:t>te informiranju kupaca o prethodnoj potrošnji, što</w:t>
            </w:r>
            <w:r w:rsidRPr="0031468F">
              <w:rPr>
                <w:sz w:val="20"/>
                <w:szCs w:val="20"/>
              </w:rPr>
              <w:t xml:space="preserve"> obuhvaća usporedbu s prosječnim uobičajenim ili referentnim krajnjim kupcem iz iste kategorije krajnjih kupaca opskrbljivača</w:t>
            </w:r>
          </w:p>
        </w:tc>
      </w:tr>
      <w:tr w:rsidR="00FF5ED3" w:rsidRPr="002003B1" w14:paraId="3D6C65E3"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19D41D6A" w14:textId="66BC5907" w:rsidR="00FF5ED3" w:rsidRPr="001E0E25" w:rsidRDefault="00FF5ED3" w:rsidP="00E00C7D">
            <w:pPr>
              <w:pStyle w:val="Default"/>
              <w:rPr>
                <w:b w:val="0"/>
                <w:sz w:val="20"/>
                <w:szCs w:val="20"/>
              </w:rPr>
            </w:pPr>
            <w:r w:rsidRPr="001E0E25">
              <w:rPr>
                <w:b w:val="0"/>
                <w:sz w:val="20"/>
                <w:szCs w:val="20"/>
              </w:rPr>
              <w:t>Info kampanje i promocija energetskih usluga (H.2</w:t>
            </w:r>
            <w:r w:rsidR="006C7BAA">
              <w:rPr>
                <w:b w:val="0"/>
                <w:sz w:val="20"/>
                <w:szCs w:val="20"/>
              </w:rPr>
              <w:t xml:space="preserve"> [</w:t>
            </w:r>
            <w:r w:rsidR="003C38E3">
              <w:rPr>
                <w:b w:val="0"/>
                <w:sz w:val="20"/>
                <w:szCs w:val="20"/>
              </w:rPr>
              <w:t>14</w:t>
            </w:r>
            <w:r w:rsidR="006C7BAA">
              <w:rPr>
                <w:b w:val="0"/>
                <w:sz w:val="20"/>
                <w:szCs w:val="20"/>
              </w:rPr>
              <w:t>]</w:t>
            </w:r>
            <w:r w:rsidRPr="001E0E25">
              <w:rPr>
                <w:b w:val="0"/>
                <w:sz w:val="20"/>
                <w:szCs w:val="20"/>
              </w:rPr>
              <w:t>; MEN-10</w:t>
            </w:r>
            <w:r w:rsidR="006C7BAA">
              <w:rPr>
                <w:b w:val="0"/>
                <w:sz w:val="20"/>
                <w:szCs w:val="20"/>
              </w:rPr>
              <w:t xml:space="preserve"> [</w:t>
            </w:r>
            <w:r w:rsidR="008E3990">
              <w:rPr>
                <w:b w:val="0"/>
                <w:sz w:val="20"/>
                <w:szCs w:val="20"/>
              </w:rPr>
              <w:t>9</w:t>
            </w:r>
            <w:r w:rsidR="006C7BAA">
              <w:rPr>
                <w:b w:val="0"/>
                <w:sz w:val="20"/>
                <w:szCs w:val="20"/>
              </w:rPr>
              <w:t>]</w:t>
            </w:r>
            <w:r w:rsidRPr="001E0E25">
              <w:rPr>
                <w:b w:val="0"/>
                <w:sz w:val="20"/>
                <w:szCs w:val="20"/>
              </w:rPr>
              <w:t>)</w:t>
            </w:r>
          </w:p>
        </w:tc>
        <w:tc>
          <w:tcPr>
            <w:tcW w:w="1252" w:type="pct"/>
          </w:tcPr>
          <w:p w14:paraId="797923C7" w14:textId="1F5E5F34" w:rsidR="00FF5ED3" w:rsidRPr="00EF5587" w:rsidRDefault="00E21655" w:rsidP="00E00C7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76553">
              <w:rPr>
                <w:rFonts w:cs="Arial"/>
                <w:sz w:val="20"/>
                <w:szCs w:val="20"/>
              </w:rPr>
              <w:t>Informacijsk</w:t>
            </w:r>
            <w:r>
              <w:rPr>
                <w:rFonts w:cs="Arial"/>
                <w:sz w:val="20"/>
                <w:szCs w:val="20"/>
              </w:rPr>
              <w:t>a</w:t>
            </w:r>
            <w:r w:rsidRPr="00E76553">
              <w:rPr>
                <w:rFonts w:cs="Arial"/>
                <w:sz w:val="20"/>
                <w:szCs w:val="20"/>
              </w:rPr>
              <w:t xml:space="preserve"> </w:t>
            </w:r>
          </w:p>
        </w:tc>
        <w:tc>
          <w:tcPr>
            <w:tcW w:w="2500" w:type="pct"/>
          </w:tcPr>
          <w:p w14:paraId="375E72F1" w14:textId="77777777" w:rsidR="00FF5ED3" w:rsidRPr="005A25C9"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Provedba ciljanih promotivnih kampanja vezanih dominantno uz programe sufinanciranja energetske obnove zgrada te promocija energetskih usluga putem nacionalnog portala energetske učinkovitosti</w:t>
            </w:r>
          </w:p>
        </w:tc>
      </w:tr>
      <w:tr w:rsidR="00FF5ED3" w:rsidRPr="002003B1" w14:paraId="2D319E79"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028D833F" w14:textId="2F224F48" w:rsidR="00FF5ED3" w:rsidRPr="001E0E25" w:rsidRDefault="00FF5ED3" w:rsidP="00E00C7D">
            <w:pPr>
              <w:pStyle w:val="Default"/>
              <w:rPr>
                <w:b w:val="0"/>
                <w:sz w:val="20"/>
                <w:szCs w:val="20"/>
              </w:rPr>
            </w:pPr>
            <w:r w:rsidRPr="001E0E25">
              <w:rPr>
                <w:b w:val="0"/>
                <w:sz w:val="20"/>
                <w:szCs w:val="20"/>
              </w:rPr>
              <w:t>Obrazovanje u području EnU (H.4</w:t>
            </w:r>
            <w:r w:rsidR="006C7BAA">
              <w:rPr>
                <w:b w:val="0"/>
                <w:sz w:val="20"/>
                <w:szCs w:val="20"/>
              </w:rPr>
              <w:t xml:space="preserve"> [</w:t>
            </w:r>
            <w:r w:rsidR="003C38E3">
              <w:rPr>
                <w:b w:val="0"/>
                <w:sz w:val="20"/>
                <w:szCs w:val="20"/>
              </w:rPr>
              <w:t>14</w:t>
            </w:r>
            <w:r w:rsidR="006C7BAA">
              <w:rPr>
                <w:b w:val="0"/>
                <w:sz w:val="20"/>
                <w:szCs w:val="20"/>
              </w:rPr>
              <w:t>]</w:t>
            </w:r>
            <w:r w:rsidRPr="001E0E25">
              <w:rPr>
                <w:b w:val="0"/>
                <w:sz w:val="20"/>
                <w:szCs w:val="20"/>
              </w:rPr>
              <w:t>; MEN-12</w:t>
            </w:r>
            <w:r w:rsidR="006C7BAA">
              <w:rPr>
                <w:b w:val="0"/>
                <w:sz w:val="20"/>
                <w:szCs w:val="20"/>
              </w:rPr>
              <w:t xml:space="preserve"> [</w:t>
            </w:r>
            <w:r w:rsidR="008E3990">
              <w:rPr>
                <w:b w:val="0"/>
                <w:sz w:val="20"/>
                <w:szCs w:val="20"/>
              </w:rPr>
              <w:t>9</w:t>
            </w:r>
            <w:r w:rsidR="006C7BAA">
              <w:rPr>
                <w:b w:val="0"/>
                <w:sz w:val="20"/>
                <w:szCs w:val="20"/>
              </w:rPr>
              <w:t>]</w:t>
            </w:r>
            <w:r w:rsidRPr="001E0E25">
              <w:rPr>
                <w:b w:val="0"/>
                <w:sz w:val="20"/>
                <w:szCs w:val="20"/>
              </w:rPr>
              <w:t>)</w:t>
            </w:r>
          </w:p>
        </w:tc>
        <w:tc>
          <w:tcPr>
            <w:tcW w:w="1252" w:type="pct"/>
          </w:tcPr>
          <w:p w14:paraId="09F0A9D5" w14:textId="39757D63" w:rsidR="00FF5ED3" w:rsidRPr="005A25C9" w:rsidRDefault="00E21655"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Obrazovn</w:t>
            </w:r>
            <w:r>
              <w:rPr>
                <w:sz w:val="20"/>
                <w:szCs w:val="20"/>
              </w:rPr>
              <w:t>a</w:t>
            </w:r>
            <w:r w:rsidRPr="005A25C9">
              <w:rPr>
                <w:sz w:val="20"/>
                <w:szCs w:val="20"/>
              </w:rPr>
              <w:t xml:space="preserve"> </w:t>
            </w:r>
          </w:p>
        </w:tc>
        <w:tc>
          <w:tcPr>
            <w:tcW w:w="2500" w:type="pct"/>
          </w:tcPr>
          <w:p w14:paraId="70B00EB8" w14:textId="77777777" w:rsidR="00FF5ED3" w:rsidRPr="0031468F"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Uspostava sustava certifikacije i cjeloživotnog učenja građevinskih radnika u području energetske učinkovitosti </w:t>
            </w:r>
          </w:p>
        </w:tc>
      </w:tr>
      <w:tr w:rsidR="00FF5ED3" w:rsidRPr="002003B1" w14:paraId="56546DE0" w14:textId="77777777" w:rsidTr="006C7BAA">
        <w:tc>
          <w:tcPr>
            <w:cnfStyle w:val="001000000000" w:firstRow="0" w:lastRow="0" w:firstColumn="1" w:lastColumn="0" w:oddVBand="0" w:evenVBand="0" w:oddHBand="0" w:evenHBand="0" w:firstRowFirstColumn="0" w:firstRowLastColumn="0" w:lastRowFirstColumn="0" w:lastRowLastColumn="0"/>
            <w:tcW w:w="1248" w:type="pct"/>
          </w:tcPr>
          <w:p w14:paraId="63995967" w14:textId="2A3E70BB" w:rsidR="00FF5ED3" w:rsidRPr="005814C1" w:rsidRDefault="00FF5ED3" w:rsidP="00E00C7D">
            <w:pPr>
              <w:pStyle w:val="Default"/>
              <w:rPr>
                <w:b w:val="0"/>
                <w:sz w:val="20"/>
                <w:szCs w:val="20"/>
              </w:rPr>
            </w:pPr>
            <w:r w:rsidRPr="005814C1">
              <w:rPr>
                <w:b w:val="0"/>
                <w:sz w:val="20"/>
                <w:szCs w:val="20"/>
              </w:rPr>
              <w:t>Integrirani informacijski sustav za praćenje EnU (H.6</w:t>
            </w:r>
            <w:r w:rsidR="006C7BAA">
              <w:rPr>
                <w:b w:val="0"/>
                <w:sz w:val="20"/>
                <w:szCs w:val="20"/>
              </w:rPr>
              <w:t xml:space="preserve"> [</w:t>
            </w:r>
            <w:r w:rsidR="003C38E3">
              <w:rPr>
                <w:b w:val="0"/>
                <w:sz w:val="20"/>
                <w:szCs w:val="20"/>
              </w:rPr>
              <w:t>14</w:t>
            </w:r>
            <w:r w:rsidR="006C7BAA">
              <w:rPr>
                <w:b w:val="0"/>
                <w:sz w:val="20"/>
                <w:szCs w:val="20"/>
              </w:rPr>
              <w:t>]</w:t>
            </w:r>
            <w:r w:rsidRPr="005814C1">
              <w:rPr>
                <w:b w:val="0"/>
                <w:sz w:val="20"/>
                <w:szCs w:val="20"/>
              </w:rPr>
              <w:t>; MCC-2</w:t>
            </w:r>
            <w:r w:rsidR="006C7BAA">
              <w:rPr>
                <w:b w:val="0"/>
                <w:sz w:val="20"/>
                <w:szCs w:val="20"/>
              </w:rPr>
              <w:t xml:space="preserve"> [</w:t>
            </w:r>
            <w:r w:rsidR="008E3990">
              <w:rPr>
                <w:b w:val="0"/>
                <w:sz w:val="20"/>
                <w:szCs w:val="20"/>
              </w:rPr>
              <w:t>9</w:t>
            </w:r>
            <w:r w:rsidR="006C7BAA">
              <w:rPr>
                <w:b w:val="0"/>
                <w:sz w:val="20"/>
                <w:szCs w:val="20"/>
              </w:rPr>
              <w:t>]</w:t>
            </w:r>
            <w:r w:rsidRPr="005814C1">
              <w:rPr>
                <w:b w:val="0"/>
                <w:sz w:val="20"/>
                <w:szCs w:val="20"/>
              </w:rPr>
              <w:t>)</w:t>
            </w:r>
          </w:p>
        </w:tc>
        <w:tc>
          <w:tcPr>
            <w:tcW w:w="1252" w:type="pct"/>
          </w:tcPr>
          <w:p w14:paraId="0D07AF45" w14:textId="6E1A509E" w:rsidR="00FF5ED3" w:rsidRPr="005A25C9" w:rsidRDefault="00F429AF"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E76553">
              <w:rPr>
                <w:sz w:val="20"/>
                <w:szCs w:val="20"/>
              </w:rPr>
              <w:t>Informacijsk</w:t>
            </w:r>
            <w:r>
              <w:rPr>
                <w:sz w:val="20"/>
                <w:szCs w:val="20"/>
              </w:rPr>
              <w:t>a</w:t>
            </w:r>
            <w:r w:rsidR="00E223DA">
              <w:rPr>
                <w:sz w:val="20"/>
                <w:szCs w:val="20"/>
              </w:rPr>
              <w:t xml:space="preserve"> </w:t>
            </w:r>
            <w:r>
              <w:rPr>
                <w:sz w:val="20"/>
                <w:szCs w:val="20"/>
              </w:rPr>
              <w:t xml:space="preserve">- </w:t>
            </w:r>
            <w:r w:rsidR="00FF5ED3" w:rsidRPr="005A25C9">
              <w:rPr>
                <w:sz w:val="20"/>
                <w:szCs w:val="20"/>
              </w:rPr>
              <w:t>Praćenje provedbe i ostvarenih ušteda energije</w:t>
            </w:r>
          </w:p>
        </w:tc>
        <w:tc>
          <w:tcPr>
            <w:tcW w:w="2500" w:type="pct"/>
          </w:tcPr>
          <w:p w14:paraId="7ADB9E4A" w14:textId="77777777" w:rsidR="00FF5ED3" w:rsidRPr="0031468F" w:rsidRDefault="00FF5ED3" w:rsidP="00E00C7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Sveobuhvatni sustav za praćenje provedbe mjera energetske učinkovitosti i verifikaciju ostvarenih ušteda</w:t>
            </w:r>
          </w:p>
        </w:tc>
      </w:tr>
    </w:tbl>
    <w:p w14:paraId="0F80A8F1" w14:textId="3E7A8D6F" w:rsidR="00B40E8D" w:rsidRDefault="006163EC" w:rsidP="00B40E8D">
      <w:pPr>
        <w:rPr>
          <w:rFonts w:cstheme="minorHAnsi"/>
        </w:rPr>
      </w:pPr>
      <w:r>
        <w:t>Uz gore navedene mjere koje su sve usmjerene na sektore neposredne potrošnje energije, u postojećim dokumentima definiran</w:t>
      </w:r>
      <w:r w:rsidR="00857E54">
        <w:t>e</w:t>
      </w:r>
      <w:r>
        <w:t xml:space="preserve"> </w:t>
      </w:r>
      <w:r w:rsidR="00857E54">
        <w:t xml:space="preserve">su i </w:t>
      </w:r>
      <w:r>
        <w:t>mjer</w:t>
      </w:r>
      <w:r w:rsidR="00857E54">
        <w:t>e</w:t>
      </w:r>
      <w:r>
        <w:t xml:space="preserve">, </w:t>
      </w:r>
      <w:r w:rsidR="00857E54">
        <w:t xml:space="preserve">koje </w:t>
      </w:r>
      <w:r w:rsidR="00E15FA0">
        <w:t xml:space="preserve">su usmjerene na </w:t>
      </w:r>
      <w:r w:rsidR="00857E54">
        <w:t>en</w:t>
      </w:r>
      <w:r w:rsidR="00B951D1">
        <w:t>ergetsk</w:t>
      </w:r>
      <w:r w:rsidR="00DE7AED">
        <w:t>u</w:t>
      </w:r>
      <w:r w:rsidR="00B951D1">
        <w:t xml:space="preserve"> </w:t>
      </w:r>
      <w:r w:rsidR="00DE7AED">
        <w:t>infrastrukturu (proizvodnju, prijenos i distribuciju električne i to</w:t>
      </w:r>
      <w:r w:rsidR="00C651D3">
        <w:t>p</w:t>
      </w:r>
      <w:r w:rsidR="00DE7AED">
        <w:t>linske energije)</w:t>
      </w:r>
      <w:r w:rsidR="00B951D1">
        <w:t>, kako</w:t>
      </w:r>
      <w:r w:rsidR="00CA2F8C">
        <w:t xml:space="preserve"> prikazuje</w:t>
      </w:r>
      <w:r w:rsidR="00B951D1">
        <w:t xml:space="preserve"> </w:t>
      </w:r>
      <w:r w:rsidR="00CA2F8C">
        <w:fldChar w:fldCharType="begin"/>
      </w:r>
      <w:r w:rsidR="00CA2F8C">
        <w:instrText xml:space="preserve"> REF _Ref531161045 \h </w:instrText>
      </w:r>
      <w:r w:rsidR="00CA2F8C">
        <w:fldChar w:fldCharType="separate"/>
      </w:r>
      <w:r w:rsidR="00154150" w:rsidRPr="00F149EB">
        <w:t xml:space="preserve">Tablica </w:t>
      </w:r>
      <w:r w:rsidR="00154150">
        <w:rPr>
          <w:noProof/>
        </w:rPr>
        <w:t>1</w:t>
      </w:r>
      <w:r w:rsidR="00154150">
        <w:t>–</w:t>
      </w:r>
      <w:r w:rsidR="00154150">
        <w:rPr>
          <w:noProof/>
        </w:rPr>
        <w:t>8</w:t>
      </w:r>
      <w:r w:rsidR="00CA2F8C">
        <w:fldChar w:fldCharType="end"/>
      </w:r>
      <w:r w:rsidR="00EA4DB6">
        <w:t>.</w:t>
      </w:r>
      <w:r w:rsidR="00B40E8D">
        <w:t xml:space="preserve"> Pri tome je potrebno istaknuti da je </w:t>
      </w:r>
      <w:r w:rsidR="005D5216">
        <w:t>Hrvatska energetska regulatorna agencija (</w:t>
      </w:r>
      <w:r w:rsidR="00B40E8D">
        <w:rPr>
          <w:rFonts w:cstheme="minorHAnsi"/>
        </w:rPr>
        <w:t>HERA</w:t>
      </w:r>
      <w:r w:rsidR="005D5216">
        <w:rPr>
          <w:rFonts w:cstheme="minorHAnsi"/>
        </w:rPr>
        <w:t>)</w:t>
      </w:r>
      <w:r w:rsidR="00B40E8D">
        <w:rPr>
          <w:rFonts w:cstheme="minorHAnsi"/>
        </w:rPr>
        <w:t>, na temelju Zakona o energetskoj učinkovitosti, dužna pri provedbi regulatornih zadataka sukladno odredbama zakona kojima se uređuje tržište električne energije i tržište plina, voditi računa o energetskoj učinkovitosti u vezi sa svojim odlukama o radu infrastrukture za plin i električnu energiju i to:</w:t>
      </w:r>
    </w:p>
    <w:p w14:paraId="55DDED42" w14:textId="77777777" w:rsidR="00B40E8D" w:rsidRDefault="00B40E8D" w:rsidP="00840E2E">
      <w:pPr>
        <w:pStyle w:val="ListParagraph"/>
        <w:numPr>
          <w:ilvl w:val="0"/>
          <w:numId w:val="26"/>
        </w:numPr>
        <w:tabs>
          <w:tab w:val="clear" w:pos="431"/>
          <w:tab w:val="left" w:pos="708"/>
        </w:tabs>
        <w:suppressAutoHyphens w:val="0"/>
        <w:spacing w:after="160" w:line="256" w:lineRule="auto"/>
        <w:contextualSpacing/>
        <w:rPr>
          <w:rFonts w:cstheme="minorHAnsi"/>
        </w:rPr>
      </w:pPr>
      <w:r>
        <w:rPr>
          <w:rFonts w:cstheme="minorHAnsi"/>
        </w:rPr>
        <w:t>osigurati provedbu procjene potencijala za povećanje energetske učinkovitosti infrastrukture za plin i električnu energiju, posebno u vezi s prijenosom, odnosno transportom, distribucijom, upravljanjem opterećenjem, interoperabilnošću te priključivanjem postrojenja za proizvodnju energije, uključujući mogućnosti pristupa za mikrogeneratore energije te</w:t>
      </w:r>
    </w:p>
    <w:p w14:paraId="3DE3D04C" w14:textId="77777777" w:rsidR="00B40E8D" w:rsidRDefault="00B40E8D" w:rsidP="00840E2E">
      <w:pPr>
        <w:pStyle w:val="ListParagraph"/>
        <w:numPr>
          <w:ilvl w:val="0"/>
          <w:numId w:val="26"/>
        </w:numPr>
        <w:tabs>
          <w:tab w:val="clear" w:pos="431"/>
          <w:tab w:val="left" w:pos="708"/>
        </w:tabs>
        <w:suppressAutoHyphens w:val="0"/>
        <w:spacing w:after="160" w:line="256" w:lineRule="auto"/>
        <w:contextualSpacing/>
        <w:rPr>
          <w:rFonts w:cstheme="minorHAnsi"/>
        </w:rPr>
      </w:pPr>
      <w:r>
        <w:rPr>
          <w:rFonts w:cstheme="minorHAnsi"/>
        </w:rPr>
        <w:t>utvrditi konkretne mjere i ulaganja za uvođenje troškovno učinkovitih poboljšanja energetske učinkovitosti u mrežnu infrastrukturu, uključujući rokove njihova uvođenja.</w:t>
      </w:r>
    </w:p>
    <w:p w14:paraId="46C7740B" w14:textId="4C5351B6" w:rsidR="00B40E8D" w:rsidRDefault="00B40E8D" w:rsidP="00D11B75">
      <w:pPr>
        <w:rPr>
          <w:rFonts w:cstheme="minorHAnsi"/>
        </w:rPr>
      </w:pPr>
      <w:r>
        <w:rPr>
          <w:rFonts w:cstheme="minorHAnsi"/>
        </w:rPr>
        <w:t>S ciljem provedbe propisanih zadaća, HERA je osigurala izradu studije „</w:t>
      </w:r>
      <w:r w:rsidRPr="00223709">
        <w:rPr>
          <w:rFonts w:cstheme="minorHAnsi"/>
          <w:i/>
          <w:iCs/>
        </w:rPr>
        <w:t>Procjena potencijala za povećanje energetske učinkovitosti infrastrukture za električnu energiju</w:t>
      </w:r>
      <w:r w:rsidRPr="00C95155">
        <w:rPr>
          <w:rFonts w:cstheme="minorHAnsi"/>
        </w:rPr>
        <w:t>“ [</w:t>
      </w:r>
      <w:r w:rsidR="009927C2" w:rsidRPr="00CF2D4C">
        <w:rPr>
          <w:rFonts w:cstheme="minorHAnsi"/>
        </w:rPr>
        <w:fldChar w:fldCharType="begin"/>
      </w:r>
      <w:r w:rsidR="009927C2" w:rsidRPr="00CF2D4C">
        <w:rPr>
          <w:rFonts w:cstheme="minorHAnsi"/>
        </w:rPr>
        <w:instrText xml:space="preserve"> REF _Ref531872061 \r \h </w:instrText>
      </w:r>
      <w:r w:rsidR="009927C2">
        <w:rPr>
          <w:rFonts w:cstheme="minorHAnsi"/>
        </w:rPr>
        <w:instrText xml:space="preserve"> \* MERGEFORMAT </w:instrText>
      </w:r>
      <w:r w:rsidR="009927C2" w:rsidRPr="00CF2D4C">
        <w:rPr>
          <w:rFonts w:cstheme="minorHAnsi"/>
        </w:rPr>
      </w:r>
      <w:r w:rsidR="009927C2" w:rsidRPr="00CF2D4C">
        <w:rPr>
          <w:rFonts w:cstheme="minorHAnsi"/>
        </w:rPr>
        <w:fldChar w:fldCharType="separate"/>
      </w:r>
      <w:r w:rsidR="00154150">
        <w:rPr>
          <w:rFonts w:cstheme="minorHAnsi"/>
        </w:rPr>
        <w:t>17</w:t>
      </w:r>
      <w:r w:rsidR="009927C2" w:rsidRPr="00CF2D4C">
        <w:rPr>
          <w:rFonts w:cstheme="minorHAnsi"/>
        </w:rPr>
        <w:fldChar w:fldCharType="end"/>
      </w:r>
      <w:r w:rsidRPr="00C95155">
        <w:rPr>
          <w:rFonts w:cstheme="minorHAnsi"/>
        </w:rPr>
        <w:t>]. Studijom</w:t>
      </w:r>
      <w:r>
        <w:rPr>
          <w:rFonts w:cstheme="minorHAnsi"/>
        </w:rPr>
        <w:t xml:space="preserve"> su analizirane mjere koje utječu na tehničke gubitke (smanjenje i povećanje), a koje su sadržane u desetogodišnjim planovima razvoja prijenosnog i distribucijskog sustava za razdoblje od </w:t>
      </w:r>
      <w:r w:rsidR="00862B97">
        <w:rPr>
          <w:rFonts w:cstheme="minorHAnsi"/>
        </w:rPr>
        <w:t>2019</w:t>
      </w:r>
      <w:r>
        <w:rPr>
          <w:rFonts w:cstheme="minorHAnsi"/>
        </w:rPr>
        <w:t xml:space="preserve">. do </w:t>
      </w:r>
      <w:r w:rsidR="00862B97">
        <w:rPr>
          <w:rFonts w:cstheme="minorHAnsi"/>
        </w:rPr>
        <w:t>2028</w:t>
      </w:r>
      <w:r>
        <w:rPr>
          <w:rFonts w:cstheme="minorHAnsi"/>
        </w:rPr>
        <w:t>. godine</w:t>
      </w:r>
      <w:r w:rsidR="00E15FA0">
        <w:rPr>
          <w:rFonts w:cstheme="minorHAnsi"/>
        </w:rPr>
        <w:t>.</w:t>
      </w:r>
    </w:p>
    <w:p w14:paraId="11838243" w14:textId="50858D75" w:rsidR="006163EC" w:rsidRDefault="00B40E8D" w:rsidP="006163EC">
      <w:r>
        <w:rPr>
          <w:rFonts w:cstheme="minorHAnsi"/>
        </w:rPr>
        <w:t>Navedene mjere proizlaze iz potrebe povećanja sigurnosti pogona i zadovoljenja tehničkih propisa te su njihove investicije previsoke da se mogu opravdati isključivo uštedom koja će se ostvariti smanjenjem gubitaka. Kada se stvore preduvjeti za uvođenje naprednih tehnologija poput upravljanja opterećenjem, HERA će revidirati svoju procjenu potencijala za povećanje energetske učinkovitosti infrastrukture za električnu energiju te utvrditi rokove uvođenja naprednih mjera.</w:t>
      </w:r>
    </w:p>
    <w:p w14:paraId="6D5E413B" w14:textId="2C754050" w:rsidR="00CA2F8C" w:rsidRPr="00F149EB" w:rsidRDefault="00CA2F8C" w:rsidP="00CA2F8C">
      <w:pPr>
        <w:pStyle w:val="Caption"/>
      </w:pPr>
      <w:bookmarkStart w:id="91" w:name="_Ref531161045"/>
      <w:bookmarkStart w:id="92" w:name="_Toc27396200"/>
      <w:r w:rsidRPr="00F149EB">
        <w:t xml:space="preserve">Tablica </w:t>
      </w:r>
      <w:fldSimple w:instr=" STYLEREF 1 \s ">
        <w:r w:rsidR="00154150">
          <w:rPr>
            <w:noProof/>
          </w:rPr>
          <w:t>1</w:t>
        </w:r>
      </w:fldSimple>
      <w:r w:rsidR="00562DF0">
        <w:t>–</w:t>
      </w:r>
      <w:fldSimple w:instr=" SEQ Tablica \* ARABIC \s 1 ">
        <w:r w:rsidR="00154150">
          <w:rPr>
            <w:noProof/>
          </w:rPr>
          <w:t>8</w:t>
        </w:r>
      </w:fldSimple>
      <w:bookmarkEnd w:id="91"/>
      <w:r w:rsidR="00210967">
        <w:t>.</w:t>
      </w:r>
      <w:r w:rsidR="00483D4C">
        <w:t xml:space="preserve"> </w:t>
      </w:r>
      <w:r>
        <w:t xml:space="preserve">Pregled postojećih mjera energetske učinkovitosti </w:t>
      </w:r>
      <w:r w:rsidR="00DE7AED">
        <w:t>za ene</w:t>
      </w:r>
      <w:r w:rsidR="00B4224E">
        <w:t>rgetsku infrastrukturu</w:t>
      </w:r>
      <w:bookmarkEnd w:id="92"/>
    </w:p>
    <w:tbl>
      <w:tblPr>
        <w:tblStyle w:val="Svijetlatablicareetke11"/>
        <w:tblW w:w="5000" w:type="pct"/>
        <w:tblLook w:val="04A0" w:firstRow="1" w:lastRow="0" w:firstColumn="1" w:lastColumn="0" w:noHBand="0" w:noVBand="1"/>
      </w:tblPr>
      <w:tblGrid>
        <w:gridCol w:w="2265"/>
        <w:gridCol w:w="2265"/>
        <w:gridCol w:w="4530"/>
      </w:tblGrid>
      <w:tr w:rsidR="00CA2F8C" w:rsidRPr="00EF5587" w14:paraId="6262DCBD"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53F973F6" w14:textId="77777777" w:rsidR="00CA2F8C" w:rsidRPr="00EF5587" w:rsidRDefault="00CA2F8C" w:rsidP="004912C3">
            <w:pPr>
              <w:spacing w:before="0" w:after="0" w:line="240" w:lineRule="auto"/>
              <w:rPr>
                <w:rFonts w:cs="Arial"/>
                <w:sz w:val="20"/>
                <w:szCs w:val="20"/>
              </w:rPr>
            </w:pPr>
            <w:r w:rsidRPr="00EF5587">
              <w:rPr>
                <w:rFonts w:cs="Arial"/>
                <w:sz w:val="20"/>
                <w:szCs w:val="20"/>
              </w:rPr>
              <w:lastRenderedPageBreak/>
              <w:t>Naziv mjere</w:t>
            </w:r>
          </w:p>
        </w:tc>
        <w:tc>
          <w:tcPr>
            <w:tcW w:w="0" w:type="pct"/>
            <w:shd w:val="clear" w:color="auto" w:fill="DEEAF6" w:themeFill="accent1" w:themeFillTint="33"/>
          </w:tcPr>
          <w:p w14:paraId="23E28434" w14:textId="1E9ED602" w:rsidR="00CA2F8C" w:rsidRPr="00EF5587" w:rsidRDefault="00CA2F8C" w:rsidP="004912C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Kategorija</w:t>
            </w:r>
            <w:r w:rsidR="000F75C8">
              <w:rPr>
                <w:rFonts w:cs="Arial"/>
                <w:sz w:val="20"/>
                <w:szCs w:val="20"/>
              </w:rPr>
              <w:t xml:space="preserve"> mjere </w:t>
            </w:r>
          </w:p>
        </w:tc>
        <w:tc>
          <w:tcPr>
            <w:tcW w:w="0" w:type="pct"/>
            <w:shd w:val="clear" w:color="auto" w:fill="DEEAF6" w:themeFill="accent1" w:themeFillTint="33"/>
          </w:tcPr>
          <w:p w14:paraId="43F67E94" w14:textId="77777777" w:rsidR="00CA2F8C" w:rsidRPr="00EF5587" w:rsidRDefault="00CA2F8C" w:rsidP="004912C3">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B40E8D" w:rsidRPr="002003B1" w14:paraId="778177ED"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05BB2ADC" w14:textId="4AF5976D" w:rsidR="00B40E8D" w:rsidRPr="004D46C4" w:rsidRDefault="00B40E8D" w:rsidP="00B40E8D">
            <w:pPr>
              <w:pStyle w:val="Default"/>
              <w:rPr>
                <w:b w:val="0"/>
                <w:sz w:val="20"/>
                <w:szCs w:val="20"/>
              </w:rPr>
            </w:pPr>
            <w:r w:rsidRPr="00CA6073">
              <w:rPr>
                <w:b w:val="0"/>
                <w:sz w:val="20"/>
                <w:szCs w:val="20"/>
              </w:rPr>
              <w:t>Revitalizacija i energetska učinkovitost u postojećim termoelektranama i hidroelektranama</w:t>
            </w:r>
            <w:r w:rsidRPr="00CA6073" w:rsidDel="00CA6073">
              <w:rPr>
                <w:b w:val="0"/>
                <w:sz w:val="20"/>
                <w:szCs w:val="20"/>
              </w:rPr>
              <w:t xml:space="preserve"> </w:t>
            </w:r>
            <w:r w:rsidRPr="004D46C4">
              <w:rPr>
                <w:b w:val="0"/>
                <w:sz w:val="20"/>
                <w:szCs w:val="20"/>
              </w:rPr>
              <w:t>(</w:t>
            </w:r>
            <w:r>
              <w:rPr>
                <w:b w:val="0"/>
                <w:sz w:val="20"/>
                <w:szCs w:val="20"/>
              </w:rPr>
              <w:t>E.1-E.4 [</w:t>
            </w:r>
            <w:r w:rsidR="003C38E3">
              <w:rPr>
                <w:b w:val="0"/>
                <w:sz w:val="20"/>
                <w:szCs w:val="20"/>
              </w:rPr>
              <w:t>14</w:t>
            </w:r>
            <w:r>
              <w:rPr>
                <w:b w:val="0"/>
                <w:sz w:val="20"/>
                <w:szCs w:val="20"/>
              </w:rPr>
              <w:t>]</w:t>
            </w:r>
            <w:r w:rsidRPr="004D46C4">
              <w:rPr>
                <w:b w:val="0"/>
                <w:sz w:val="20"/>
                <w:szCs w:val="20"/>
              </w:rPr>
              <w:t>; MEN-</w:t>
            </w:r>
            <w:r>
              <w:rPr>
                <w:b w:val="0"/>
                <w:sz w:val="20"/>
                <w:szCs w:val="20"/>
              </w:rPr>
              <w:t>23 [</w:t>
            </w:r>
            <w:r w:rsidR="00E15FA0">
              <w:rPr>
                <w:sz w:val="20"/>
                <w:szCs w:val="20"/>
              </w:rPr>
              <w:fldChar w:fldCharType="begin"/>
            </w:r>
            <w:r w:rsidR="00E15FA0">
              <w:rPr>
                <w:b w:val="0"/>
                <w:sz w:val="20"/>
                <w:szCs w:val="20"/>
              </w:rPr>
              <w:instrText xml:space="preserve"> REF _Ref5879053 \r \h </w:instrText>
            </w:r>
            <w:r w:rsidR="00E15FA0">
              <w:rPr>
                <w:sz w:val="20"/>
                <w:szCs w:val="20"/>
              </w:rPr>
            </w:r>
            <w:r w:rsidR="00E15FA0">
              <w:rPr>
                <w:sz w:val="20"/>
                <w:szCs w:val="20"/>
              </w:rPr>
              <w:fldChar w:fldCharType="separate"/>
            </w:r>
            <w:r w:rsidR="00154150">
              <w:rPr>
                <w:b w:val="0"/>
                <w:sz w:val="20"/>
                <w:szCs w:val="20"/>
              </w:rPr>
              <w:t>1</w:t>
            </w:r>
            <w:r w:rsidR="00E15FA0">
              <w:rPr>
                <w:sz w:val="20"/>
                <w:szCs w:val="20"/>
              </w:rPr>
              <w:fldChar w:fldCharType="end"/>
            </w:r>
            <w:r>
              <w:rPr>
                <w:b w:val="0"/>
                <w:sz w:val="20"/>
                <w:szCs w:val="20"/>
              </w:rPr>
              <w:t>]</w:t>
            </w:r>
            <w:r w:rsidRPr="004D46C4">
              <w:rPr>
                <w:b w:val="0"/>
                <w:sz w:val="20"/>
                <w:szCs w:val="20"/>
              </w:rPr>
              <w:t>)</w:t>
            </w:r>
          </w:p>
        </w:tc>
        <w:tc>
          <w:tcPr>
            <w:tcW w:w="1250" w:type="pct"/>
          </w:tcPr>
          <w:p w14:paraId="7867F87C" w14:textId="6E40F0E5" w:rsidR="00B40E8D" w:rsidRPr="00EF5587" w:rsidRDefault="00B40E8D" w:rsidP="00B40E8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Proizvodnja električne energije</w:t>
            </w:r>
          </w:p>
        </w:tc>
        <w:tc>
          <w:tcPr>
            <w:tcW w:w="2500" w:type="pct"/>
          </w:tcPr>
          <w:p w14:paraId="47B4A096" w14:textId="3D6E5D51" w:rsidR="00B40E8D" w:rsidRPr="00EF5587" w:rsidRDefault="00B40E8D" w:rsidP="00286B4C">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CA6073">
              <w:rPr>
                <w:bCs/>
                <w:sz w:val="20"/>
                <w:szCs w:val="20"/>
              </w:rPr>
              <w:t xml:space="preserve">Aktivnosti ove mjere odnose se </w:t>
            </w:r>
            <w:r>
              <w:rPr>
                <w:bCs/>
                <w:sz w:val="20"/>
                <w:szCs w:val="20"/>
              </w:rPr>
              <w:t xml:space="preserve">na </w:t>
            </w:r>
            <w:r w:rsidRPr="00CA6073">
              <w:rPr>
                <w:bCs/>
                <w:sz w:val="20"/>
                <w:szCs w:val="20"/>
              </w:rPr>
              <w:t>HEP</w:t>
            </w:r>
            <w:r>
              <w:rPr>
                <w:bCs/>
                <w:sz w:val="20"/>
                <w:szCs w:val="20"/>
              </w:rPr>
              <w:t>, a detaljnije su razrađene u 4.NAPEnU.</w:t>
            </w:r>
            <w:r w:rsidRPr="00CA6073">
              <w:rPr>
                <w:bCs/>
                <w:sz w:val="20"/>
                <w:szCs w:val="20"/>
              </w:rPr>
              <w:t xml:space="preserve"> </w:t>
            </w:r>
            <w:r>
              <w:rPr>
                <w:bCs/>
                <w:sz w:val="20"/>
                <w:szCs w:val="20"/>
              </w:rPr>
              <w:t>Aktivnosti uključuju</w:t>
            </w:r>
            <w:r w:rsidRPr="00CA6073">
              <w:rPr>
                <w:bCs/>
                <w:sz w:val="20"/>
                <w:szCs w:val="20"/>
              </w:rPr>
              <w:t>: rekonstrukciju sustava upravljanja vodama, nov</w:t>
            </w:r>
            <w:r>
              <w:rPr>
                <w:bCs/>
                <w:sz w:val="20"/>
                <w:szCs w:val="20"/>
              </w:rPr>
              <w:t>e</w:t>
            </w:r>
            <w:r w:rsidRPr="00CA6073">
              <w:rPr>
                <w:bCs/>
                <w:sz w:val="20"/>
                <w:szCs w:val="20"/>
              </w:rPr>
              <w:t xml:space="preserve"> parn</w:t>
            </w:r>
            <w:r>
              <w:rPr>
                <w:bCs/>
                <w:sz w:val="20"/>
                <w:szCs w:val="20"/>
              </w:rPr>
              <w:t xml:space="preserve">e </w:t>
            </w:r>
            <w:r w:rsidRPr="00CA6073">
              <w:rPr>
                <w:bCs/>
                <w:sz w:val="20"/>
                <w:szCs w:val="20"/>
              </w:rPr>
              <w:t>kot</w:t>
            </w:r>
            <w:r>
              <w:rPr>
                <w:bCs/>
                <w:sz w:val="20"/>
                <w:szCs w:val="20"/>
              </w:rPr>
              <w:t>love</w:t>
            </w:r>
            <w:r w:rsidRPr="00CA6073">
              <w:rPr>
                <w:bCs/>
                <w:sz w:val="20"/>
                <w:szCs w:val="20"/>
              </w:rPr>
              <w:t>, optimizaciju i automatizaciju hidroelektrana, revitalizaciju hidroelektrana, smanjenje vlastite uporabe topline, nove mjerne sustave</w:t>
            </w:r>
            <w:r w:rsidR="0049538D">
              <w:rPr>
                <w:bCs/>
                <w:sz w:val="20"/>
                <w:szCs w:val="20"/>
              </w:rPr>
              <w:t xml:space="preserve">, </w:t>
            </w:r>
            <w:r w:rsidR="0049538D" w:rsidRPr="0049538D">
              <w:rPr>
                <w:bCs/>
                <w:sz w:val="20"/>
                <w:szCs w:val="20"/>
              </w:rPr>
              <w:t>zamjen</w:t>
            </w:r>
            <w:r w:rsidR="0049538D">
              <w:rPr>
                <w:bCs/>
                <w:sz w:val="20"/>
                <w:szCs w:val="20"/>
              </w:rPr>
              <w:t>u</w:t>
            </w:r>
            <w:r w:rsidR="0049538D" w:rsidRPr="0049538D">
              <w:rPr>
                <w:bCs/>
                <w:sz w:val="20"/>
                <w:szCs w:val="20"/>
              </w:rPr>
              <w:t xml:space="preserve"> starije primarne opreme u elektranama opremom višeg stupnja učinkovitosti</w:t>
            </w:r>
            <w:r w:rsidR="00DF2B71">
              <w:rPr>
                <w:bCs/>
                <w:sz w:val="20"/>
                <w:szCs w:val="20"/>
              </w:rPr>
              <w:t xml:space="preserve">, </w:t>
            </w:r>
            <w:r w:rsidR="0049538D" w:rsidRPr="0049538D">
              <w:rPr>
                <w:bCs/>
                <w:sz w:val="20"/>
                <w:szCs w:val="20"/>
              </w:rPr>
              <w:tab/>
              <w:t>izgradnj</w:t>
            </w:r>
            <w:r w:rsidR="00DF2B71">
              <w:rPr>
                <w:bCs/>
                <w:sz w:val="20"/>
                <w:szCs w:val="20"/>
              </w:rPr>
              <w:t>u</w:t>
            </w:r>
            <w:r w:rsidR="0049538D" w:rsidRPr="0049538D">
              <w:rPr>
                <w:bCs/>
                <w:sz w:val="20"/>
                <w:szCs w:val="20"/>
              </w:rPr>
              <w:t xml:space="preserve"> spremnika energije (povećanje akumulacija HE, akumulatori topline za TE-TO)</w:t>
            </w:r>
            <w:r w:rsidR="00DF2B71">
              <w:rPr>
                <w:bCs/>
                <w:sz w:val="20"/>
                <w:szCs w:val="20"/>
              </w:rPr>
              <w:t xml:space="preserve">, </w:t>
            </w:r>
            <w:r w:rsidR="0049538D" w:rsidRPr="0049538D">
              <w:rPr>
                <w:bCs/>
                <w:sz w:val="20"/>
                <w:szCs w:val="20"/>
              </w:rPr>
              <w:tab/>
              <w:t>primjen</w:t>
            </w:r>
            <w:r w:rsidR="00DF2B71">
              <w:rPr>
                <w:bCs/>
                <w:sz w:val="20"/>
                <w:szCs w:val="20"/>
              </w:rPr>
              <w:t>u</w:t>
            </w:r>
            <w:r w:rsidR="0049538D" w:rsidRPr="0049538D">
              <w:rPr>
                <w:bCs/>
                <w:sz w:val="20"/>
                <w:szCs w:val="20"/>
              </w:rPr>
              <w:t xml:space="preserve"> novih tehnologija u energetskim transformacijama (VN elektro-bojleri, dizalice topline, solarni kolektori)</w:t>
            </w:r>
            <w:r w:rsidR="00DF2B71">
              <w:rPr>
                <w:bCs/>
                <w:sz w:val="20"/>
                <w:szCs w:val="20"/>
              </w:rPr>
              <w:t xml:space="preserve">, </w:t>
            </w:r>
            <w:r w:rsidR="0049538D" w:rsidRPr="0049538D">
              <w:rPr>
                <w:bCs/>
                <w:sz w:val="20"/>
                <w:szCs w:val="20"/>
              </w:rPr>
              <w:t>smanjenje vlastite potrošnje</w:t>
            </w:r>
            <w:r w:rsidR="008A3F57">
              <w:rPr>
                <w:bCs/>
                <w:sz w:val="20"/>
                <w:szCs w:val="20"/>
              </w:rPr>
              <w:t xml:space="preserve">, </w:t>
            </w:r>
            <w:r w:rsidR="0049538D" w:rsidRPr="0049538D">
              <w:rPr>
                <w:bCs/>
                <w:sz w:val="20"/>
                <w:szCs w:val="20"/>
              </w:rPr>
              <w:t>izgradnj</w:t>
            </w:r>
            <w:r w:rsidR="008A3F57">
              <w:rPr>
                <w:bCs/>
                <w:sz w:val="20"/>
                <w:szCs w:val="20"/>
              </w:rPr>
              <w:t>u</w:t>
            </w:r>
            <w:r w:rsidR="0049538D" w:rsidRPr="0049538D">
              <w:rPr>
                <w:bCs/>
                <w:sz w:val="20"/>
                <w:szCs w:val="20"/>
              </w:rPr>
              <w:t xml:space="preserve"> SE na lokacijama postojećih HE,TE i TE-TO</w:t>
            </w:r>
            <w:r w:rsidRPr="00CA6073">
              <w:rPr>
                <w:bCs/>
                <w:sz w:val="20"/>
                <w:szCs w:val="20"/>
              </w:rPr>
              <w:t xml:space="preserve"> itd.</w:t>
            </w:r>
          </w:p>
        </w:tc>
      </w:tr>
      <w:tr w:rsidR="00B40E8D" w:rsidRPr="002003B1" w14:paraId="522E3F9C"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CE2AC58" w14:textId="42FC359C" w:rsidR="00B40E8D" w:rsidRPr="00407817" w:rsidRDefault="00B40E8D" w:rsidP="00B40E8D">
            <w:pPr>
              <w:pStyle w:val="Default"/>
              <w:rPr>
                <w:b w:val="0"/>
                <w:sz w:val="20"/>
                <w:szCs w:val="20"/>
              </w:rPr>
            </w:pPr>
            <w:r w:rsidRPr="00DB4A8C">
              <w:rPr>
                <w:b w:val="0"/>
                <w:sz w:val="20"/>
                <w:szCs w:val="20"/>
              </w:rPr>
              <w:t>Rekonstrukcija i obnova vrelovoda i parovoda</w:t>
            </w:r>
            <w:r w:rsidRPr="00DB4A8C" w:rsidDel="00DB4A8C">
              <w:rPr>
                <w:b w:val="0"/>
                <w:sz w:val="20"/>
                <w:szCs w:val="20"/>
              </w:rPr>
              <w:t xml:space="preserve"> </w:t>
            </w:r>
            <w:r>
              <w:rPr>
                <w:b w:val="0"/>
                <w:sz w:val="20"/>
                <w:szCs w:val="20"/>
              </w:rPr>
              <w:t>(E.7 [</w:t>
            </w:r>
            <w:r w:rsidR="003C38E3">
              <w:rPr>
                <w:b w:val="0"/>
                <w:sz w:val="20"/>
                <w:szCs w:val="20"/>
              </w:rPr>
              <w:t>14</w:t>
            </w:r>
            <w:r>
              <w:rPr>
                <w:b w:val="0"/>
                <w:sz w:val="20"/>
                <w:szCs w:val="20"/>
              </w:rPr>
              <w:t>]; MEN-24 [</w:t>
            </w:r>
            <w:r w:rsidR="008E3990">
              <w:rPr>
                <w:b w:val="0"/>
                <w:sz w:val="20"/>
                <w:szCs w:val="20"/>
              </w:rPr>
              <w:t>9</w:t>
            </w:r>
            <w:r>
              <w:rPr>
                <w:b w:val="0"/>
                <w:sz w:val="20"/>
                <w:szCs w:val="20"/>
              </w:rPr>
              <w:t>])</w:t>
            </w:r>
          </w:p>
        </w:tc>
        <w:tc>
          <w:tcPr>
            <w:tcW w:w="1250" w:type="pct"/>
          </w:tcPr>
          <w:p w14:paraId="4AFAB2BC" w14:textId="3BF3158C" w:rsidR="00B40E8D" w:rsidRPr="00E76553" w:rsidRDefault="00B40E8D" w:rsidP="00B40E8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Distribucija toplinske energije</w:t>
            </w:r>
          </w:p>
        </w:tc>
        <w:tc>
          <w:tcPr>
            <w:tcW w:w="2500" w:type="pct"/>
          </w:tcPr>
          <w:p w14:paraId="0EA7B097" w14:textId="3A982E63" w:rsidR="00B40E8D" w:rsidRDefault="00B40E8D" w:rsidP="00B40E8D">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B208E4">
              <w:rPr>
                <w:sz w:val="20"/>
              </w:rPr>
              <w:t xml:space="preserve">Zbog starenja i oštećenja vrelovoda i parovoda dolazi do velikih gubitaka energije. </w:t>
            </w:r>
            <w:r>
              <w:rPr>
                <w:sz w:val="20"/>
              </w:rPr>
              <w:t>U</w:t>
            </w:r>
            <w:r w:rsidRPr="00B208E4">
              <w:rPr>
                <w:sz w:val="20"/>
              </w:rPr>
              <w:t xml:space="preserve">laganja u narednom razdoblju </w:t>
            </w:r>
            <w:r>
              <w:rPr>
                <w:sz w:val="20"/>
              </w:rPr>
              <w:t>su</w:t>
            </w:r>
            <w:r w:rsidRPr="00B208E4">
              <w:rPr>
                <w:sz w:val="20"/>
              </w:rPr>
              <w:t xml:space="preserve"> osigurana od komunalnih poduzeća i od korištenja </w:t>
            </w:r>
            <w:r>
              <w:rPr>
                <w:sz w:val="20"/>
              </w:rPr>
              <w:t>ESI fondova</w:t>
            </w:r>
            <w:r w:rsidRPr="00B208E4">
              <w:rPr>
                <w:sz w:val="20"/>
              </w:rPr>
              <w:t xml:space="preserve">, </w:t>
            </w:r>
            <w:r>
              <w:rPr>
                <w:sz w:val="20"/>
              </w:rPr>
              <w:t>prema OPKK, u iznosu od 80 milijuna EUR</w:t>
            </w:r>
            <w:r w:rsidRPr="00B208E4">
              <w:rPr>
                <w:sz w:val="20"/>
              </w:rPr>
              <w:t>.</w:t>
            </w:r>
          </w:p>
        </w:tc>
      </w:tr>
      <w:tr w:rsidR="00B40E8D" w:rsidRPr="002003B1" w14:paraId="61234AD8"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534B2AB3" w14:textId="2C2937FD" w:rsidR="00B40E8D" w:rsidRPr="001E0E25" w:rsidRDefault="00B40E8D" w:rsidP="00B40E8D">
            <w:pPr>
              <w:pStyle w:val="Default"/>
              <w:rPr>
                <w:b w:val="0"/>
                <w:sz w:val="20"/>
                <w:szCs w:val="20"/>
              </w:rPr>
            </w:pPr>
            <w:r w:rsidRPr="007A5245">
              <w:rPr>
                <w:b w:val="0"/>
                <w:sz w:val="20"/>
                <w:szCs w:val="20"/>
              </w:rPr>
              <w:t>Vođenje elektroenergetskog sustava i razvoj prijenosne mreže</w:t>
            </w:r>
            <w:r w:rsidRPr="007A5245" w:rsidDel="007A5245">
              <w:rPr>
                <w:b w:val="0"/>
                <w:sz w:val="20"/>
                <w:szCs w:val="20"/>
              </w:rPr>
              <w:t xml:space="preserve"> </w:t>
            </w:r>
            <w:r w:rsidRPr="001E0E25">
              <w:rPr>
                <w:b w:val="0"/>
                <w:sz w:val="20"/>
                <w:szCs w:val="20"/>
              </w:rPr>
              <w:t>(</w:t>
            </w:r>
            <w:r>
              <w:rPr>
                <w:b w:val="0"/>
                <w:sz w:val="20"/>
                <w:szCs w:val="20"/>
              </w:rPr>
              <w:t>E</w:t>
            </w:r>
            <w:r w:rsidRPr="001E0E25">
              <w:rPr>
                <w:b w:val="0"/>
                <w:sz w:val="20"/>
                <w:szCs w:val="20"/>
              </w:rPr>
              <w:t>.</w:t>
            </w:r>
            <w:r>
              <w:rPr>
                <w:b w:val="0"/>
                <w:sz w:val="20"/>
                <w:szCs w:val="20"/>
              </w:rPr>
              <w:t>8 [</w:t>
            </w:r>
            <w:r w:rsidR="003C38E3">
              <w:rPr>
                <w:b w:val="0"/>
                <w:sz w:val="20"/>
                <w:szCs w:val="20"/>
              </w:rPr>
              <w:t>14</w:t>
            </w:r>
            <w:r>
              <w:rPr>
                <w:b w:val="0"/>
                <w:sz w:val="20"/>
                <w:szCs w:val="20"/>
              </w:rPr>
              <w:t>]</w:t>
            </w:r>
            <w:r w:rsidRPr="001E0E25">
              <w:rPr>
                <w:b w:val="0"/>
                <w:sz w:val="20"/>
                <w:szCs w:val="20"/>
              </w:rPr>
              <w:t>; MEN-</w:t>
            </w:r>
            <w:r>
              <w:rPr>
                <w:b w:val="0"/>
                <w:sz w:val="20"/>
                <w:szCs w:val="20"/>
              </w:rPr>
              <w:t>25 [</w:t>
            </w:r>
            <w:r w:rsidR="008E3990">
              <w:rPr>
                <w:b w:val="0"/>
                <w:sz w:val="20"/>
                <w:szCs w:val="20"/>
              </w:rPr>
              <w:t>9</w:t>
            </w:r>
            <w:r>
              <w:rPr>
                <w:b w:val="0"/>
                <w:sz w:val="20"/>
                <w:szCs w:val="20"/>
              </w:rPr>
              <w:t>]</w:t>
            </w:r>
            <w:r w:rsidRPr="001E0E25">
              <w:rPr>
                <w:b w:val="0"/>
                <w:sz w:val="20"/>
                <w:szCs w:val="20"/>
              </w:rPr>
              <w:t>)</w:t>
            </w:r>
          </w:p>
        </w:tc>
        <w:tc>
          <w:tcPr>
            <w:tcW w:w="1250" w:type="pct"/>
          </w:tcPr>
          <w:p w14:paraId="05B1E581" w14:textId="2D7A3A65" w:rsidR="00B40E8D" w:rsidRPr="00EF5587" w:rsidRDefault="00B40E8D" w:rsidP="00B40E8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Elektroenergetske mreže</w:t>
            </w:r>
          </w:p>
        </w:tc>
        <w:tc>
          <w:tcPr>
            <w:tcW w:w="2500" w:type="pct"/>
          </w:tcPr>
          <w:p w14:paraId="14BE3C7D" w14:textId="45C33D32" w:rsidR="00B40E8D" w:rsidRPr="0031468F" w:rsidRDefault="00B40E8D" w:rsidP="00B40E8D">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Mjera podr</w:t>
            </w:r>
            <w:r w:rsidRPr="0031468F">
              <w:rPr>
                <w:sz w:val="20"/>
                <w:szCs w:val="20"/>
              </w:rPr>
              <w:t>a</w:t>
            </w:r>
            <w:r w:rsidRPr="005A25C9">
              <w:rPr>
                <w:sz w:val="20"/>
                <w:szCs w:val="20"/>
              </w:rPr>
              <w:t xml:space="preserve">zumijeva </w:t>
            </w:r>
            <w:r w:rsidRPr="0031468F">
              <w:rPr>
                <w:sz w:val="20"/>
                <w:szCs w:val="20"/>
              </w:rPr>
              <w:t xml:space="preserve">optimizaciju topologije prijenosne mreže i smanjenje gubitaka te razvoj mrežnih kapaciteta od strane HOPS-a. </w:t>
            </w:r>
          </w:p>
        </w:tc>
      </w:tr>
      <w:tr w:rsidR="007472DA" w:rsidRPr="002003B1" w14:paraId="3BEC9528" w14:textId="77777777" w:rsidTr="0031468F">
        <w:tc>
          <w:tcPr>
            <w:cnfStyle w:val="001000000000" w:firstRow="0" w:lastRow="0" w:firstColumn="1" w:lastColumn="0" w:oddVBand="0" w:evenVBand="0" w:oddHBand="0" w:evenHBand="0" w:firstRowFirstColumn="0" w:firstRowLastColumn="0" w:lastRowFirstColumn="0" w:lastRowLastColumn="0"/>
            <w:tcW w:w="1250" w:type="pct"/>
          </w:tcPr>
          <w:p w14:paraId="34D800CC" w14:textId="28B75B19" w:rsidR="007472DA" w:rsidRPr="007A5245" w:rsidRDefault="007472DA" w:rsidP="007472DA">
            <w:pPr>
              <w:pStyle w:val="Default"/>
              <w:rPr>
                <w:b w:val="0"/>
                <w:sz w:val="20"/>
                <w:szCs w:val="20"/>
              </w:rPr>
            </w:pPr>
            <w:r>
              <w:rPr>
                <w:b w:val="0"/>
                <w:sz w:val="20"/>
              </w:rPr>
              <w:t xml:space="preserve">Smanjenje gubitaka u distribucijskoj elektroenergetskoj mreži </w:t>
            </w:r>
            <w:r w:rsidRPr="001E0E25">
              <w:rPr>
                <w:b w:val="0"/>
                <w:sz w:val="20"/>
                <w:szCs w:val="20"/>
              </w:rPr>
              <w:t>(</w:t>
            </w:r>
            <w:r>
              <w:rPr>
                <w:b w:val="0"/>
                <w:sz w:val="20"/>
                <w:szCs w:val="20"/>
              </w:rPr>
              <w:t>E.9 [</w:t>
            </w:r>
            <w:r w:rsidR="003C38E3">
              <w:rPr>
                <w:b w:val="0"/>
                <w:sz w:val="20"/>
                <w:szCs w:val="20"/>
              </w:rPr>
              <w:t>14</w:t>
            </w:r>
            <w:r>
              <w:rPr>
                <w:b w:val="0"/>
                <w:sz w:val="20"/>
                <w:szCs w:val="20"/>
              </w:rPr>
              <w:t>]</w:t>
            </w:r>
            <w:r w:rsidRPr="001E0E25">
              <w:rPr>
                <w:b w:val="0"/>
                <w:sz w:val="20"/>
                <w:szCs w:val="20"/>
              </w:rPr>
              <w:t>; MEN-</w:t>
            </w:r>
            <w:r>
              <w:rPr>
                <w:b w:val="0"/>
                <w:sz w:val="20"/>
                <w:szCs w:val="20"/>
              </w:rPr>
              <w:t>25 [</w:t>
            </w:r>
            <w:r w:rsidR="008E3990">
              <w:rPr>
                <w:b w:val="0"/>
                <w:sz w:val="20"/>
                <w:szCs w:val="20"/>
              </w:rPr>
              <w:t>9</w:t>
            </w:r>
            <w:r>
              <w:rPr>
                <w:b w:val="0"/>
                <w:sz w:val="20"/>
                <w:szCs w:val="20"/>
              </w:rPr>
              <w:t>]</w:t>
            </w:r>
            <w:r w:rsidRPr="001E0E25">
              <w:rPr>
                <w:b w:val="0"/>
                <w:sz w:val="20"/>
                <w:szCs w:val="20"/>
              </w:rPr>
              <w:t>)</w:t>
            </w:r>
          </w:p>
        </w:tc>
        <w:tc>
          <w:tcPr>
            <w:tcW w:w="1250" w:type="pct"/>
          </w:tcPr>
          <w:p w14:paraId="5DA3565E" w14:textId="313E4EF2" w:rsidR="007472DA" w:rsidRDefault="007472DA" w:rsidP="007472D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Elektroenergetske mreže</w:t>
            </w:r>
          </w:p>
        </w:tc>
        <w:tc>
          <w:tcPr>
            <w:tcW w:w="2500" w:type="pct"/>
          </w:tcPr>
          <w:p w14:paraId="5E354032" w14:textId="4E97A939" w:rsidR="007472DA" w:rsidRPr="005A25C9" w:rsidRDefault="007472DA" w:rsidP="007472DA">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Mjera podrazumijeva</w:t>
            </w:r>
            <w:r w:rsidRPr="0031468F">
              <w:rPr>
                <w:sz w:val="20"/>
                <w:szCs w:val="20"/>
              </w:rPr>
              <w:t xml:space="preserve"> smanjenje gubitaka u distribucijskoj mreži i uvođenje naprednih mjerila za krajnje potrošače od strane HEP-ODS. Za pilot projekt „Uvođenje pametnih mreža na pilot područjima“ </w:t>
            </w:r>
            <w:r w:rsidR="000F56A8">
              <w:rPr>
                <w:sz w:val="20"/>
                <w:szCs w:val="20"/>
              </w:rPr>
              <w:t>HEP ODS-u</w:t>
            </w:r>
            <w:r w:rsidR="000F56A8" w:rsidRPr="0031468F">
              <w:rPr>
                <w:sz w:val="20"/>
                <w:szCs w:val="20"/>
              </w:rPr>
              <w:t xml:space="preserve"> </w:t>
            </w:r>
            <w:r w:rsidRPr="0031468F">
              <w:rPr>
                <w:sz w:val="20"/>
                <w:szCs w:val="20"/>
              </w:rPr>
              <w:t>je</w:t>
            </w:r>
            <w:r w:rsidR="000F56A8">
              <w:rPr>
                <w:sz w:val="20"/>
                <w:szCs w:val="20"/>
              </w:rPr>
              <w:t xml:space="preserve"> dodijeljeno</w:t>
            </w:r>
            <w:r w:rsidRPr="0031468F">
              <w:rPr>
                <w:sz w:val="20"/>
                <w:szCs w:val="20"/>
              </w:rPr>
              <w:t xml:space="preserve"> 20 milijuna EUR iz ESI fondova, prema OPKK.</w:t>
            </w:r>
          </w:p>
        </w:tc>
      </w:tr>
    </w:tbl>
    <w:p w14:paraId="3FBA2124" w14:textId="77777777" w:rsidR="0023564C" w:rsidRDefault="0023564C">
      <w:pPr>
        <w:suppressAutoHyphens w:val="0"/>
        <w:spacing w:before="0" w:after="0" w:line="240" w:lineRule="auto"/>
        <w:jc w:val="left"/>
        <w:rPr>
          <w:i/>
        </w:rPr>
      </w:pPr>
      <w:r>
        <w:rPr>
          <w:i/>
        </w:rPr>
        <w:br w:type="page"/>
      </w:r>
    </w:p>
    <w:p w14:paraId="1B216101" w14:textId="53996B67" w:rsidR="00FF0CF3" w:rsidRPr="00816CF6" w:rsidRDefault="00FF0CF3" w:rsidP="00725326">
      <w:pPr>
        <w:shd w:val="clear" w:color="auto" w:fill="DEEAF6" w:themeFill="accent1" w:themeFillTint="33"/>
        <w:rPr>
          <w:i/>
        </w:rPr>
      </w:pPr>
      <w:r w:rsidRPr="00816CF6">
        <w:rPr>
          <w:i/>
        </w:rPr>
        <w:lastRenderedPageBreak/>
        <w:t xml:space="preserve">Dimenzija </w:t>
      </w:r>
      <w:r>
        <w:rPr>
          <w:i/>
        </w:rPr>
        <w:t>„</w:t>
      </w:r>
      <w:r w:rsidRPr="00816CF6">
        <w:rPr>
          <w:i/>
        </w:rPr>
        <w:t xml:space="preserve">Energetska </w:t>
      </w:r>
      <w:r>
        <w:rPr>
          <w:i/>
        </w:rPr>
        <w:t>sigurnost“</w:t>
      </w:r>
    </w:p>
    <w:p w14:paraId="3BC4E614" w14:textId="3652B258" w:rsidR="00AC79AE" w:rsidRDefault="00AC79AE" w:rsidP="00AC79AE">
      <w:r>
        <w:t>Ključni zakoni releva</w:t>
      </w:r>
      <w:r w:rsidR="00C651D3">
        <w:t>n</w:t>
      </w:r>
      <w:r>
        <w:t>tni za dimenziju Energetska sigurnost su:</w:t>
      </w:r>
    </w:p>
    <w:p w14:paraId="1FD317D6" w14:textId="419114E6" w:rsidR="005D0CDF" w:rsidRDefault="00AC79AE" w:rsidP="00840E2E">
      <w:pPr>
        <w:pStyle w:val="ListParagraph"/>
        <w:numPr>
          <w:ilvl w:val="0"/>
          <w:numId w:val="14"/>
        </w:numPr>
      </w:pPr>
      <w:r>
        <w:t>Zakon o energiji (</w:t>
      </w:r>
      <w:r w:rsidR="005D0CDF">
        <w:t xml:space="preserve">NN </w:t>
      </w:r>
      <w:r>
        <w:t>120/12, 14/14, 102/15, 68/18</w:t>
      </w:r>
      <w:r w:rsidR="005D0CDF">
        <w:t>)</w:t>
      </w:r>
      <w:r w:rsidR="004775D2">
        <w:t>,</w:t>
      </w:r>
    </w:p>
    <w:p w14:paraId="1B8BC21F" w14:textId="75DB861B" w:rsidR="00BD1437" w:rsidRDefault="00BD1437" w:rsidP="00840E2E">
      <w:pPr>
        <w:pStyle w:val="ListParagraph"/>
        <w:numPr>
          <w:ilvl w:val="0"/>
          <w:numId w:val="14"/>
        </w:numPr>
      </w:pPr>
      <w:r>
        <w:t>Zakon o tržištu električne energije (</w:t>
      </w:r>
      <w:r w:rsidR="005D0CDF">
        <w:t xml:space="preserve">NN </w:t>
      </w:r>
      <w:r>
        <w:t>22/13, 102/15, 68/18)</w:t>
      </w:r>
      <w:r w:rsidR="004775D2">
        <w:t>,</w:t>
      </w:r>
      <w:r>
        <w:t xml:space="preserve"> </w:t>
      </w:r>
    </w:p>
    <w:p w14:paraId="6C1F3098" w14:textId="3FB8CB04" w:rsidR="00BD1437" w:rsidRDefault="00BD1437" w:rsidP="00840E2E">
      <w:pPr>
        <w:pStyle w:val="ListParagraph"/>
        <w:numPr>
          <w:ilvl w:val="0"/>
          <w:numId w:val="14"/>
        </w:numPr>
      </w:pPr>
      <w:r>
        <w:t>Zakon o tržištu plina (</w:t>
      </w:r>
      <w:r w:rsidR="00880054">
        <w:t>NN</w:t>
      </w:r>
      <w:r>
        <w:t xml:space="preserve"> 18/18)</w:t>
      </w:r>
      <w:r w:rsidR="004775D2">
        <w:t>,</w:t>
      </w:r>
    </w:p>
    <w:p w14:paraId="03982A8A" w14:textId="0BC708A2" w:rsidR="00BD1437" w:rsidRDefault="00BD1437" w:rsidP="00840E2E">
      <w:pPr>
        <w:pStyle w:val="ListParagraph"/>
        <w:numPr>
          <w:ilvl w:val="0"/>
          <w:numId w:val="14"/>
        </w:numPr>
      </w:pPr>
      <w:r>
        <w:t>Zakon o tržištu nafte i naftnih derivata (</w:t>
      </w:r>
      <w:r w:rsidR="005D0CDF">
        <w:t xml:space="preserve">NN </w:t>
      </w:r>
      <w:r>
        <w:t>19/14, 73/17)</w:t>
      </w:r>
      <w:r w:rsidR="004775D2">
        <w:t>,</w:t>
      </w:r>
    </w:p>
    <w:p w14:paraId="09BF2FE1" w14:textId="6DA2E4F3" w:rsidR="005D0CDF" w:rsidRDefault="005D0CDF" w:rsidP="00840E2E">
      <w:pPr>
        <w:pStyle w:val="ListParagraph"/>
        <w:numPr>
          <w:ilvl w:val="0"/>
          <w:numId w:val="14"/>
        </w:numPr>
      </w:pPr>
      <w:r>
        <w:t>Zakon o terminalu za ukapljeni prirodni plin (NN 57/18)</w:t>
      </w:r>
      <w:r w:rsidR="004775D2">
        <w:t>,</w:t>
      </w:r>
    </w:p>
    <w:p w14:paraId="034EAAB2" w14:textId="1D3634A8" w:rsidR="005D0CDF" w:rsidRDefault="005D0CDF" w:rsidP="00840E2E">
      <w:pPr>
        <w:pStyle w:val="ListParagraph"/>
        <w:numPr>
          <w:ilvl w:val="0"/>
          <w:numId w:val="14"/>
        </w:numPr>
      </w:pPr>
      <w:r>
        <w:t>Zakon o regulaciji energetskih djelatnosti (</w:t>
      </w:r>
      <w:r w:rsidRPr="005D0CDF">
        <w:t>NN 120/12, 68/18</w:t>
      </w:r>
      <w:r>
        <w:t>)</w:t>
      </w:r>
      <w:r w:rsidR="004775D2">
        <w:t>,</w:t>
      </w:r>
    </w:p>
    <w:p w14:paraId="3FB98127" w14:textId="2F5136CA" w:rsidR="00E64D2B" w:rsidRPr="00E64D2B" w:rsidRDefault="00E64D2B" w:rsidP="00840E2E">
      <w:pPr>
        <w:pStyle w:val="ListParagraph"/>
        <w:numPr>
          <w:ilvl w:val="0"/>
          <w:numId w:val="14"/>
        </w:numPr>
      </w:pPr>
      <w:r w:rsidRPr="00E64D2B">
        <w:t>Zakon o istraživanju i eksploataciji ugljikovodika (NN 52/18, 52/19)</w:t>
      </w:r>
      <w:r>
        <w:t>.</w:t>
      </w:r>
    </w:p>
    <w:p w14:paraId="18E2E988" w14:textId="11D6DB76" w:rsidR="007E6002" w:rsidRDefault="007E6002" w:rsidP="007E6002">
      <w:pPr>
        <w:rPr>
          <w:rFonts w:cs="Arial"/>
        </w:rPr>
      </w:pPr>
      <w:r>
        <w:rPr>
          <w:rFonts w:cs="Arial"/>
        </w:rPr>
        <w:t xml:space="preserve">Najvažnije mjere koje se trenutno provode u cilju osiguranja energetske sigurnosti prikazuje </w:t>
      </w:r>
      <w:r w:rsidR="00322616">
        <w:rPr>
          <w:rFonts w:cs="Arial"/>
        </w:rPr>
        <w:fldChar w:fldCharType="begin"/>
      </w:r>
      <w:r w:rsidR="00322616">
        <w:rPr>
          <w:rFonts w:cs="Arial"/>
        </w:rPr>
        <w:instrText xml:space="preserve"> REF _Ref532197409 \h </w:instrText>
      </w:r>
      <w:r w:rsidR="00322616">
        <w:rPr>
          <w:rFonts w:cs="Arial"/>
        </w:rPr>
      </w:r>
      <w:r w:rsidR="00322616">
        <w:rPr>
          <w:rFonts w:cs="Arial"/>
        </w:rPr>
        <w:fldChar w:fldCharType="separate"/>
      </w:r>
      <w:r w:rsidR="00154150">
        <w:t xml:space="preserve">Tablica </w:t>
      </w:r>
      <w:r w:rsidR="00154150">
        <w:rPr>
          <w:noProof/>
        </w:rPr>
        <w:t>1</w:t>
      </w:r>
      <w:r w:rsidR="00154150">
        <w:t>–</w:t>
      </w:r>
      <w:r w:rsidR="00154150">
        <w:rPr>
          <w:noProof/>
        </w:rPr>
        <w:t>9</w:t>
      </w:r>
      <w:r w:rsidR="00322616">
        <w:rPr>
          <w:rFonts w:cs="Arial"/>
        </w:rPr>
        <w:fldChar w:fldCharType="end"/>
      </w:r>
      <w:r w:rsidR="00322616">
        <w:rPr>
          <w:rFonts w:cs="Arial"/>
        </w:rPr>
        <w:t>.</w:t>
      </w:r>
    </w:p>
    <w:p w14:paraId="5425D7B4" w14:textId="1F7466A8" w:rsidR="007E6002" w:rsidRDefault="007E6002" w:rsidP="007E6002">
      <w:pPr>
        <w:pStyle w:val="Caption"/>
        <w:rPr>
          <w:rFonts w:cs="Arial"/>
        </w:rPr>
      </w:pPr>
      <w:bookmarkStart w:id="93" w:name="_Ref532197409"/>
      <w:bookmarkStart w:id="94" w:name="_Toc27396201"/>
      <w:r>
        <w:t xml:space="preserve">Tablica </w:t>
      </w:r>
      <w:fldSimple w:instr=" STYLEREF 1 \s ">
        <w:r w:rsidR="00154150">
          <w:rPr>
            <w:noProof/>
          </w:rPr>
          <w:t>1</w:t>
        </w:r>
      </w:fldSimple>
      <w:r w:rsidR="00562DF0">
        <w:t>–</w:t>
      </w:r>
      <w:fldSimple w:instr=" SEQ Tablica \* ARABIC \s 1 ">
        <w:r w:rsidR="00154150">
          <w:rPr>
            <w:noProof/>
          </w:rPr>
          <w:t>9</w:t>
        </w:r>
      </w:fldSimple>
      <w:bookmarkEnd w:id="93"/>
      <w:r w:rsidR="00210967">
        <w:rPr>
          <w:noProof/>
        </w:rPr>
        <w:t>.</w:t>
      </w:r>
      <w:r w:rsidR="00483D4C">
        <w:rPr>
          <w:noProof/>
        </w:rPr>
        <w:t xml:space="preserve"> </w:t>
      </w:r>
      <w:r>
        <w:t>Postojeće mjere osiguranja energetske sigurnosti</w:t>
      </w:r>
      <w:bookmarkEnd w:id="94"/>
    </w:p>
    <w:tbl>
      <w:tblPr>
        <w:tblStyle w:val="Svijetlatablicareetke11"/>
        <w:tblW w:w="5000" w:type="pct"/>
        <w:tblLook w:val="04A0" w:firstRow="1" w:lastRow="0" w:firstColumn="1" w:lastColumn="0" w:noHBand="0" w:noVBand="1"/>
      </w:tblPr>
      <w:tblGrid>
        <w:gridCol w:w="3243"/>
        <w:gridCol w:w="2575"/>
        <w:gridCol w:w="3242"/>
      </w:tblGrid>
      <w:tr w:rsidR="007E6002" w:rsidRPr="00EF5587" w14:paraId="2C39D311"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4AD0F14D" w14:textId="77777777" w:rsidR="007E6002" w:rsidRPr="00EF5587" w:rsidRDefault="007E6002" w:rsidP="00D956D5">
            <w:pPr>
              <w:spacing w:before="0" w:after="0" w:line="240" w:lineRule="auto"/>
              <w:rPr>
                <w:rFonts w:cs="Arial"/>
                <w:sz w:val="20"/>
                <w:szCs w:val="20"/>
              </w:rPr>
            </w:pPr>
            <w:r w:rsidRPr="00EF5587">
              <w:rPr>
                <w:rFonts w:cs="Arial"/>
                <w:sz w:val="20"/>
                <w:szCs w:val="20"/>
              </w:rPr>
              <w:t>Naziv mjere</w:t>
            </w:r>
          </w:p>
        </w:tc>
        <w:tc>
          <w:tcPr>
            <w:tcW w:w="0" w:type="pct"/>
            <w:shd w:val="clear" w:color="auto" w:fill="DEEAF6" w:themeFill="accent1" w:themeFillTint="33"/>
          </w:tcPr>
          <w:p w14:paraId="4CC5F9CD"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0" w:type="pct"/>
            <w:shd w:val="clear" w:color="auto" w:fill="DEEAF6" w:themeFill="accent1" w:themeFillTint="33"/>
          </w:tcPr>
          <w:p w14:paraId="620D1DB7"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D03C67" w:rsidRPr="00EF5587" w14:paraId="76386C13" w14:textId="77777777" w:rsidTr="00EA72EA">
        <w:tc>
          <w:tcPr>
            <w:cnfStyle w:val="001000000000" w:firstRow="0" w:lastRow="0" w:firstColumn="1" w:lastColumn="0" w:oddVBand="0" w:evenVBand="0" w:oddHBand="0" w:evenHBand="0" w:firstRowFirstColumn="0" w:firstRowLastColumn="0" w:lastRowFirstColumn="0" w:lastRowLastColumn="0"/>
            <w:tcW w:w="0" w:type="pct"/>
          </w:tcPr>
          <w:p w14:paraId="65F2B25D" w14:textId="2F4FFFD8" w:rsidR="00D03C67" w:rsidRPr="00BD2F77" w:rsidRDefault="00B9192C">
            <w:pPr>
              <w:pStyle w:val="Default"/>
              <w:rPr>
                <w:b w:val="0"/>
                <w:sz w:val="20"/>
                <w:szCs w:val="20"/>
              </w:rPr>
            </w:pPr>
            <w:r w:rsidRPr="00BD2F77">
              <w:rPr>
                <w:b w:val="0"/>
                <w:sz w:val="20"/>
                <w:szCs w:val="20"/>
              </w:rPr>
              <w:t>Izrada i o</w:t>
            </w:r>
            <w:r w:rsidR="00D03C67" w:rsidRPr="00BD2F77">
              <w:rPr>
                <w:b w:val="0"/>
                <w:sz w:val="20"/>
                <w:szCs w:val="20"/>
              </w:rPr>
              <w:t>bjava izvješća o stanju sigurnosti opskrbe električnom energijom</w:t>
            </w:r>
          </w:p>
        </w:tc>
        <w:tc>
          <w:tcPr>
            <w:tcW w:w="0" w:type="pct"/>
          </w:tcPr>
          <w:p w14:paraId="2AB1957E" w14:textId="598689D3" w:rsidR="00D03C67" w:rsidRPr="005A25C9" w:rsidRDefault="00D03C67"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w:t>
            </w:r>
            <w:r w:rsidRPr="0031468F">
              <w:rPr>
                <w:sz w:val="20"/>
                <w:szCs w:val="20"/>
              </w:rPr>
              <w:t xml:space="preserve"> tržištu električne energije (NN 22/13, 102/15, 68/18)</w:t>
            </w:r>
          </w:p>
        </w:tc>
        <w:tc>
          <w:tcPr>
            <w:tcW w:w="0" w:type="pct"/>
          </w:tcPr>
          <w:p w14:paraId="79C0D857" w14:textId="5A17033C" w:rsidR="00D03C67" w:rsidRPr="00A131A4" w:rsidRDefault="00272581" w:rsidP="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272581">
              <w:rPr>
                <w:bCs/>
                <w:sz w:val="20"/>
                <w:szCs w:val="20"/>
              </w:rPr>
              <w:t xml:space="preserve">Operator prijenosnog sustava </w:t>
            </w:r>
            <w:r w:rsidR="0072765A">
              <w:rPr>
                <w:bCs/>
                <w:sz w:val="20"/>
                <w:szCs w:val="20"/>
              </w:rPr>
              <w:t xml:space="preserve">i Operator distribucijskog sustava </w:t>
            </w:r>
            <w:r w:rsidRPr="00272581">
              <w:rPr>
                <w:bCs/>
                <w:sz w:val="20"/>
                <w:szCs w:val="20"/>
              </w:rPr>
              <w:t>obvez</w:t>
            </w:r>
            <w:r w:rsidR="0072765A">
              <w:rPr>
                <w:bCs/>
                <w:sz w:val="20"/>
                <w:szCs w:val="20"/>
              </w:rPr>
              <w:t>ni</w:t>
            </w:r>
            <w:r w:rsidRPr="00272581">
              <w:rPr>
                <w:bCs/>
                <w:sz w:val="20"/>
                <w:szCs w:val="20"/>
              </w:rPr>
              <w:t xml:space="preserve"> </w:t>
            </w:r>
            <w:r w:rsidR="0072765A">
              <w:rPr>
                <w:bCs/>
                <w:sz w:val="20"/>
                <w:szCs w:val="20"/>
              </w:rPr>
              <w:t>su</w:t>
            </w:r>
            <w:r w:rsidRPr="00272581">
              <w:rPr>
                <w:bCs/>
                <w:sz w:val="20"/>
                <w:szCs w:val="20"/>
              </w:rPr>
              <w:t>, najkasnije do 30. travnja tekuće godine, objaviti uz prethodnu suglasnost Agencije godišnje izvješće o sigurnosti opskrbe u prijenosnom sustavu</w:t>
            </w:r>
            <w:r w:rsidR="0072765A">
              <w:rPr>
                <w:bCs/>
                <w:sz w:val="20"/>
                <w:szCs w:val="20"/>
              </w:rPr>
              <w:t xml:space="preserve"> odnosno u distribucijskom sustavu</w:t>
            </w:r>
            <w:r w:rsidR="00A77614">
              <w:rPr>
                <w:bCs/>
                <w:sz w:val="20"/>
                <w:szCs w:val="20"/>
              </w:rPr>
              <w:t xml:space="preserve">, za </w:t>
            </w:r>
            <w:r w:rsidRPr="00272581">
              <w:rPr>
                <w:bCs/>
                <w:sz w:val="20"/>
                <w:szCs w:val="20"/>
              </w:rPr>
              <w:t>prethodnu godinu</w:t>
            </w:r>
            <w:r w:rsidR="00A77614">
              <w:rPr>
                <w:bCs/>
                <w:sz w:val="20"/>
                <w:szCs w:val="20"/>
              </w:rPr>
              <w:t>. Na</w:t>
            </w:r>
            <w:r w:rsidRPr="00272581">
              <w:rPr>
                <w:bCs/>
                <w:sz w:val="20"/>
                <w:szCs w:val="20"/>
              </w:rPr>
              <w:t xml:space="preserve"> temelju </w:t>
            </w:r>
            <w:r w:rsidR="00A77614">
              <w:rPr>
                <w:bCs/>
                <w:sz w:val="20"/>
                <w:szCs w:val="20"/>
              </w:rPr>
              <w:t xml:space="preserve">tih izvješća </w:t>
            </w:r>
            <w:r w:rsidRPr="00272581">
              <w:rPr>
                <w:bCs/>
                <w:sz w:val="20"/>
                <w:szCs w:val="20"/>
              </w:rPr>
              <w:t>Ministarstvo izrađuje vlastito godišnje izvješće o stanju sigurnosti opskrbe električnom energijom i očekivanim potrebama za električnom energijom u Republici Hrvatskoj. Agencija, u suradnji s Ministarstvom, na temelju tih izvješća može zahtijevati od operatora prijenosnog sustava</w:t>
            </w:r>
            <w:r w:rsidR="00A77614">
              <w:rPr>
                <w:bCs/>
                <w:sz w:val="20"/>
                <w:szCs w:val="20"/>
              </w:rPr>
              <w:t>, operatora distribucijskog sustava</w:t>
            </w:r>
            <w:r w:rsidRPr="00272581">
              <w:rPr>
                <w:bCs/>
                <w:sz w:val="20"/>
                <w:szCs w:val="20"/>
              </w:rPr>
              <w:t xml:space="preserve"> i ostalih elektroenergetskih subjekata provedbu određenih mjera u slučaju potrebe radi poboljšanja sigurnosti opskrbe električnom energijom.</w:t>
            </w:r>
          </w:p>
        </w:tc>
      </w:tr>
      <w:tr w:rsidR="001E543C" w:rsidRPr="00EF5587" w14:paraId="443356C7" w14:textId="77777777" w:rsidTr="00EA72EA">
        <w:tc>
          <w:tcPr>
            <w:cnfStyle w:val="001000000000" w:firstRow="0" w:lastRow="0" w:firstColumn="1" w:lastColumn="0" w:oddVBand="0" w:evenVBand="0" w:oddHBand="0" w:evenHBand="0" w:firstRowFirstColumn="0" w:firstRowLastColumn="0" w:lastRowFirstColumn="0" w:lastRowLastColumn="0"/>
            <w:tcW w:w="0" w:type="pct"/>
          </w:tcPr>
          <w:p w14:paraId="4A51F88D" w14:textId="3BCBFC3B" w:rsidR="001E543C" w:rsidRPr="00BD2F77" w:rsidRDefault="00EA216F">
            <w:pPr>
              <w:pStyle w:val="Default"/>
              <w:rPr>
                <w:b w:val="0"/>
                <w:sz w:val="20"/>
                <w:szCs w:val="20"/>
              </w:rPr>
            </w:pPr>
            <w:r w:rsidRPr="00BD2F77">
              <w:rPr>
                <w:b w:val="0"/>
                <w:sz w:val="20"/>
                <w:szCs w:val="20"/>
              </w:rPr>
              <w:t>Izrada i objava izvješća</w:t>
            </w:r>
            <w:r w:rsidR="00867C9F" w:rsidRPr="00BD2F77">
              <w:rPr>
                <w:b w:val="0"/>
              </w:rPr>
              <w:t xml:space="preserve"> </w:t>
            </w:r>
            <w:r w:rsidR="00867C9F" w:rsidRPr="00BD2F77">
              <w:rPr>
                <w:b w:val="0"/>
                <w:sz w:val="20"/>
                <w:szCs w:val="20"/>
              </w:rPr>
              <w:t>operatora transportnog sustava</w:t>
            </w:r>
          </w:p>
        </w:tc>
        <w:tc>
          <w:tcPr>
            <w:tcW w:w="0" w:type="pct"/>
          </w:tcPr>
          <w:p w14:paraId="45B90EB7" w14:textId="6FC19B3A" w:rsidR="001E543C" w:rsidRPr="005A25C9" w:rsidRDefault="00A46D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A46DD5">
              <w:rPr>
                <w:sz w:val="20"/>
                <w:szCs w:val="20"/>
              </w:rPr>
              <w:t>Zakon o tržištu plina (</w:t>
            </w:r>
            <w:r w:rsidR="00880054">
              <w:rPr>
                <w:sz w:val="20"/>
                <w:szCs w:val="20"/>
              </w:rPr>
              <w:t>NN</w:t>
            </w:r>
            <w:r w:rsidRPr="00A46DD5">
              <w:rPr>
                <w:sz w:val="20"/>
                <w:szCs w:val="20"/>
              </w:rPr>
              <w:t xml:space="preserve"> 18/18)</w:t>
            </w:r>
          </w:p>
        </w:tc>
        <w:tc>
          <w:tcPr>
            <w:tcW w:w="0" w:type="pct"/>
          </w:tcPr>
          <w:p w14:paraId="677665FC" w14:textId="079BABDE" w:rsidR="001E543C" w:rsidRPr="00A131A4" w:rsidRDefault="001710D9" w:rsidP="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PLINACRO je</w:t>
            </w:r>
            <w:r w:rsidR="00B0677D">
              <w:rPr>
                <w:bCs/>
                <w:sz w:val="20"/>
                <w:szCs w:val="20"/>
              </w:rPr>
              <w:t xml:space="preserve"> dužan do 1.3. tekuće godine izraditi i HERA-i dostaviti izvješće</w:t>
            </w:r>
            <w:r w:rsidRPr="001710D9">
              <w:rPr>
                <w:bCs/>
                <w:sz w:val="20"/>
                <w:szCs w:val="20"/>
              </w:rPr>
              <w:t xml:space="preserve"> za prethodnu godinu, a koje mora sadržavati izvješće </w:t>
            </w:r>
            <w:r w:rsidRPr="007145ED">
              <w:rPr>
                <w:b/>
                <w:bCs/>
                <w:sz w:val="20"/>
                <w:szCs w:val="20"/>
              </w:rPr>
              <w:t>o pouzdanosti, sigurnosti</w:t>
            </w:r>
            <w:r w:rsidRPr="001710D9">
              <w:rPr>
                <w:bCs/>
                <w:sz w:val="20"/>
                <w:szCs w:val="20"/>
              </w:rPr>
              <w:t xml:space="preserve"> i učinkovitosti transportnog sustava, kvaliteti plina, kvaliteti usluge, pouzdanosti isporuke plina, tehničkim karakteristikama sustava, korištenju kapaciteta </w:t>
            </w:r>
            <w:r w:rsidRPr="001710D9">
              <w:rPr>
                <w:bCs/>
                <w:sz w:val="20"/>
                <w:szCs w:val="20"/>
              </w:rPr>
              <w:lastRenderedPageBreak/>
              <w:t>transportnog sustava, održavanju opreme sustava te ispunjavanju ostalih dužnosti i ostvarivanju prava iz ovoga Zakona</w:t>
            </w:r>
          </w:p>
        </w:tc>
      </w:tr>
      <w:tr w:rsidR="007E6002" w:rsidRPr="00EF5587" w14:paraId="22D62D3E"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416307FF" w14:textId="6752A4D5" w:rsidR="007E6002" w:rsidRPr="00765552" w:rsidRDefault="006015A3">
            <w:pPr>
              <w:pStyle w:val="Default"/>
              <w:rPr>
                <w:b w:val="0"/>
                <w:sz w:val="20"/>
                <w:szCs w:val="20"/>
              </w:rPr>
            </w:pPr>
            <w:r w:rsidRPr="006015A3">
              <w:rPr>
                <w:b w:val="0"/>
                <w:sz w:val="20"/>
                <w:szCs w:val="20"/>
              </w:rPr>
              <w:lastRenderedPageBreak/>
              <w:t>Plan obrane elektroenergetskog sustava od velikih poremećaja</w:t>
            </w:r>
          </w:p>
        </w:tc>
        <w:tc>
          <w:tcPr>
            <w:tcW w:w="0" w:type="pct"/>
          </w:tcPr>
          <w:p w14:paraId="0F368CCB" w14:textId="7E6846E5" w:rsidR="007E6002" w:rsidRPr="00EF5587"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25C9">
              <w:rPr>
                <w:sz w:val="20"/>
                <w:szCs w:val="20"/>
              </w:rPr>
              <w:t>Zakon o</w:t>
            </w:r>
            <w:r w:rsidRPr="0031468F">
              <w:rPr>
                <w:sz w:val="20"/>
                <w:szCs w:val="20"/>
              </w:rPr>
              <w:t xml:space="preserve"> tržištu električne energije (</w:t>
            </w:r>
            <w:r w:rsidR="00880054">
              <w:rPr>
                <w:sz w:val="20"/>
                <w:szCs w:val="20"/>
              </w:rPr>
              <w:t>NN</w:t>
            </w:r>
            <w:r w:rsidRPr="0031468F">
              <w:rPr>
                <w:sz w:val="20"/>
                <w:szCs w:val="20"/>
              </w:rPr>
              <w:t xml:space="preserve"> 22/13, 102/15, 68/18)</w:t>
            </w:r>
          </w:p>
        </w:tc>
        <w:tc>
          <w:tcPr>
            <w:tcW w:w="0" w:type="pct"/>
          </w:tcPr>
          <w:p w14:paraId="7B599FC4" w14:textId="3A1C42AD" w:rsidR="00A131A4" w:rsidRPr="00A131A4" w:rsidRDefault="00A131A4" w:rsidP="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A131A4">
              <w:rPr>
                <w:bCs/>
                <w:sz w:val="20"/>
                <w:szCs w:val="20"/>
              </w:rPr>
              <w:t>Hrvatski operator prijenosnog sustava (u daljnjem tekstu: HOPS) odgovoran je za</w:t>
            </w:r>
            <w:r>
              <w:rPr>
                <w:bCs/>
                <w:sz w:val="20"/>
                <w:szCs w:val="20"/>
              </w:rPr>
              <w:t xml:space="preserve"> </w:t>
            </w:r>
            <w:r w:rsidRPr="00A131A4">
              <w:rPr>
                <w:bCs/>
                <w:sz w:val="20"/>
                <w:szCs w:val="20"/>
              </w:rPr>
              <w:t>pouzdanost i raspoloživost sustava opskrbe elektri</w:t>
            </w:r>
            <w:r w:rsidR="00A8751A">
              <w:rPr>
                <w:bCs/>
                <w:sz w:val="20"/>
                <w:szCs w:val="20"/>
              </w:rPr>
              <w:t>č</w:t>
            </w:r>
            <w:r w:rsidRPr="00A131A4">
              <w:rPr>
                <w:bCs/>
                <w:sz w:val="20"/>
                <w:szCs w:val="20"/>
              </w:rPr>
              <w:t>nom energijom te ispravnu koordinaciju</w:t>
            </w:r>
            <w:r>
              <w:rPr>
                <w:bCs/>
                <w:sz w:val="20"/>
                <w:szCs w:val="20"/>
              </w:rPr>
              <w:t xml:space="preserve"> </w:t>
            </w:r>
            <w:r w:rsidRPr="00A131A4">
              <w:rPr>
                <w:bCs/>
                <w:sz w:val="20"/>
                <w:szCs w:val="20"/>
              </w:rPr>
              <w:t>sustava proizvodnje, prijenosa i distribucije uz odgovornost za vo</w:t>
            </w:r>
            <w:r>
              <w:rPr>
                <w:bCs/>
                <w:sz w:val="20"/>
                <w:szCs w:val="20"/>
              </w:rPr>
              <w:t>đ</w:t>
            </w:r>
            <w:r w:rsidRPr="00A131A4">
              <w:rPr>
                <w:bCs/>
                <w:sz w:val="20"/>
                <w:szCs w:val="20"/>
              </w:rPr>
              <w:t>enje elektroenergetskog</w:t>
            </w:r>
          </w:p>
          <w:p w14:paraId="0C9A9F19" w14:textId="75E10237" w:rsidR="007E6002" w:rsidRPr="00EF5587" w:rsidRDefault="00A131A4">
            <w:pPr>
              <w:pStyle w:val="Default"/>
              <w:cnfStyle w:val="000000000000" w:firstRow="0" w:lastRow="0" w:firstColumn="0" w:lastColumn="0" w:oddVBand="0" w:evenVBand="0" w:oddHBand="0" w:evenHBand="0" w:firstRowFirstColumn="0" w:firstRowLastColumn="0" w:lastRowFirstColumn="0" w:lastRowLastColumn="0"/>
              <w:rPr>
                <w:bCs/>
                <w:sz w:val="20"/>
                <w:szCs w:val="20"/>
              </w:rPr>
            </w:pPr>
            <w:r w:rsidRPr="00A131A4">
              <w:rPr>
                <w:bCs/>
                <w:sz w:val="20"/>
                <w:szCs w:val="20"/>
              </w:rPr>
              <w:t>sustava na na</w:t>
            </w:r>
            <w:r w:rsidR="006169A8">
              <w:rPr>
                <w:bCs/>
                <w:sz w:val="20"/>
                <w:szCs w:val="20"/>
              </w:rPr>
              <w:t>č</w:t>
            </w:r>
            <w:r w:rsidRPr="00A131A4">
              <w:rPr>
                <w:bCs/>
                <w:sz w:val="20"/>
                <w:szCs w:val="20"/>
              </w:rPr>
              <w:t>in kojim se postiže sigurnost isporuke elektri</w:t>
            </w:r>
            <w:r w:rsidR="00A8751A">
              <w:rPr>
                <w:bCs/>
                <w:sz w:val="20"/>
                <w:szCs w:val="20"/>
              </w:rPr>
              <w:t>č</w:t>
            </w:r>
            <w:r w:rsidRPr="00A131A4">
              <w:rPr>
                <w:bCs/>
                <w:sz w:val="20"/>
                <w:szCs w:val="20"/>
              </w:rPr>
              <w:t>ne energije</w:t>
            </w:r>
            <w:r>
              <w:rPr>
                <w:bCs/>
                <w:sz w:val="20"/>
                <w:szCs w:val="20"/>
              </w:rPr>
              <w:t>. HOPS izrađuje Godišnje izvješće</w:t>
            </w:r>
            <w:r w:rsidR="006015A3">
              <w:rPr>
                <w:bCs/>
                <w:sz w:val="20"/>
                <w:szCs w:val="20"/>
              </w:rPr>
              <w:t xml:space="preserve"> </w:t>
            </w:r>
            <w:r w:rsidR="006015A3" w:rsidRPr="00A131A4">
              <w:rPr>
                <w:sz w:val="20"/>
                <w:szCs w:val="20"/>
              </w:rPr>
              <w:t>o sigurnosti opskrbe hrvatskog elektroenergetskog</w:t>
            </w:r>
            <w:r w:rsidR="006015A3">
              <w:rPr>
                <w:sz w:val="20"/>
                <w:szCs w:val="20"/>
              </w:rPr>
              <w:t xml:space="preserve"> </w:t>
            </w:r>
            <w:r w:rsidR="006015A3" w:rsidRPr="00A131A4">
              <w:rPr>
                <w:sz w:val="20"/>
                <w:szCs w:val="20"/>
              </w:rPr>
              <w:t>sustava</w:t>
            </w:r>
            <w:r>
              <w:rPr>
                <w:bCs/>
                <w:sz w:val="20"/>
                <w:szCs w:val="20"/>
              </w:rPr>
              <w:t>, a odobrava ga Hrvatska energetska regulatorna agencija.</w:t>
            </w:r>
            <w:r w:rsidR="006015A3">
              <w:rPr>
                <w:bCs/>
                <w:sz w:val="20"/>
                <w:szCs w:val="20"/>
              </w:rPr>
              <w:t xml:space="preserve"> </w:t>
            </w:r>
            <w:r w:rsidR="006015A3" w:rsidRPr="006015A3">
              <w:rPr>
                <w:bCs/>
                <w:sz w:val="20"/>
                <w:szCs w:val="20"/>
              </w:rPr>
              <w:t>Mjere iz Plana obrane provode svi korisnici prijenosnog sustava i za njih su obvezne.</w:t>
            </w:r>
          </w:p>
        </w:tc>
      </w:tr>
      <w:tr w:rsidR="007E6002" w:rsidRPr="00EF5587" w14:paraId="42652F7C"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0D926EFB" w14:textId="310291FD" w:rsidR="007E6002" w:rsidRPr="00080936" w:rsidRDefault="006015A3" w:rsidP="00D956D5">
            <w:pPr>
              <w:pStyle w:val="Default"/>
              <w:rPr>
                <w:sz w:val="20"/>
                <w:szCs w:val="20"/>
              </w:rPr>
            </w:pPr>
            <w:r w:rsidRPr="006015A3">
              <w:rPr>
                <w:b w:val="0"/>
                <w:sz w:val="20"/>
                <w:szCs w:val="20"/>
              </w:rPr>
              <w:t>Plan intervencije o mjerama zaštite sigurnosti opskrbe plinom Republike Hrvatske</w:t>
            </w:r>
          </w:p>
        </w:tc>
        <w:tc>
          <w:tcPr>
            <w:tcW w:w="0" w:type="pct"/>
          </w:tcPr>
          <w:p w14:paraId="45B8434A" w14:textId="37DBEA77" w:rsidR="007E6002" w:rsidRPr="00EF5587" w:rsidRDefault="006015A3"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Uredba (EU) br. 994/2010 Europskog parlamenta i Vijeća od 20. listopada 2010. o mjerama zaštite sigurnosti opskrbe plinom</w:t>
            </w:r>
          </w:p>
        </w:tc>
        <w:tc>
          <w:tcPr>
            <w:tcW w:w="0" w:type="pct"/>
          </w:tcPr>
          <w:p w14:paraId="48FA38E3" w14:textId="17E14919" w:rsidR="007E6002" w:rsidRPr="0031468F" w:rsidRDefault="006015A3"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Planom intervencije uređuju se mjere za osiguranje pouzdane i učinkovite opskrbe prirodnim plinom, kriteriji i način određivanja dovoljne količine prirodnog plina za osiguranje pouzdane opskrbe prirodnim plinom zaštićenih kupaca, redoslijed smanjenja ili obustave opskrbe prirodnim plinom pojedini</w:t>
            </w:r>
            <w:r w:rsidR="007472DA">
              <w:rPr>
                <w:sz w:val="20"/>
                <w:szCs w:val="20"/>
              </w:rPr>
              <w:t>h</w:t>
            </w:r>
            <w:r w:rsidRPr="0031468F">
              <w:rPr>
                <w:sz w:val="20"/>
                <w:szCs w:val="20"/>
              </w:rPr>
              <w:t xml:space="preserve"> kategorija kupaca u slučaju kriznog stanja te sadržaj izvješća opskrbljivača plinom o sigurnosti opskrbe prirodnim plinom.</w:t>
            </w:r>
          </w:p>
        </w:tc>
      </w:tr>
      <w:tr w:rsidR="006015A3" w:rsidRPr="00EF5587" w14:paraId="736277CC"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3EDB8BC7" w14:textId="2A1AE8CA" w:rsidR="006015A3" w:rsidRPr="000D2AB4" w:rsidRDefault="006015A3" w:rsidP="006015A3">
            <w:pPr>
              <w:pStyle w:val="Default"/>
              <w:rPr>
                <w:b w:val="0"/>
                <w:sz w:val="20"/>
                <w:szCs w:val="20"/>
              </w:rPr>
            </w:pPr>
            <w:r w:rsidRPr="00080936">
              <w:rPr>
                <w:b w:val="0"/>
                <w:sz w:val="20"/>
                <w:szCs w:val="20"/>
              </w:rPr>
              <w:t>Formiranje i držanje obveznih zaliha nafte i naftnih derivata</w:t>
            </w:r>
          </w:p>
        </w:tc>
        <w:tc>
          <w:tcPr>
            <w:tcW w:w="0" w:type="pct"/>
          </w:tcPr>
          <w:p w14:paraId="078E2212" w14:textId="65614E92" w:rsidR="006015A3" w:rsidRPr="00EF5587" w:rsidRDefault="006015A3" w:rsidP="006015A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080936">
              <w:rPr>
                <w:rFonts w:cs="Arial"/>
                <w:sz w:val="20"/>
                <w:szCs w:val="20"/>
              </w:rPr>
              <w:t>Zakon o tržištu nafte i naftnih derivata (NN 19/14, 73/17)</w:t>
            </w:r>
          </w:p>
        </w:tc>
        <w:tc>
          <w:tcPr>
            <w:tcW w:w="0" w:type="pct"/>
          </w:tcPr>
          <w:p w14:paraId="72BDB8AB" w14:textId="6AEBB953" w:rsidR="006015A3" w:rsidRPr="0031468F" w:rsidRDefault="006015A3" w:rsidP="006015A3">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Agencija </w:t>
            </w:r>
            <w:r w:rsidR="007472DA">
              <w:rPr>
                <w:sz w:val="20"/>
                <w:szCs w:val="20"/>
              </w:rPr>
              <w:t>z</w:t>
            </w:r>
            <w:r w:rsidRPr="0031468F">
              <w:rPr>
                <w:sz w:val="20"/>
                <w:szCs w:val="20"/>
              </w:rPr>
              <w:t xml:space="preserve">a </w:t>
            </w:r>
            <w:r w:rsidR="007472DA">
              <w:rPr>
                <w:sz w:val="20"/>
                <w:szCs w:val="20"/>
              </w:rPr>
              <w:t>u</w:t>
            </w:r>
            <w:r w:rsidR="007472DA" w:rsidRPr="0031468F">
              <w:rPr>
                <w:sz w:val="20"/>
                <w:szCs w:val="20"/>
              </w:rPr>
              <w:t>gljikovodike</w:t>
            </w:r>
            <w:r w:rsidR="007472DA">
              <w:rPr>
                <w:sz w:val="20"/>
                <w:szCs w:val="20"/>
              </w:rPr>
              <w:t xml:space="preserve"> (AZU)</w:t>
            </w:r>
            <w:r w:rsidR="007472DA" w:rsidRPr="0031468F">
              <w:rPr>
                <w:sz w:val="20"/>
                <w:szCs w:val="20"/>
              </w:rPr>
              <w:t xml:space="preserve"> </w:t>
            </w:r>
            <w:r w:rsidRPr="0031468F">
              <w:rPr>
                <w:sz w:val="20"/>
                <w:szCs w:val="20"/>
              </w:rPr>
              <w:t>kao Središnje tijelo u RH za obvezne zalihe nafte i naftnih derivata obvezno je formirati zalihe najmanje u količini od 90 dana prosječnog dnevnog neto uvoza, odnosno unosa ili 61 dan prosječne dnevne domaće potrošnje naftnih derivata u prethodnoj kalendarskoj godini, ovisno o tome koja je količina veća. Obvezne zalihe nafte i naftnih derivata formiraju se za osiguranje opskrbe naftom i naftnim derivatima u slučaju prijetnje energetskoj sigurnosti države, zbog izvanrednih poremećaja opskrbe tržišta nafte i naftnih derivata.</w:t>
            </w:r>
          </w:p>
        </w:tc>
      </w:tr>
    </w:tbl>
    <w:p w14:paraId="6F54BE5C" w14:textId="77777777" w:rsidR="00DA7722" w:rsidRDefault="00DA7722">
      <w:pPr>
        <w:suppressAutoHyphens w:val="0"/>
        <w:spacing w:before="0" w:after="0" w:line="240" w:lineRule="auto"/>
        <w:jc w:val="left"/>
        <w:rPr>
          <w:i/>
        </w:rPr>
      </w:pPr>
      <w:r>
        <w:rPr>
          <w:i/>
        </w:rPr>
        <w:br w:type="page"/>
      </w:r>
    </w:p>
    <w:p w14:paraId="30198DE7" w14:textId="45C345AC" w:rsidR="00FF0CF3" w:rsidRPr="0031468F" w:rsidRDefault="00FF0CF3" w:rsidP="00725326">
      <w:pPr>
        <w:shd w:val="clear" w:color="auto" w:fill="DEEAF6" w:themeFill="accent1" w:themeFillTint="33"/>
        <w:rPr>
          <w:i/>
        </w:rPr>
      </w:pPr>
      <w:r w:rsidRPr="0031468F">
        <w:rPr>
          <w:i/>
        </w:rPr>
        <w:lastRenderedPageBreak/>
        <w:t>Dimenzija „Unutarnje energetsko tržište“</w:t>
      </w:r>
    </w:p>
    <w:p w14:paraId="58406969" w14:textId="2A095EB1" w:rsidR="00634B7C" w:rsidRDefault="00634B7C" w:rsidP="00FF0CF3">
      <w:r>
        <w:t>Za unutarnje energetsko tržište relevantan je set zakona koji reguliraju energetska tržišta, i to:</w:t>
      </w:r>
    </w:p>
    <w:p w14:paraId="38ECC431" w14:textId="517E1E9A" w:rsidR="00985E80" w:rsidRDefault="00985E80" w:rsidP="00840E2E">
      <w:pPr>
        <w:pStyle w:val="ListParagraph"/>
        <w:numPr>
          <w:ilvl w:val="0"/>
          <w:numId w:val="14"/>
        </w:numPr>
      </w:pPr>
      <w:r>
        <w:t>Zakon o energiji (NN 120/12, 14/14, 102/15, 68/18)</w:t>
      </w:r>
      <w:r w:rsidR="00355F4D">
        <w:t>,</w:t>
      </w:r>
    </w:p>
    <w:p w14:paraId="6E2F6351" w14:textId="6E68DD86" w:rsidR="00985E80" w:rsidRDefault="00985E80" w:rsidP="00840E2E">
      <w:pPr>
        <w:pStyle w:val="ListParagraph"/>
        <w:numPr>
          <w:ilvl w:val="0"/>
          <w:numId w:val="14"/>
        </w:numPr>
      </w:pPr>
      <w:r>
        <w:t xml:space="preserve">Zakon o tržištu električne energije (NN 22/13, </w:t>
      </w:r>
      <w:r w:rsidR="00990CDE">
        <w:t xml:space="preserve">95/15, </w:t>
      </w:r>
      <w:r>
        <w:t>102/15, 68/18)</w:t>
      </w:r>
      <w:r w:rsidR="00355F4D">
        <w:t>,</w:t>
      </w:r>
      <w:r>
        <w:t xml:space="preserve"> </w:t>
      </w:r>
    </w:p>
    <w:p w14:paraId="2B01FA43" w14:textId="0174CAC9" w:rsidR="00985E80" w:rsidRDefault="00985E80" w:rsidP="00840E2E">
      <w:pPr>
        <w:pStyle w:val="ListParagraph"/>
        <w:numPr>
          <w:ilvl w:val="0"/>
          <w:numId w:val="14"/>
        </w:numPr>
      </w:pPr>
      <w:r>
        <w:t>Zakon o tržištu plina (</w:t>
      </w:r>
      <w:r w:rsidR="00880054">
        <w:t>NN</w:t>
      </w:r>
      <w:r>
        <w:t xml:space="preserve"> 18/18)</w:t>
      </w:r>
      <w:r w:rsidR="00355F4D">
        <w:t>,</w:t>
      </w:r>
    </w:p>
    <w:p w14:paraId="05EA9C1C" w14:textId="5A37007A" w:rsidR="00985E80" w:rsidRDefault="00985E80" w:rsidP="00840E2E">
      <w:pPr>
        <w:pStyle w:val="ListParagraph"/>
        <w:numPr>
          <w:ilvl w:val="0"/>
          <w:numId w:val="14"/>
        </w:numPr>
      </w:pPr>
      <w:r>
        <w:t>Zakon o tržištu nafte i naftnih derivata (NN 19/14, 73/17)</w:t>
      </w:r>
      <w:r w:rsidR="00355F4D">
        <w:t>,</w:t>
      </w:r>
    </w:p>
    <w:p w14:paraId="2E379B0B" w14:textId="0B1A20E4" w:rsidR="00985E80" w:rsidRDefault="00985E80" w:rsidP="00840E2E">
      <w:pPr>
        <w:pStyle w:val="ListParagraph"/>
        <w:numPr>
          <w:ilvl w:val="0"/>
          <w:numId w:val="14"/>
        </w:numPr>
      </w:pPr>
      <w:r>
        <w:t>Zakon o regulaciji energetskih djelatnosti (</w:t>
      </w:r>
      <w:r w:rsidRPr="005D0CDF">
        <w:t>NN 120/12, 68/18</w:t>
      </w:r>
      <w:r>
        <w:t>)</w:t>
      </w:r>
      <w:r w:rsidR="00355F4D">
        <w:t>,</w:t>
      </w:r>
    </w:p>
    <w:p w14:paraId="403CC7C8" w14:textId="789443C7" w:rsidR="004E23F6" w:rsidRDefault="004E23F6" w:rsidP="00840E2E">
      <w:pPr>
        <w:pStyle w:val="ListParagraph"/>
        <w:numPr>
          <w:ilvl w:val="0"/>
          <w:numId w:val="14"/>
        </w:numPr>
      </w:pPr>
      <w:r w:rsidRPr="004E23F6">
        <w:t>Zakon o istraživanju i eksploataciji ugljikovodika (NN 52/18, 52/19)</w:t>
      </w:r>
      <w:r>
        <w:t>.</w:t>
      </w:r>
    </w:p>
    <w:p w14:paraId="5C0B430D" w14:textId="21C9B344" w:rsidR="005A526A" w:rsidRDefault="005A526A" w:rsidP="005A526A">
      <w:r>
        <w:t xml:space="preserve">U pogledu elektroenergetske međusobne povezanosti prije svega je potrebno razmotriti cilj EU prema kojem je željena razina interkonekcijske povezanosti najmanje 15 % u odnosu na instaliranu snagu elektrana u promatranoj državi do 2030. godine. Prijenosni sustav na području RH već sad zadovoljava te višestruko premašuje taj cilj. Isto vrijedi i </w:t>
      </w:r>
      <w:r w:rsidR="004F4102">
        <w:t>ako</w:t>
      </w:r>
      <w:r>
        <w:t xml:space="preserve"> se postojeći interkonekcijski kapaciteti uspoređuju s vršnim opterećenjem sustava odnosno s instaliranom snagom OiE na teritoriju RH.</w:t>
      </w:r>
    </w:p>
    <w:p w14:paraId="31504785" w14:textId="22080F5E" w:rsidR="005A526A" w:rsidRDefault="005A526A" w:rsidP="007E6002">
      <w:r>
        <w:t xml:space="preserve">Najvažnije mjere u pogledu infrastrukture za prijenos energije prikazuje </w:t>
      </w:r>
      <w:r>
        <w:fldChar w:fldCharType="begin"/>
      </w:r>
      <w:r>
        <w:instrText xml:space="preserve"> REF _Ref531676813 \h </w:instrText>
      </w:r>
      <w:r>
        <w:fldChar w:fldCharType="separate"/>
      </w:r>
      <w:r w:rsidR="00154150">
        <w:t xml:space="preserve">Tablica </w:t>
      </w:r>
      <w:r w:rsidR="00154150">
        <w:rPr>
          <w:noProof/>
        </w:rPr>
        <w:t>1</w:t>
      </w:r>
      <w:r w:rsidR="00154150">
        <w:t>–</w:t>
      </w:r>
      <w:r w:rsidR="00154150">
        <w:rPr>
          <w:noProof/>
        </w:rPr>
        <w:t>10</w:t>
      </w:r>
      <w:r>
        <w:fldChar w:fldCharType="end"/>
      </w:r>
      <w:r>
        <w:t>.</w:t>
      </w:r>
    </w:p>
    <w:p w14:paraId="2A1D8552" w14:textId="64E30122" w:rsidR="007E6002" w:rsidRDefault="007E6002" w:rsidP="007E6002">
      <w:pPr>
        <w:pStyle w:val="Caption"/>
        <w:rPr>
          <w:rFonts w:cs="Arial"/>
        </w:rPr>
      </w:pPr>
      <w:bookmarkStart w:id="95" w:name="_Ref531676813"/>
      <w:bookmarkStart w:id="96" w:name="_Toc27396202"/>
      <w:r>
        <w:t xml:space="preserve">Tablica </w:t>
      </w:r>
      <w:fldSimple w:instr=" STYLEREF 1 \s ">
        <w:r w:rsidR="00154150">
          <w:rPr>
            <w:noProof/>
          </w:rPr>
          <w:t>1</w:t>
        </w:r>
      </w:fldSimple>
      <w:r w:rsidR="00562DF0">
        <w:t>–</w:t>
      </w:r>
      <w:fldSimple w:instr=" SEQ Tablica \* ARABIC \s 1 ">
        <w:r w:rsidR="00154150">
          <w:rPr>
            <w:noProof/>
          </w:rPr>
          <w:t>10</w:t>
        </w:r>
      </w:fldSimple>
      <w:bookmarkEnd w:id="95"/>
      <w:r w:rsidR="00210967">
        <w:t>.</w:t>
      </w:r>
      <w:r w:rsidR="00483D4C">
        <w:rPr>
          <w:noProof/>
        </w:rPr>
        <w:t xml:space="preserve"> </w:t>
      </w:r>
      <w:r>
        <w:t xml:space="preserve">Postojeće mjere </w:t>
      </w:r>
      <w:r w:rsidR="005A526A">
        <w:t>za infrastrukturu za prijenos energije</w:t>
      </w:r>
      <w:bookmarkEnd w:id="96"/>
    </w:p>
    <w:tbl>
      <w:tblPr>
        <w:tblStyle w:val="Svijetlatablicareetke11"/>
        <w:tblW w:w="5000" w:type="pct"/>
        <w:tblLook w:val="04A0" w:firstRow="1" w:lastRow="0" w:firstColumn="1" w:lastColumn="0" w:noHBand="0" w:noVBand="1"/>
      </w:tblPr>
      <w:tblGrid>
        <w:gridCol w:w="3206"/>
        <w:gridCol w:w="2649"/>
        <w:gridCol w:w="3205"/>
      </w:tblGrid>
      <w:tr w:rsidR="007E6002" w:rsidRPr="00EF5587" w14:paraId="0D45AF2C"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49906A70" w14:textId="77777777" w:rsidR="007E6002" w:rsidRPr="00EF5587" w:rsidRDefault="007E6002" w:rsidP="00D956D5">
            <w:pPr>
              <w:spacing w:before="0" w:after="0" w:line="240" w:lineRule="auto"/>
              <w:rPr>
                <w:rFonts w:cs="Arial"/>
                <w:sz w:val="20"/>
                <w:szCs w:val="20"/>
              </w:rPr>
            </w:pPr>
            <w:r w:rsidRPr="00EF5587">
              <w:rPr>
                <w:rFonts w:cs="Arial"/>
                <w:sz w:val="20"/>
                <w:szCs w:val="20"/>
              </w:rPr>
              <w:t>Naziv mjere</w:t>
            </w:r>
          </w:p>
        </w:tc>
        <w:tc>
          <w:tcPr>
            <w:tcW w:w="0" w:type="pct"/>
            <w:shd w:val="clear" w:color="auto" w:fill="DEEAF6" w:themeFill="accent1" w:themeFillTint="33"/>
          </w:tcPr>
          <w:p w14:paraId="445027C0"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0" w:type="pct"/>
            <w:shd w:val="clear" w:color="auto" w:fill="DEEAF6" w:themeFill="accent1" w:themeFillTint="33"/>
          </w:tcPr>
          <w:p w14:paraId="5211BB27" w14:textId="77777777" w:rsidR="007E6002" w:rsidRPr="00EF5587" w:rsidRDefault="007E6002"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7E6002" w:rsidRPr="00EF5587" w14:paraId="2DEAE12D" w14:textId="77777777" w:rsidTr="007145ED">
        <w:tc>
          <w:tcPr>
            <w:cnfStyle w:val="001000000000" w:firstRow="0" w:lastRow="0" w:firstColumn="1" w:lastColumn="0" w:oddVBand="0" w:evenVBand="0" w:oddHBand="0" w:evenHBand="0" w:firstRowFirstColumn="0" w:firstRowLastColumn="0" w:lastRowFirstColumn="0" w:lastRowLastColumn="0"/>
            <w:tcW w:w="1769" w:type="pct"/>
          </w:tcPr>
          <w:p w14:paraId="455DE2F5" w14:textId="77777777" w:rsidR="007E6002" w:rsidRPr="00765552" w:rsidRDefault="007E6002" w:rsidP="00D956D5">
            <w:pPr>
              <w:pStyle w:val="Default"/>
              <w:rPr>
                <w:b w:val="0"/>
                <w:sz w:val="20"/>
                <w:szCs w:val="20"/>
              </w:rPr>
            </w:pPr>
            <w:r w:rsidRPr="00765552">
              <w:rPr>
                <w:b w:val="0"/>
                <w:sz w:val="20"/>
                <w:szCs w:val="20"/>
              </w:rPr>
              <w:t>Izrada i provedba planova razvoja prijenosne</w:t>
            </w:r>
            <w:r>
              <w:rPr>
                <w:b w:val="0"/>
                <w:sz w:val="20"/>
                <w:szCs w:val="20"/>
              </w:rPr>
              <w:t xml:space="preserve"> elektroenergetske</w:t>
            </w:r>
            <w:r w:rsidRPr="00765552">
              <w:rPr>
                <w:b w:val="0"/>
                <w:sz w:val="20"/>
                <w:szCs w:val="20"/>
              </w:rPr>
              <w:t xml:space="preserve"> mreže</w:t>
            </w:r>
          </w:p>
        </w:tc>
        <w:tc>
          <w:tcPr>
            <w:tcW w:w="1462" w:type="pct"/>
          </w:tcPr>
          <w:p w14:paraId="3DD89EC8" w14:textId="77777777" w:rsidR="007E6002" w:rsidRPr="00EF5587"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tržištu električne energije (NN 22/13, 102/15, 68/18)</w:t>
            </w:r>
          </w:p>
        </w:tc>
        <w:tc>
          <w:tcPr>
            <w:tcW w:w="1769" w:type="pct"/>
          </w:tcPr>
          <w:p w14:paraId="3A5026F6" w14:textId="436E5953"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HOPS je energetski subjekt odgovoran za upravljanje, pogon i vođenje, održavanje, razvoj i izgradnju prijenosne elektroenergetske mreže. Temeljem Zakona o</w:t>
            </w:r>
          </w:p>
          <w:p w14:paraId="2FF39012" w14:textId="0599BC0D"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tržištu električne energije, HOPS je kao vlasnik prijenosne mreže 110 kV do 400 kV, dužan izraditi i donijeti, uz prethodnu suglasnost HERA</w:t>
            </w:r>
            <w:r w:rsidR="007472DA">
              <w:rPr>
                <w:sz w:val="20"/>
                <w:szCs w:val="20"/>
              </w:rPr>
              <w:t>-e</w:t>
            </w:r>
            <w:r w:rsidRPr="0031468F">
              <w:rPr>
                <w:sz w:val="20"/>
                <w:szCs w:val="20"/>
              </w:rPr>
              <w:t>, desetogodišnje, trogodišnje i jednogodišnje investicijske planove razvoja prijenosne mreže</w:t>
            </w:r>
          </w:p>
        </w:tc>
      </w:tr>
      <w:tr w:rsidR="007E6002" w:rsidRPr="00EF5587" w14:paraId="18931882" w14:textId="77777777" w:rsidTr="007145ED">
        <w:tc>
          <w:tcPr>
            <w:cnfStyle w:val="001000000000" w:firstRow="0" w:lastRow="0" w:firstColumn="1" w:lastColumn="0" w:oddVBand="0" w:evenVBand="0" w:oddHBand="0" w:evenHBand="0" w:firstRowFirstColumn="0" w:firstRowLastColumn="0" w:lastRowFirstColumn="0" w:lastRowLastColumn="0"/>
            <w:tcW w:w="1769" w:type="pct"/>
          </w:tcPr>
          <w:p w14:paraId="26CD3EA3" w14:textId="77777777" w:rsidR="007E6002" w:rsidRPr="00080936" w:rsidRDefault="007E6002" w:rsidP="00D956D5">
            <w:pPr>
              <w:pStyle w:val="Default"/>
              <w:rPr>
                <w:sz w:val="20"/>
                <w:szCs w:val="20"/>
              </w:rPr>
            </w:pPr>
            <w:r w:rsidRPr="00765552">
              <w:rPr>
                <w:b w:val="0"/>
                <w:sz w:val="20"/>
                <w:szCs w:val="20"/>
              </w:rPr>
              <w:t xml:space="preserve">Izrada i provedba planova razvoja </w:t>
            </w:r>
            <w:r>
              <w:rPr>
                <w:b w:val="0"/>
                <w:sz w:val="20"/>
                <w:szCs w:val="20"/>
              </w:rPr>
              <w:t>distribucijske elektroenergetske</w:t>
            </w:r>
            <w:r w:rsidRPr="00765552">
              <w:rPr>
                <w:b w:val="0"/>
                <w:sz w:val="20"/>
                <w:szCs w:val="20"/>
              </w:rPr>
              <w:t xml:space="preserve"> mreže</w:t>
            </w:r>
          </w:p>
        </w:tc>
        <w:tc>
          <w:tcPr>
            <w:tcW w:w="1462" w:type="pct"/>
          </w:tcPr>
          <w:p w14:paraId="2AE8AB0A" w14:textId="72D0F4D2" w:rsidR="007E6002" w:rsidRPr="00EF5587"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tržištu električne energije (</w:t>
            </w:r>
            <w:r w:rsidR="00880054">
              <w:rPr>
                <w:sz w:val="20"/>
                <w:szCs w:val="20"/>
              </w:rPr>
              <w:t>NN</w:t>
            </w:r>
            <w:r w:rsidRPr="0031468F">
              <w:rPr>
                <w:sz w:val="20"/>
                <w:szCs w:val="20"/>
              </w:rPr>
              <w:t xml:space="preserve"> 22/13, 102/15, 68/18)</w:t>
            </w:r>
          </w:p>
        </w:tc>
        <w:tc>
          <w:tcPr>
            <w:tcW w:w="1769" w:type="pct"/>
          </w:tcPr>
          <w:p w14:paraId="3AF65E79" w14:textId="462C58F5"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Sukladno Zakonu o tržištu električne energije</w:t>
            </w:r>
            <w:r w:rsidR="007472DA">
              <w:rPr>
                <w:sz w:val="20"/>
                <w:szCs w:val="20"/>
              </w:rPr>
              <w:t xml:space="preserve"> i</w:t>
            </w:r>
            <w:r w:rsidRPr="0031468F">
              <w:rPr>
                <w:sz w:val="20"/>
                <w:szCs w:val="20"/>
              </w:rPr>
              <w:t xml:space="preserve"> Mrežnim pravilima distribucijskog sustava propisuju se metodologija i kriteriji za planiranje razvoja distribucijske mreže.</w:t>
            </w:r>
          </w:p>
        </w:tc>
      </w:tr>
      <w:tr w:rsidR="007E6002" w:rsidRPr="00EF5587" w14:paraId="6CA3A87D" w14:textId="77777777" w:rsidTr="007145ED">
        <w:tc>
          <w:tcPr>
            <w:cnfStyle w:val="001000000000" w:firstRow="0" w:lastRow="0" w:firstColumn="1" w:lastColumn="0" w:oddVBand="0" w:evenVBand="0" w:oddHBand="0" w:evenHBand="0" w:firstRowFirstColumn="0" w:firstRowLastColumn="0" w:lastRowFirstColumn="0" w:lastRowLastColumn="0"/>
            <w:tcW w:w="1769" w:type="pct"/>
          </w:tcPr>
          <w:p w14:paraId="5E1FF0D1" w14:textId="77777777" w:rsidR="007E6002" w:rsidRPr="000D2AB4" w:rsidRDefault="007E6002" w:rsidP="00D956D5">
            <w:pPr>
              <w:pStyle w:val="Default"/>
              <w:rPr>
                <w:b w:val="0"/>
                <w:sz w:val="20"/>
                <w:szCs w:val="20"/>
              </w:rPr>
            </w:pPr>
            <w:r w:rsidRPr="000D2AB4">
              <w:rPr>
                <w:b w:val="0"/>
                <w:sz w:val="20"/>
                <w:szCs w:val="20"/>
              </w:rPr>
              <w:t xml:space="preserve">Izrada i provedba planova razvoja </w:t>
            </w:r>
            <w:r>
              <w:rPr>
                <w:b w:val="0"/>
                <w:sz w:val="20"/>
                <w:szCs w:val="20"/>
              </w:rPr>
              <w:t>plinskog transportnog sustava</w:t>
            </w:r>
          </w:p>
        </w:tc>
        <w:tc>
          <w:tcPr>
            <w:tcW w:w="1462" w:type="pct"/>
          </w:tcPr>
          <w:p w14:paraId="0A66679B" w14:textId="554D0F9A" w:rsidR="007E6002" w:rsidRPr="00EF5587" w:rsidRDefault="007E6002" w:rsidP="00D956D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B94F6A">
              <w:rPr>
                <w:rFonts w:cs="Arial"/>
                <w:sz w:val="20"/>
                <w:szCs w:val="20"/>
              </w:rPr>
              <w:t>Zakon o tržištu plina (</w:t>
            </w:r>
            <w:r w:rsidR="00880054">
              <w:rPr>
                <w:rFonts w:cs="Arial"/>
                <w:sz w:val="20"/>
                <w:szCs w:val="20"/>
              </w:rPr>
              <w:t>NN</w:t>
            </w:r>
            <w:r w:rsidRPr="00B94F6A">
              <w:rPr>
                <w:rFonts w:cs="Arial"/>
                <w:sz w:val="20"/>
                <w:szCs w:val="20"/>
              </w:rPr>
              <w:t xml:space="preserve"> 18/18)</w:t>
            </w:r>
          </w:p>
        </w:tc>
        <w:tc>
          <w:tcPr>
            <w:tcW w:w="1769" w:type="pct"/>
          </w:tcPr>
          <w:p w14:paraId="15A16B72" w14:textId="77777777" w:rsidR="007E6002" w:rsidRPr="0031468F" w:rsidRDefault="007E6002"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Operator transportnog sustava dužan je izraditi desetogodišnji plan razvoja transportnog sustava te voditi, održavati i razvijati siguran, pouzdan i učinkovit transportni sustav, u skladu s desetgodišnjim planom razvoja.</w:t>
            </w:r>
          </w:p>
        </w:tc>
      </w:tr>
    </w:tbl>
    <w:p w14:paraId="55BC2FAD" w14:textId="77777777" w:rsidR="004854DB" w:rsidRDefault="004854DB" w:rsidP="004854DB">
      <w:pPr>
        <w:suppressAutoHyphens w:val="0"/>
        <w:spacing w:after="160" w:line="259" w:lineRule="auto"/>
        <w:contextualSpacing/>
      </w:pPr>
    </w:p>
    <w:p w14:paraId="029701A5" w14:textId="1883C203" w:rsidR="00441CE5" w:rsidRPr="00BE1ECD" w:rsidRDefault="002958AC" w:rsidP="001A0C69">
      <w:r w:rsidRPr="002958AC">
        <w:lastRenderedPageBreak/>
        <w:t xml:space="preserve">Razina rezerve snage u proizvodnom dijelu </w:t>
      </w:r>
      <w:r w:rsidR="00DC6265">
        <w:t>elektroenergetskog sustava</w:t>
      </w:r>
      <w:r w:rsidR="00DC6265" w:rsidRPr="002958AC">
        <w:t xml:space="preserve"> </w:t>
      </w:r>
      <w:r w:rsidR="00DC6265">
        <w:t>(</w:t>
      </w:r>
      <w:r w:rsidRPr="002958AC">
        <w:t>EES</w:t>
      </w:r>
      <w:r w:rsidR="00DC6265">
        <w:t>)</w:t>
      </w:r>
      <w:r w:rsidRPr="002958AC">
        <w:t>,</w:t>
      </w:r>
      <w:r w:rsidR="00DC6265">
        <w:t xml:space="preserve"> </w:t>
      </w:r>
      <w:r w:rsidRPr="002958AC">
        <w:t>u Hrvatskoj i u susjednim sustavima s kojima je</w:t>
      </w:r>
      <w:r w:rsidR="007472DA">
        <w:t xml:space="preserve"> </w:t>
      </w:r>
      <w:r w:rsidRPr="002958AC">
        <w:t>EES Hrvatske umrežen omogućuje siguran</w:t>
      </w:r>
      <w:r>
        <w:t xml:space="preserve"> i</w:t>
      </w:r>
      <w:r w:rsidRPr="002958AC">
        <w:t xml:space="preserve"> pouzdan pogon sustava.</w:t>
      </w:r>
      <w:r w:rsidR="004A4659">
        <w:t xml:space="preserve"> </w:t>
      </w:r>
      <w:r w:rsidR="004854DB">
        <w:t xml:space="preserve">Adekvatnost </w:t>
      </w:r>
      <w:r w:rsidR="007472DA">
        <w:t xml:space="preserve">EES-a </w:t>
      </w:r>
      <w:r w:rsidR="004854DB">
        <w:t>u postojećem je stanju na zadovoljavajućoj visini uz potencijalnu ugrozu radi manjka raspoloživih domaćih proizvodnih kapaciteta, koju trenutno</w:t>
      </w:r>
      <w:r w:rsidR="0086329E">
        <w:t xml:space="preserve"> </w:t>
      </w:r>
      <w:r w:rsidR="004854DB">
        <w:t>nadoknađuju visoki iznosi mogućnosti prekograničnih razmjena, što adekvatnost i sigurnost opskrbe kupaca električnom energijom čini ovisnom o raspoloživosti prekograničnih prijenosnih kapaciteta i mogućnostima proizvodnje električne energije na širim regionalnim tržištima.</w:t>
      </w:r>
      <w:r>
        <w:t xml:space="preserve"> </w:t>
      </w:r>
    </w:p>
    <w:p w14:paraId="2EF3B307" w14:textId="71277FC7" w:rsidR="004854DB" w:rsidRDefault="004854DB" w:rsidP="00223709">
      <w:pPr>
        <w:suppressAutoHyphens w:val="0"/>
        <w:contextualSpacing/>
      </w:pPr>
      <w:r>
        <w:t xml:space="preserve">Fleksibilnost se može definirati kao promjena obrasca proizvodnje ili potrošnje električne energije odzivom na poticaj (cjenovni signal ili aktivaciju) kako bi se pružila pomoćna usluga </w:t>
      </w:r>
      <w:r w:rsidR="007472DA">
        <w:t>EES-u</w:t>
      </w:r>
      <w:r>
        <w:t>, najčešće operatoru sustava. Trenutno je u provedbi pilot projekt ispitivanja tržišta radi osiguravanja rezerve radne snage tercijarne regulacije upravljivom potrošnjom za potrebe HOPS-a. U okviru tog projekta, sklapanjem ugovornog odnosa s HOPS-om za pružanje pomoćne usluge osiguravanja rezerve radne snage tercijarne regulacije krajnji kupac izravno sudjeluje u mehanizmu uravnoteženja sustava i za to prima naknadu definiranu ugovorom. Jedinice s upravljivom potrošnjom mogu biti bilo koji uređaji čiju je potrošnju moguće smanjiti na nalog operatora prijenosnog sustava a dio su postrojenja krajnjeg kupca, kao na primjer električne peći, hladnjače, pumpe, kompresori i sl.</w:t>
      </w:r>
    </w:p>
    <w:p w14:paraId="5627CFEF" w14:textId="5E1EAC7B" w:rsidR="004854DB" w:rsidRDefault="004854DB">
      <w:r>
        <w:t>P</w:t>
      </w:r>
      <w:r w:rsidRPr="00A16FCC">
        <w:t>omoćn</w:t>
      </w:r>
      <w:r>
        <w:t>e</w:t>
      </w:r>
      <w:r w:rsidRPr="00A16FCC">
        <w:t xml:space="preserve"> uslug</w:t>
      </w:r>
      <w:r>
        <w:t>e</w:t>
      </w:r>
      <w:r w:rsidRPr="00A16FCC">
        <w:t xml:space="preserve"> i uslug</w:t>
      </w:r>
      <w:r>
        <w:t>e</w:t>
      </w:r>
      <w:r w:rsidRPr="00A16FCC">
        <w:t xml:space="preserve"> fleksibilnosti koje korisnici distribucijske mreže pružaju operatoru distribucijskog sustava</w:t>
      </w:r>
      <w:r w:rsidR="007472DA">
        <w:t xml:space="preserve"> (ODS)</w:t>
      </w:r>
      <w:r w:rsidRPr="00A16FCC">
        <w:t xml:space="preserve"> trenutno</w:t>
      </w:r>
      <w:r>
        <w:t xml:space="preserve"> se</w:t>
      </w:r>
      <w:r w:rsidRPr="00A16FCC">
        <w:t xml:space="preserve"> ne koriste u RH</w:t>
      </w:r>
      <w:r>
        <w:t>. Mrežnima pravilima distribucijskog sustava koja su stupila na snagu</w:t>
      </w:r>
      <w:r w:rsidR="009806D8">
        <w:t xml:space="preserve"> 2018. godine</w:t>
      </w:r>
      <w:r>
        <w:t xml:space="preserve"> (</w:t>
      </w:r>
      <w:r w:rsidR="00880054">
        <w:t>NN</w:t>
      </w:r>
      <w:r w:rsidR="007472DA">
        <w:t xml:space="preserve"> </w:t>
      </w:r>
      <w:r>
        <w:t>74/18) tek su prepoznate usluge koje bi mogle koristiti ODS-u.</w:t>
      </w:r>
    </w:p>
    <w:p w14:paraId="17B55988" w14:textId="5CD78D67" w:rsidR="00EB3EAA" w:rsidRDefault="00EB3EAA" w:rsidP="00EB3EAA">
      <w:r>
        <w:t xml:space="preserve">Uspostava EKO bilančne grupe regulirana je Zakonom o </w:t>
      </w:r>
      <w:r w:rsidR="007472DA">
        <w:t>OIE</w:t>
      </w:r>
      <w:r w:rsidR="00100480">
        <w:t xml:space="preserve"> </w:t>
      </w:r>
      <w:r w:rsidR="007472DA">
        <w:t>i</w:t>
      </w:r>
      <w:r w:rsidR="00EE3754">
        <w:t xml:space="preserve"> </w:t>
      </w:r>
      <w:r w:rsidR="007472DA">
        <w:t>VUK</w:t>
      </w:r>
      <w:r w:rsidR="00EC7C8F">
        <w:t xml:space="preserve"> </w:t>
      </w:r>
      <w:r>
        <w:t>(</w:t>
      </w:r>
      <w:r w:rsidR="00CE09FF">
        <w:t xml:space="preserve">NN </w:t>
      </w:r>
      <w:r w:rsidR="00CE09FF" w:rsidRPr="00F8799A">
        <w:rPr>
          <w:sz w:val="20"/>
          <w:szCs w:val="20"/>
        </w:rPr>
        <w:t>100/15</w:t>
      </w:r>
      <w:r w:rsidR="00CE09FF">
        <w:rPr>
          <w:sz w:val="20"/>
          <w:szCs w:val="20"/>
        </w:rPr>
        <w:t xml:space="preserve">, </w:t>
      </w:r>
      <w:r w:rsidR="00CE09FF" w:rsidRPr="005E3C10">
        <w:rPr>
          <w:sz w:val="20"/>
          <w:szCs w:val="20"/>
        </w:rPr>
        <w:t>123/16, 131/17</w:t>
      </w:r>
      <w:r w:rsidR="00CE09FF">
        <w:rPr>
          <w:sz w:val="20"/>
          <w:szCs w:val="20"/>
        </w:rPr>
        <w:t>, 111/18</w:t>
      </w:r>
      <w:r>
        <w:t>), a čine je proizvođači električne energije i druge osobe koje obavljaju djelatnost proizvodnje električne energije, a koje imaju pravo na poticajnu cijenu sukladno sklopljenim ugovorima o otkupu električne energije s Hrvatskim operatorom tržišta energij</w:t>
      </w:r>
      <w:r w:rsidR="00DC6265">
        <w:t>e</w:t>
      </w:r>
      <w:r>
        <w:t xml:space="preserve"> (HROTE).</w:t>
      </w:r>
    </w:p>
    <w:p w14:paraId="7B796537" w14:textId="3D9E43F1" w:rsidR="00344697" w:rsidRDefault="00EB3EAA" w:rsidP="00D956D5">
      <w:r>
        <w:t>Zakonom o OIEiVUK</w:t>
      </w:r>
      <w:r w:rsidR="00CE09FF">
        <w:t>,</w:t>
      </w:r>
      <w:r>
        <w:t xml:space="preserve"> HROTE je određen za voditelja EKO bilančne grupe s obvezom vođenja EKO bilančne grupe, planiranja proizvodnje električne energije za EKO bilančnu grupu te prodaje električne energije proizvedene od strane članova EKO bilančne grupe, na razvidan i nepristran način, na tržištu električne energije.</w:t>
      </w:r>
    </w:p>
    <w:p w14:paraId="33E2B583" w14:textId="4EE9A27C" w:rsidR="00C704F7" w:rsidRDefault="005A526A" w:rsidP="00C704F7">
      <w:r>
        <w:t>U pogledu</w:t>
      </w:r>
      <w:r w:rsidR="00C704F7">
        <w:t xml:space="preserve"> </w:t>
      </w:r>
      <w:r>
        <w:t>zaštite potrošača</w:t>
      </w:r>
      <w:r w:rsidR="00C704F7">
        <w:t>, konkurentnosti i razvoja maloprodajnog tržišta električne energije, jedan od ključnih pokazatelja je stopa promjene opskrbljivača krajnjih kupaca. Stopa promjene opskrbljivača kod krajnjih kupaca iz kategorije poduzetništvo veća je nego kod kategorije kućanstva. Utjecaj na to ima regulatorni okvir kojim se propisuje javna nabava, pri čemu se dio krajnjih kupaca iz kategorije poduzetništvo obvezuje na redovito objavljivanje natječaja za odabir najpovoljnijeg opskrbljivača električnom energijom.</w:t>
      </w:r>
    </w:p>
    <w:p w14:paraId="1B5A3C22" w14:textId="01D40A24" w:rsidR="00C704F7" w:rsidRDefault="00C704F7" w:rsidP="00C704F7">
      <w:r>
        <w:t>Trenutno je Herfindahl-Hirschman</w:t>
      </w:r>
      <w:r w:rsidR="00D1079C">
        <w:t>ov</w:t>
      </w:r>
      <w:r>
        <w:t xml:space="preserve"> </w:t>
      </w:r>
      <w:r w:rsidR="00D1079C">
        <w:t>indeks (HHI</w:t>
      </w:r>
      <w:r>
        <w:t>) za obračunska mjerna mjesta iz kategorije kućanstvo i poduzetništvo u RH veći od 2.000 što znači da je koncentracija na maloprodajnom tržištu električne energije (iz udjela pojedinih opskrbljivača) prema procjeni Europske komisije zadovoljavajuća.</w:t>
      </w:r>
    </w:p>
    <w:p w14:paraId="6FC19A26" w14:textId="77777777" w:rsidR="00C704F7" w:rsidRDefault="00C704F7" w:rsidP="00C704F7">
      <w:r>
        <w:lastRenderedPageBreak/>
        <w:t>Osnovni preduvjet za omogućavanje i razvijanje upravljanja potrošnjom je uvođenje sustava naprednog mjerenja.</w:t>
      </w:r>
    </w:p>
    <w:p w14:paraId="30247F46" w14:textId="69CB462A" w:rsidR="007E6002" w:rsidRDefault="004B3713" w:rsidP="00D956D5">
      <w:r>
        <w:t xml:space="preserve">Mjere u području zaštite potrošača </w:t>
      </w:r>
      <w:r w:rsidR="005A526A">
        <w:t xml:space="preserve">prikazuje </w:t>
      </w:r>
      <w:r w:rsidR="00FD6529">
        <w:fldChar w:fldCharType="begin"/>
      </w:r>
      <w:r w:rsidR="00FD6529">
        <w:instrText xml:space="preserve"> REF _Ref531686052 \h </w:instrText>
      </w:r>
      <w:r w:rsidR="00FD6529">
        <w:fldChar w:fldCharType="separate"/>
      </w:r>
      <w:r w:rsidR="00154150">
        <w:t xml:space="preserve">Tablica </w:t>
      </w:r>
      <w:r w:rsidR="00154150">
        <w:rPr>
          <w:noProof/>
        </w:rPr>
        <w:t>1</w:t>
      </w:r>
      <w:r w:rsidR="00154150">
        <w:t>–</w:t>
      </w:r>
      <w:r w:rsidR="00154150">
        <w:rPr>
          <w:noProof/>
        </w:rPr>
        <w:t>11</w:t>
      </w:r>
      <w:r w:rsidR="00FD6529">
        <w:fldChar w:fldCharType="end"/>
      </w:r>
      <w:r w:rsidR="005A526A">
        <w:t>.</w:t>
      </w:r>
    </w:p>
    <w:p w14:paraId="5B2D21B6" w14:textId="52B66664" w:rsidR="00FD6529" w:rsidRDefault="00FD6529" w:rsidP="007145ED">
      <w:pPr>
        <w:pStyle w:val="Caption"/>
      </w:pPr>
      <w:bookmarkStart w:id="97" w:name="_Ref531686052"/>
      <w:bookmarkStart w:id="98" w:name="_Toc27396203"/>
      <w:r>
        <w:t xml:space="preserve">Tablica </w:t>
      </w:r>
      <w:fldSimple w:instr=" STYLEREF 1 \s ">
        <w:r w:rsidR="00154150">
          <w:rPr>
            <w:noProof/>
          </w:rPr>
          <w:t>1</w:t>
        </w:r>
      </w:fldSimple>
      <w:r w:rsidR="00562DF0">
        <w:t>–</w:t>
      </w:r>
      <w:fldSimple w:instr=" SEQ Tablica \* ARABIC \s 1 ">
        <w:r w:rsidR="00154150">
          <w:rPr>
            <w:noProof/>
          </w:rPr>
          <w:t>11</w:t>
        </w:r>
      </w:fldSimple>
      <w:bookmarkEnd w:id="97"/>
      <w:r w:rsidR="00210967">
        <w:t>.</w:t>
      </w:r>
      <w:r w:rsidR="00483D4C">
        <w:rPr>
          <w:noProof/>
        </w:rPr>
        <w:t xml:space="preserve"> </w:t>
      </w:r>
      <w:r>
        <w:t>Postojeće mjere zaštite potrošača</w:t>
      </w:r>
      <w:bookmarkEnd w:id="98"/>
    </w:p>
    <w:tbl>
      <w:tblPr>
        <w:tblStyle w:val="Svijetlatablicareetke11"/>
        <w:tblW w:w="5000" w:type="pct"/>
        <w:tblLook w:val="04A0" w:firstRow="1" w:lastRow="0" w:firstColumn="1" w:lastColumn="0" w:noHBand="0" w:noVBand="1"/>
      </w:tblPr>
      <w:tblGrid>
        <w:gridCol w:w="3027"/>
        <w:gridCol w:w="2905"/>
        <w:gridCol w:w="3128"/>
      </w:tblGrid>
      <w:tr w:rsidR="005A526A" w:rsidRPr="00EF5587" w14:paraId="7A1E065C"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17024350" w14:textId="77777777" w:rsidR="005A526A" w:rsidRPr="00EF5587" w:rsidRDefault="005A526A" w:rsidP="00D956D5">
            <w:pPr>
              <w:spacing w:before="0" w:after="0" w:line="240" w:lineRule="auto"/>
              <w:rPr>
                <w:rFonts w:cs="Arial"/>
                <w:sz w:val="20"/>
                <w:szCs w:val="20"/>
              </w:rPr>
            </w:pPr>
            <w:r w:rsidRPr="00EF5587">
              <w:rPr>
                <w:rFonts w:cs="Arial"/>
                <w:sz w:val="20"/>
                <w:szCs w:val="20"/>
              </w:rPr>
              <w:t>Naziv mjere</w:t>
            </w:r>
          </w:p>
        </w:tc>
        <w:tc>
          <w:tcPr>
            <w:tcW w:w="0" w:type="pct"/>
            <w:shd w:val="clear" w:color="auto" w:fill="DEEAF6" w:themeFill="accent1" w:themeFillTint="33"/>
          </w:tcPr>
          <w:p w14:paraId="4CDD201D" w14:textId="77777777" w:rsidR="005A526A" w:rsidRPr="00EF5587" w:rsidRDefault="005A526A"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0" w:type="pct"/>
            <w:shd w:val="clear" w:color="auto" w:fill="DEEAF6" w:themeFill="accent1" w:themeFillTint="33"/>
          </w:tcPr>
          <w:p w14:paraId="5A25E062" w14:textId="77777777" w:rsidR="005A526A" w:rsidRPr="00EF5587" w:rsidRDefault="005A526A"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5A526A" w:rsidRPr="00EF5587" w14:paraId="56C43A44" w14:textId="77777777" w:rsidTr="007145ED">
        <w:tc>
          <w:tcPr>
            <w:cnfStyle w:val="001000000000" w:firstRow="0" w:lastRow="0" w:firstColumn="1" w:lastColumn="0" w:oddVBand="0" w:evenVBand="0" w:oddHBand="0" w:evenHBand="0" w:firstRowFirstColumn="0" w:firstRowLastColumn="0" w:lastRowFirstColumn="0" w:lastRowLastColumn="0"/>
            <w:tcW w:w="1671" w:type="pct"/>
          </w:tcPr>
          <w:p w14:paraId="6CE6F3CD" w14:textId="49306AAD" w:rsidR="005A526A" w:rsidRPr="00765552" w:rsidRDefault="00FD6529" w:rsidP="00D956D5">
            <w:pPr>
              <w:pStyle w:val="Default"/>
              <w:rPr>
                <w:b w:val="0"/>
                <w:sz w:val="20"/>
                <w:szCs w:val="20"/>
              </w:rPr>
            </w:pPr>
            <w:r>
              <w:rPr>
                <w:b w:val="0"/>
                <w:sz w:val="20"/>
                <w:szCs w:val="20"/>
              </w:rPr>
              <w:t>Informativni računi</w:t>
            </w:r>
          </w:p>
        </w:tc>
        <w:tc>
          <w:tcPr>
            <w:tcW w:w="1603" w:type="pct"/>
          </w:tcPr>
          <w:p w14:paraId="7323ED64" w14:textId="343BC11E" w:rsidR="005A526A" w:rsidRPr="00D956D5" w:rsidRDefault="00FD6529"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energetskoj učinkovitosti (</w:t>
            </w:r>
            <w:r w:rsidR="00880054">
              <w:rPr>
                <w:sz w:val="20"/>
                <w:szCs w:val="20"/>
              </w:rPr>
              <w:t>NN</w:t>
            </w:r>
            <w:r w:rsidR="00CE09FF">
              <w:rPr>
                <w:sz w:val="20"/>
                <w:szCs w:val="20"/>
              </w:rPr>
              <w:t xml:space="preserve"> </w:t>
            </w:r>
            <w:r w:rsidR="00CE09FF" w:rsidRPr="0031468F">
              <w:rPr>
                <w:sz w:val="20"/>
                <w:szCs w:val="20"/>
              </w:rPr>
              <w:t>127/14</w:t>
            </w:r>
            <w:r w:rsidR="00CE09FF">
              <w:rPr>
                <w:sz w:val="20"/>
                <w:szCs w:val="20"/>
              </w:rPr>
              <w:t>, 116/18</w:t>
            </w:r>
            <w:r w:rsidRPr="0031468F">
              <w:rPr>
                <w:sz w:val="20"/>
                <w:szCs w:val="20"/>
              </w:rPr>
              <w:t>)</w:t>
            </w:r>
          </w:p>
        </w:tc>
        <w:tc>
          <w:tcPr>
            <w:tcW w:w="1726" w:type="pct"/>
          </w:tcPr>
          <w:p w14:paraId="58D3F754" w14:textId="3297AF2B" w:rsidR="005A526A" w:rsidRPr="0031468F" w:rsidRDefault="00FD6529"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5A526A">
              <w:rPr>
                <w:sz w:val="20"/>
                <w:szCs w:val="20"/>
              </w:rPr>
              <w:t>Obveze opskrbljivača o mjerenju i obračunavanju potrošnje te informiranju kupaca o prethodnoj potrošnji, što obuhvaća usporedbu s prosječnim uobičajenim ili referentnim krajnjim kupcem iz iste kategorije krajnjih kupaca opskrbljivača</w:t>
            </w:r>
          </w:p>
        </w:tc>
      </w:tr>
      <w:tr w:rsidR="005A526A" w:rsidRPr="00EF5587" w14:paraId="7CFC8D61" w14:textId="77777777" w:rsidTr="007145ED">
        <w:tc>
          <w:tcPr>
            <w:cnfStyle w:val="001000000000" w:firstRow="0" w:lastRow="0" w:firstColumn="1" w:lastColumn="0" w:oddVBand="0" w:evenVBand="0" w:oddHBand="0" w:evenHBand="0" w:firstRowFirstColumn="0" w:firstRowLastColumn="0" w:lastRowFirstColumn="0" w:lastRowLastColumn="0"/>
            <w:tcW w:w="1671" w:type="pct"/>
          </w:tcPr>
          <w:p w14:paraId="0DA5FAD5" w14:textId="2E082A22" w:rsidR="005A526A" w:rsidRPr="005A526A" w:rsidRDefault="003306FB" w:rsidP="00D956D5">
            <w:pPr>
              <w:pStyle w:val="Default"/>
              <w:rPr>
                <w:sz w:val="20"/>
                <w:szCs w:val="20"/>
              </w:rPr>
            </w:pPr>
            <w:r w:rsidRPr="00F52E31">
              <w:rPr>
                <w:b w:val="0"/>
                <w:sz w:val="20"/>
              </w:rPr>
              <w:t>Obveze distributera energije da</w:t>
            </w:r>
            <w:r>
              <w:t xml:space="preserve"> </w:t>
            </w:r>
            <w:r w:rsidRPr="00E803D1">
              <w:rPr>
                <w:b w:val="0"/>
                <w:sz w:val="20"/>
              </w:rPr>
              <w:t>podatke o mjerenju i potrošnji energije u javnom sektoru</w:t>
            </w:r>
            <w:r w:rsidRPr="00F52E31">
              <w:rPr>
                <w:b w:val="0"/>
                <w:sz w:val="20"/>
              </w:rPr>
              <w:t xml:space="preserve"> </w:t>
            </w:r>
            <w:r>
              <w:rPr>
                <w:b w:val="0"/>
                <w:sz w:val="20"/>
              </w:rPr>
              <w:t>unose na mjesečnoj razini u nacionalni informacijski sustav z</w:t>
            </w:r>
            <w:r w:rsidR="00CE09FF">
              <w:rPr>
                <w:b w:val="0"/>
                <w:sz w:val="20"/>
              </w:rPr>
              <w:t>a</w:t>
            </w:r>
            <w:r>
              <w:rPr>
                <w:b w:val="0"/>
                <w:sz w:val="20"/>
              </w:rPr>
              <w:t xml:space="preserve"> gospodarenje energijom (ISGE) te da </w:t>
            </w:r>
            <w:r w:rsidRPr="00F52E31">
              <w:rPr>
                <w:b w:val="0"/>
                <w:sz w:val="20"/>
              </w:rPr>
              <w:t>osiguraju pojedinačna brojila krajnjim kupcima</w:t>
            </w:r>
          </w:p>
        </w:tc>
        <w:tc>
          <w:tcPr>
            <w:tcW w:w="1603" w:type="pct"/>
          </w:tcPr>
          <w:p w14:paraId="33946791" w14:textId="1E9DD6FF" w:rsidR="005A526A" w:rsidRPr="0031468F" w:rsidRDefault="003306FB"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Zakon o energetskoj učinkovitosti (</w:t>
            </w:r>
            <w:r w:rsidR="00880054">
              <w:rPr>
                <w:sz w:val="20"/>
                <w:szCs w:val="20"/>
              </w:rPr>
              <w:t>NN</w:t>
            </w:r>
            <w:r w:rsidR="00CE09FF">
              <w:rPr>
                <w:sz w:val="20"/>
                <w:szCs w:val="20"/>
              </w:rPr>
              <w:t xml:space="preserve"> </w:t>
            </w:r>
            <w:r w:rsidR="00CE09FF" w:rsidRPr="0031468F">
              <w:rPr>
                <w:sz w:val="20"/>
                <w:szCs w:val="20"/>
              </w:rPr>
              <w:t>127/14</w:t>
            </w:r>
            <w:r w:rsidR="00CE09FF">
              <w:rPr>
                <w:sz w:val="20"/>
                <w:szCs w:val="20"/>
              </w:rPr>
              <w:t>, 116/18</w:t>
            </w:r>
            <w:r w:rsidRPr="0031468F">
              <w:rPr>
                <w:sz w:val="20"/>
                <w:szCs w:val="20"/>
              </w:rPr>
              <w:t>)</w:t>
            </w:r>
          </w:p>
        </w:tc>
        <w:tc>
          <w:tcPr>
            <w:tcW w:w="1726" w:type="pct"/>
          </w:tcPr>
          <w:p w14:paraId="5F55E344" w14:textId="3616BDFA" w:rsidR="00066B43" w:rsidRPr="0031468F" w:rsidRDefault="003306FB"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Distributeri energije osiguravaju da, u mjeri u kojoj je to tehnički moguće, financijski opravdano i razmjerno s obzirom na potencijalne uštede energije, krajnjim kupcima energije i tople vode u kućanstvima budu pribavljena pojedinačna brojila po konkurentnim cijenama koja točno odražavaju stvarnu potrošnju energije krajnjih kupaca.</w:t>
            </w:r>
          </w:p>
        </w:tc>
      </w:tr>
    </w:tbl>
    <w:p w14:paraId="405D44CE" w14:textId="6A72B590" w:rsidR="00FD6529" w:rsidRDefault="00FD6529" w:rsidP="00FF0CF3">
      <w:r>
        <w:t xml:space="preserve">Postojeće mjere suzbijanja energetskog siromaštva prikazuje </w:t>
      </w:r>
      <w:r>
        <w:fldChar w:fldCharType="begin"/>
      </w:r>
      <w:r>
        <w:instrText xml:space="preserve"> REF _Ref531686112 \h </w:instrText>
      </w:r>
      <w:r>
        <w:fldChar w:fldCharType="separate"/>
      </w:r>
      <w:r w:rsidR="00154150">
        <w:t xml:space="preserve">Tablica </w:t>
      </w:r>
      <w:r w:rsidR="00154150">
        <w:rPr>
          <w:noProof/>
        </w:rPr>
        <w:t>1</w:t>
      </w:r>
      <w:r w:rsidR="00154150">
        <w:t>–</w:t>
      </w:r>
      <w:r w:rsidR="00154150">
        <w:rPr>
          <w:noProof/>
        </w:rPr>
        <w:t>12</w:t>
      </w:r>
      <w:r>
        <w:fldChar w:fldCharType="end"/>
      </w:r>
      <w:r>
        <w:t>.</w:t>
      </w:r>
    </w:p>
    <w:p w14:paraId="18CF6EA0" w14:textId="1424A190" w:rsidR="00FD6529" w:rsidRDefault="00FD6529" w:rsidP="007145ED">
      <w:pPr>
        <w:pStyle w:val="Caption"/>
      </w:pPr>
      <w:bookmarkStart w:id="99" w:name="_Ref531686112"/>
      <w:bookmarkStart w:id="100" w:name="_Toc27396204"/>
      <w:r>
        <w:t xml:space="preserve">Tablica </w:t>
      </w:r>
      <w:fldSimple w:instr=" STYLEREF 1 \s ">
        <w:r w:rsidR="00154150">
          <w:rPr>
            <w:noProof/>
          </w:rPr>
          <w:t>1</w:t>
        </w:r>
      </w:fldSimple>
      <w:r w:rsidR="00562DF0">
        <w:t>–</w:t>
      </w:r>
      <w:fldSimple w:instr=" SEQ Tablica \* ARABIC \s 1 ">
        <w:r w:rsidR="00154150">
          <w:rPr>
            <w:noProof/>
          </w:rPr>
          <w:t>12</w:t>
        </w:r>
      </w:fldSimple>
      <w:bookmarkEnd w:id="99"/>
      <w:r w:rsidR="00483D4C">
        <w:rPr>
          <w:noProof/>
        </w:rPr>
        <w:t xml:space="preserve"> </w:t>
      </w:r>
      <w:r>
        <w:t>Postojeće mjere suzbijanja energetskog siromaštva</w:t>
      </w:r>
      <w:bookmarkEnd w:id="100"/>
    </w:p>
    <w:tbl>
      <w:tblPr>
        <w:tblStyle w:val="Svijetlatablicareetke11"/>
        <w:tblW w:w="5000" w:type="pct"/>
        <w:tblLook w:val="04A0" w:firstRow="1" w:lastRow="0" w:firstColumn="1" w:lastColumn="0" w:noHBand="0" w:noVBand="1"/>
      </w:tblPr>
      <w:tblGrid>
        <w:gridCol w:w="2976"/>
        <w:gridCol w:w="2965"/>
        <w:gridCol w:w="3119"/>
      </w:tblGrid>
      <w:tr w:rsidR="00672DB0" w:rsidRPr="00EF5587" w14:paraId="16C17BB8"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28B44675" w14:textId="77777777" w:rsidR="00672DB0" w:rsidRPr="00EF5587" w:rsidRDefault="00672DB0" w:rsidP="00D956D5">
            <w:pPr>
              <w:spacing w:before="0" w:after="0" w:line="240" w:lineRule="auto"/>
              <w:rPr>
                <w:rFonts w:cs="Arial"/>
                <w:sz w:val="20"/>
                <w:szCs w:val="20"/>
              </w:rPr>
            </w:pPr>
            <w:r w:rsidRPr="00EF5587">
              <w:rPr>
                <w:rFonts w:cs="Arial"/>
                <w:sz w:val="20"/>
                <w:szCs w:val="20"/>
              </w:rPr>
              <w:t>Naziv mjere</w:t>
            </w:r>
          </w:p>
        </w:tc>
        <w:tc>
          <w:tcPr>
            <w:tcW w:w="0" w:type="pct"/>
            <w:shd w:val="clear" w:color="auto" w:fill="DEEAF6" w:themeFill="accent1" w:themeFillTint="33"/>
          </w:tcPr>
          <w:p w14:paraId="26FFCF25" w14:textId="77777777" w:rsidR="00672DB0" w:rsidRPr="00EF5587" w:rsidRDefault="00672DB0"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Dokumenti</w:t>
            </w:r>
          </w:p>
        </w:tc>
        <w:tc>
          <w:tcPr>
            <w:tcW w:w="0" w:type="pct"/>
            <w:shd w:val="clear" w:color="auto" w:fill="DEEAF6" w:themeFill="accent1" w:themeFillTint="33"/>
          </w:tcPr>
          <w:p w14:paraId="3EBA93B6" w14:textId="77777777" w:rsidR="00672DB0" w:rsidRPr="00EF5587" w:rsidRDefault="00672DB0" w:rsidP="00D956D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20"/>
                <w:szCs w:val="20"/>
              </w:rPr>
            </w:pPr>
            <w:r w:rsidRPr="00EF5587">
              <w:rPr>
                <w:rFonts w:cs="Arial"/>
                <w:sz w:val="20"/>
                <w:szCs w:val="20"/>
              </w:rPr>
              <w:t>Kratki opis</w:t>
            </w:r>
          </w:p>
        </w:tc>
      </w:tr>
      <w:tr w:rsidR="00672DB0" w:rsidRPr="00EF5587" w14:paraId="0081DE86"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17B40A14" w14:textId="66EF27D3" w:rsidR="00672DB0" w:rsidRPr="00765552" w:rsidRDefault="00D956D5" w:rsidP="00D956D5">
            <w:pPr>
              <w:pStyle w:val="Default"/>
              <w:rPr>
                <w:b w:val="0"/>
                <w:sz w:val="20"/>
                <w:szCs w:val="20"/>
              </w:rPr>
            </w:pPr>
            <w:r>
              <w:rPr>
                <w:b w:val="0"/>
                <w:sz w:val="20"/>
                <w:szCs w:val="20"/>
              </w:rPr>
              <w:t>N</w:t>
            </w:r>
            <w:r w:rsidRPr="00D956D5">
              <w:rPr>
                <w:b w:val="0"/>
                <w:sz w:val="20"/>
                <w:szCs w:val="20"/>
              </w:rPr>
              <w:t>aknad</w:t>
            </w:r>
            <w:r>
              <w:rPr>
                <w:b w:val="0"/>
                <w:sz w:val="20"/>
                <w:szCs w:val="20"/>
              </w:rPr>
              <w:t>a</w:t>
            </w:r>
            <w:r w:rsidRPr="00D956D5">
              <w:rPr>
                <w:b w:val="0"/>
                <w:sz w:val="20"/>
                <w:szCs w:val="20"/>
              </w:rPr>
              <w:t xml:space="preserve"> troškova energije ugroženih kupaca</w:t>
            </w:r>
          </w:p>
        </w:tc>
        <w:tc>
          <w:tcPr>
            <w:tcW w:w="0" w:type="pct"/>
          </w:tcPr>
          <w:p w14:paraId="70F358A3" w14:textId="38A93F16" w:rsidR="00672DB0" w:rsidRPr="00765552"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Uredba o kriterijima za stjecanje statusa ugroženih kupaca energije iz umreženih sustava (</w:t>
            </w:r>
            <w:r w:rsidR="00880054">
              <w:rPr>
                <w:sz w:val="20"/>
                <w:szCs w:val="20"/>
              </w:rPr>
              <w:t>NN</w:t>
            </w:r>
            <w:r w:rsidRPr="0031468F">
              <w:rPr>
                <w:sz w:val="20"/>
                <w:szCs w:val="20"/>
              </w:rPr>
              <w:t xml:space="preserve"> 95/15)</w:t>
            </w:r>
          </w:p>
        </w:tc>
        <w:tc>
          <w:tcPr>
            <w:tcW w:w="0" w:type="pct"/>
          </w:tcPr>
          <w:p w14:paraId="429C47F8" w14:textId="5D5CCFB8" w:rsidR="00672DB0" w:rsidRPr="0031468F" w:rsidRDefault="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D956D5">
              <w:rPr>
                <w:sz w:val="20"/>
                <w:szCs w:val="20"/>
              </w:rPr>
              <w:t xml:space="preserve">Kupci električne energije iz kategorije kućanstva </w:t>
            </w:r>
            <w:r>
              <w:rPr>
                <w:sz w:val="20"/>
                <w:szCs w:val="20"/>
              </w:rPr>
              <w:t xml:space="preserve">uplaćuju </w:t>
            </w:r>
            <w:r w:rsidRPr="00D956D5">
              <w:rPr>
                <w:sz w:val="20"/>
                <w:szCs w:val="20"/>
              </w:rPr>
              <w:t>dodatak na cijenu električne energije</w:t>
            </w:r>
            <w:r>
              <w:rPr>
                <w:sz w:val="20"/>
                <w:szCs w:val="20"/>
              </w:rPr>
              <w:t>. Taj dodatak opskrbljivač</w:t>
            </w:r>
            <w:r w:rsidRPr="00D956D5">
              <w:rPr>
                <w:sz w:val="20"/>
                <w:szCs w:val="20"/>
              </w:rPr>
              <w:t xml:space="preserve"> naplaćuje kupcima sukladno ugovoru o opskrbi krajnjega</w:t>
            </w:r>
            <w:r>
              <w:rPr>
                <w:sz w:val="20"/>
                <w:szCs w:val="20"/>
              </w:rPr>
              <w:t xml:space="preserve"> </w:t>
            </w:r>
            <w:r w:rsidRPr="00D956D5">
              <w:rPr>
                <w:sz w:val="20"/>
                <w:szCs w:val="20"/>
              </w:rPr>
              <w:t>kupca</w:t>
            </w:r>
            <w:r>
              <w:rPr>
                <w:sz w:val="20"/>
                <w:szCs w:val="20"/>
              </w:rPr>
              <w:t xml:space="preserve"> te ih </w:t>
            </w:r>
            <w:r w:rsidRPr="00D956D5">
              <w:rPr>
                <w:sz w:val="20"/>
                <w:szCs w:val="20"/>
              </w:rPr>
              <w:t>uplaćuje u državni proračun</w:t>
            </w:r>
            <w:r>
              <w:rPr>
                <w:sz w:val="20"/>
                <w:szCs w:val="20"/>
              </w:rPr>
              <w:t>. Tako p</w:t>
            </w:r>
            <w:r w:rsidRPr="00D956D5">
              <w:rPr>
                <w:sz w:val="20"/>
                <w:szCs w:val="20"/>
              </w:rPr>
              <w:t>rikupljena</w:t>
            </w:r>
            <w:r>
              <w:rPr>
                <w:sz w:val="20"/>
                <w:szCs w:val="20"/>
              </w:rPr>
              <w:t xml:space="preserve"> </w:t>
            </w:r>
            <w:r w:rsidRPr="00D956D5">
              <w:rPr>
                <w:sz w:val="20"/>
                <w:szCs w:val="20"/>
              </w:rPr>
              <w:t xml:space="preserve">sredstva namijenjena su financiranju vaučera u vrijednosti 200,00 kn </w:t>
            </w:r>
            <w:r>
              <w:rPr>
                <w:sz w:val="20"/>
                <w:szCs w:val="20"/>
              </w:rPr>
              <w:t>za ugrožene kupce.</w:t>
            </w:r>
          </w:p>
        </w:tc>
      </w:tr>
      <w:tr w:rsidR="00672DB0" w:rsidRPr="00080936" w14:paraId="6658A1AE"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11425D99" w14:textId="092214A7" w:rsidR="00672DB0" w:rsidRPr="005B2AB9" w:rsidRDefault="00D956D5" w:rsidP="00D956D5">
            <w:pPr>
              <w:pStyle w:val="Default"/>
              <w:rPr>
                <w:b w:val="0"/>
                <w:sz w:val="20"/>
                <w:szCs w:val="20"/>
              </w:rPr>
            </w:pPr>
            <w:r w:rsidRPr="005B2AB9">
              <w:rPr>
                <w:b w:val="0"/>
                <w:sz w:val="20"/>
                <w:szCs w:val="20"/>
              </w:rPr>
              <w:t>Izgradnja kapaciteta za suzbijanje energetskog siromaštva</w:t>
            </w:r>
            <w:r w:rsidR="00C31FE0">
              <w:rPr>
                <w:b w:val="0"/>
                <w:sz w:val="20"/>
                <w:szCs w:val="20"/>
              </w:rPr>
              <w:t xml:space="preserve"> (H.3 [</w:t>
            </w:r>
            <w:r w:rsidR="001D5943">
              <w:rPr>
                <w:b w:val="0"/>
                <w:sz w:val="20"/>
                <w:szCs w:val="20"/>
              </w:rPr>
              <w:t>14</w:t>
            </w:r>
            <w:r w:rsidR="00C31FE0">
              <w:rPr>
                <w:b w:val="0"/>
                <w:sz w:val="20"/>
                <w:szCs w:val="20"/>
              </w:rPr>
              <w:t>])</w:t>
            </w:r>
          </w:p>
        </w:tc>
        <w:tc>
          <w:tcPr>
            <w:tcW w:w="0" w:type="pct"/>
          </w:tcPr>
          <w:p w14:paraId="3A0D82C9" w14:textId="2182F65D" w:rsidR="00672DB0" w:rsidRPr="0031468F" w:rsidRDefault="00CE09FF"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4. nacionaln</w:t>
            </w:r>
            <w:r>
              <w:rPr>
                <w:sz w:val="20"/>
                <w:szCs w:val="20"/>
              </w:rPr>
              <w:t>i</w:t>
            </w:r>
            <w:r w:rsidRPr="0031468F">
              <w:rPr>
                <w:sz w:val="20"/>
                <w:szCs w:val="20"/>
              </w:rPr>
              <w:t xml:space="preserve"> </w:t>
            </w:r>
            <w:r>
              <w:rPr>
                <w:sz w:val="20"/>
                <w:szCs w:val="20"/>
              </w:rPr>
              <w:t xml:space="preserve">akcijski </w:t>
            </w:r>
            <w:r w:rsidRPr="0031468F">
              <w:rPr>
                <w:sz w:val="20"/>
                <w:szCs w:val="20"/>
              </w:rPr>
              <w:t>plan energetske učinkovitosti</w:t>
            </w:r>
          </w:p>
        </w:tc>
        <w:tc>
          <w:tcPr>
            <w:tcW w:w="0" w:type="pct"/>
          </w:tcPr>
          <w:p w14:paraId="335F33F2" w14:textId="48A96C42" w:rsidR="00672DB0" w:rsidRPr="0031468F"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U 15 gradova s više od 30.000 stanovnika uspostavit će se mehanizmi savjetovanja ugroženih kupaca, kao i provedbe mjera energetske učinkovitosti u kućanstvima u riziku od energetskog siromaštva.</w:t>
            </w:r>
          </w:p>
        </w:tc>
      </w:tr>
      <w:tr w:rsidR="00D956D5" w:rsidRPr="00080936" w14:paraId="35DD4C68" w14:textId="77777777" w:rsidTr="007145ED">
        <w:tc>
          <w:tcPr>
            <w:cnfStyle w:val="001000000000" w:firstRow="0" w:lastRow="0" w:firstColumn="1" w:lastColumn="0" w:oddVBand="0" w:evenVBand="0" w:oddHBand="0" w:evenHBand="0" w:firstRowFirstColumn="0" w:firstRowLastColumn="0" w:lastRowFirstColumn="0" w:lastRowLastColumn="0"/>
            <w:tcW w:w="0" w:type="pct"/>
          </w:tcPr>
          <w:p w14:paraId="54658AA2" w14:textId="7B7EF393" w:rsidR="00D956D5" w:rsidRPr="007145ED" w:rsidRDefault="00D956D5" w:rsidP="00D956D5">
            <w:pPr>
              <w:pStyle w:val="Default"/>
              <w:rPr>
                <w:b w:val="0"/>
                <w:sz w:val="20"/>
                <w:szCs w:val="20"/>
              </w:rPr>
            </w:pPr>
            <w:r w:rsidRPr="00D956D5">
              <w:rPr>
                <w:b w:val="0"/>
                <w:sz w:val="20"/>
                <w:szCs w:val="20"/>
              </w:rPr>
              <w:t>Program za suzbijanje energetskog siromaštva</w:t>
            </w:r>
            <w:r w:rsidR="00C31FE0">
              <w:rPr>
                <w:b w:val="0"/>
                <w:sz w:val="20"/>
                <w:szCs w:val="20"/>
              </w:rPr>
              <w:t xml:space="preserve"> (H.5 [</w:t>
            </w:r>
            <w:r w:rsidR="001D5943">
              <w:rPr>
                <w:b w:val="0"/>
                <w:sz w:val="20"/>
                <w:szCs w:val="20"/>
              </w:rPr>
              <w:t>14</w:t>
            </w:r>
            <w:r w:rsidR="00C31FE0">
              <w:rPr>
                <w:b w:val="0"/>
                <w:sz w:val="20"/>
                <w:szCs w:val="20"/>
              </w:rPr>
              <w:t>])</w:t>
            </w:r>
          </w:p>
        </w:tc>
        <w:tc>
          <w:tcPr>
            <w:tcW w:w="0" w:type="pct"/>
          </w:tcPr>
          <w:p w14:paraId="56843966" w14:textId="38321FC2" w:rsidR="00D956D5" w:rsidRPr="0031468F" w:rsidRDefault="00CE09FF"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4. nacionaln</w:t>
            </w:r>
            <w:r>
              <w:rPr>
                <w:sz w:val="20"/>
                <w:szCs w:val="20"/>
              </w:rPr>
              <w:t>i</w:t>
            </w:r>
            <w:r w:rsidRPr="0031468F">
              <w:rPr>
                <w:sz w:val="20"/>
                <w:szCs w:val="20"/>
              </w:rPr>
              <w:t xml:space="preserve"> </w:t>
            </w:r>
            <w:r>
              <w:rPr>
                <w:sz w:val="20"/>
                <w:szCs w:val="20"/>
              </w:rPr>
              <w:t xml:space="preserve">akcijski </w:t>
            </w:r>
            <w:r w:rsidRPr="0031468F">
              <w:rPr>
                <w:sz w:val="20"/>
                <w:szCs w:val="20"/>
              </w:rPr>
              <w:t>plan energetske učinkovitosti</w:t>
            </w:r>
          </w:p>
        </w:tc>
        <w:tc>
          <w:tcPr>
            <w:tcW w:w="0" w:type="pct"/>
          </w:tcPr>
          <w:p w14:paraId="299AE203" w14:textId="08A11DF2" w:rsidR="00D956D5" w:rsidRPr="0031468F" w:rsidRDefault="00D956D5" w:rsidP="00D956D5">
            <w:pPr>
              <w:pStyle w:val="Default"/>
              <w:cnfStyle w:val="000000000000" w:firstRow="0" w:lastRow="0" w:firstColumn="0" w:lastColumn="0" w:oddVBand="0" w:evenVBand="0" w:oddHBand="0" w:evenHBand="0" w:firstRowFirstColumn="0" w:firstRowLastColumn="0" w:lastRowFirstColumn="0" w:lastRowLastColumn="0"/>
              <w:rPr>
                <w:sz w:val="20"/>
                <w:szCs w:val="20"/>
              </w:rPr>
            </w:pPr>
            <w:r w:rsidRPr="0031468F">
              <w:rPr>
                <w:sz w:val="20"/>
                <w:szCs w:val="20"/>
              </w:rPr>
              <w:t xml:space="preserve">Osmišljavanje i pokretanje sustavnog programa borbe protiv energetskog siromaštva </w:t>
            </w:r>
            <w:r w:rsidRPr="0031468F">
              <w:rPr>
                <w:sz w:val="20"/>
                <w:szCs w:val="20"/>
              </w:rPr>
              <w:lastRenderedPageBreak/>
              <w:t>kroz provođenje mjera energetske učinkovitosti. Kroz Program će se utvrditi lista raspoloživih mjera i stope sufinanciranja pojedinih mjera.</w:t>
            </w:r>
          </w:p>
        </w:tc>
      </w:tr>
    </w:tbl>
    <w:p w14:paraId="2CC7DC7A" w14:textId="77777777" w:rsidR="00FF0CF3" w:rsidRDefault="00FF0CF3" w:rsidP="00FF0CF3"/>
    <w:p w14:paraId="0A620B51" w14:textId="77777777" w:rsidR="00FF0CF3" w:rsidRPr="00816CF6" w:rsidRDefault="00FF0CF3" w:rsidP="00725326">
      <w:pPr>
        <w:shd w:val="clear" w:color="auto" w:fill="DEEAF6" w:themeFill="accent1" w:themeFillTint="33"/>
        <w:rPr>
          <w:i/>
        </w:rPr>
      </w:pPr>
      <w:r w:rsidRPr="00816CF6">
        <w:rPr>
          <w:i/>
        </w:rPr>
        <w:t xml:space="preserve">Dimenzija </w:t>
      </w:r>
      <w:r>
        <w:rPr>
          <w:i/>
        </w:rPr>
        <w:t>„Istraživanje, inovacije i konkurentnost“</w:t>
      </w:r>
    </w:p>
    <w:p w14:paraId="6E58D17A" w14:textId="77777777" w:rsidR="00FF0CF3" w:rsidRDefault="00FF0CF3" w:rsidP="00FF0CF3">
      <w:r>
        <w:t>Najvažniji nacionalni dokumenti koji se odnose na dimenziju „Istraživanje, inovacije i konkurentnost“ su:</w:t>
      </w:r>
    </w:p>
    <w:p w14:paraId="0D2EA508" w14:textId="2569E68E" w:rsidR="00461524" w:rsidRDefault="0049180E" w:rsidP="00840E2E">
      <w:pPr>
        <w:pStyle w:val="ListParagraph"/>
        <w:numPr>
          <w:ilvl w:val="0"/>
          <w:numId w:val="10"/>
        </w:numPr>
        <w:tabs>
          <w:tab w:val="clear" w:pos="431"/>
        </w:tabs>
        <w:suppressAutoHyphens w:val="0"/>
        <w:spacing w:after="160" w:line="259" w:lineRule="auto"/>
        <w:contextualSpacing/>
        <w:jc w:val="left"/>
      </w:pPr>
      <w:r>
        <w:t>Strategija obrazovanja, znanosti i tehnologije (2014),</w:t>
      </w:r>
    </w:p>
    <w:p w14:paraId="60693838" w14:textId="497E4BCC" w:rsidR="00FF0CF3" w:rsidRDefault="00FF0CF3" w:rsidP="00840E2E">
      <w:pPr>
        <w:pStyle w:val="ListParagraph"/>
        <w:numPr>
          <w:ilvl w:val="0"/>
          <w:numId w:val="10"/>
        </w:numPr>
        <w:tabs>
          <w:tab w:val="clear" w:pos="431"/>
        </w:tabs>
        <w:suppressAutoHyphens w:val="0"/>
        <w:spacing w:after="160" w:line="259" w:lineRule="auto"/>
        <w:contextualSpacing/>
        <w:jc w:val="left"/>
      </w:pPr>
      <w:r>
        <w:t>Strategija pametne specijalizacije Republike Hrvatske za razdoblje od 2016. do 2020. godine</w:t>
      </w:r>
      <w:r w:rsidR="0080164F">
        <w:t>,</w:t>
      </w:r>
    </w:p>
    <w:p w14:paraId="3F9EA2C5" w14:textId="50535559" w:rsidR="00FF0CF3" w:rsidRDefault="00FF0CF3" w:rsidP="00840E2E">
      <w:pPr>
        <w:pStyle w:val="ListParagraph"/>
        <w:numPr>
          <w:ilvl w:val="0"/>
          <w:numId w:val="10"/>
        </w:numPr>
        <w:tabs>
          <w:tab w:val="clear" w:pos="431"/>
        </w:tabs>
        <w:suppressAutoHyphens w:val="0"/>
        <w:spacing w:after="160" w:line="259" w:lineRule="auto"/>
        <w:contextualSpacing/>
        <w:jc w:val="left"/>
      </w:pPr>
      <w:r>
        <w:t>Strategija poticanja inovacija Republike Hrvatske 2014.-2020.</w:t>
      </w:r>
      <w:r w:rsidR="0080164F">
        <w:t xml:space="preserve"> i</w:t>
      </w:r>
    </w:p>
    <w:p w14:paraId="6DEB9E86" w14:textId="313778EE" w:rsidR="0080164F" w:rsidRDefault="00C01CD2" w:rsidP="00840E2E">
      <w:pPr>
        <w:pStyle w:val="ListParagraph"/>
        <w:numPr>
          <w:ilvl w:val="0"/>
          <w:numId w:val="10"/>
        </w:numPr>
        <w:tabs>
          <w:tab w:val="clear" w:pos="431"/>
        </w:tabs>
        <w:suppressAutoHyphens w:val="0"/>
        <w:spacing w:after="160" w:line="259" w:lineRule="auto"/>
        <w:contextualSpacing/>
        <w:jc w:val="left"/>
      </w:pPr>
      <w:r>
        <w:t>Plan razvoja istraživačke infrastrukture u Republici Hrvatskoj</w:t>
      </w:r>
      <w:r w:rsidR="00D20B54">
        <w:t xml:space="preserve"> (2016)</w:t>
      </w:r>
      <w:r>
        <w:t>.</w:t>
      </w:r>
    </w:p>
    <w:p w14:paraId="63FD3F25" w14:textId="4FE6054F" w:rsidR="003156BA" w:rsidRPr="00A83A6E" w:rsidRDefault="003156BA" w:rsidP="00323AE9">
      <w:pPr>
        <w:rPr>
          <w:rFonts w:cs="Arial"/>
        </w:rPr>
      </w:pPr>
      <w:r w:rsidRPr="00A83A6E">
        <w:rPr>
          <w:rFonts w:cs="Arial"/>
        </w:rPr>
        <w:t>Kako bi se definiralo područje djelovanja, način rada, izvori financiranja i institucionalni okvir u području istraživanja i inovacija potrebna je jasna i sveobuh</w:t>
      </w:r>
      <w:r w:rsidR="00C651D3">
        <w:rPr>
          <w:rFonts w:cs="Arial"/>
        </w:rPr>
        <w:t>v</w:t>
      </w:r>
      <w:r w:rsidRPr="00A83A6E">
        <w:rPr>
          <w:rFonts w:cs="Arial"/>
        </w:rPr>
        <w:t>atna pravna regulativa. Nacionalno zakonodavstvo prenosi sve relevantne uredbe, direktive i druge pravne akte EU kako bi pravni okvir RH bio u sklad</w:t>
      </w:r>
      <w:r w:rsidR="2B3F0151" w:rsidRPr="00A83A6E">
        <w:rPr>
          <w:rFonts w:cs="Arial"/>
        </w:rPr>
        <w:t>u</w:t>
      </w:r>
      <w:r w:rsidRPr="00A83A6E">
        <w:rPr>
          <w:rFonts w:cs="Arial"/>
        </w:rPr>
        <w:t xml:space="preserve"> s temeljnim načelima poslovanja drugih država članica EU. Pravni okvir obuhvaća zakonske akte koji se odnose na istraživanje i inovacije općenito te pojedine zakonske propise koji pokrivaju područje energetike i klime.</w:t>
      </w:r>
    </w:p>
    <w:p w14:paraId="2B5E6C79" w14:textId="753C8005" w:rsidR="00CE09FF" w:rsidRDefault="002A5242" w:rsidP="007467F2">
      <w:r>
        <w:t xml:space="preserve">Pravni okvir </w:t>
      </w:r>
      <w:r w:rsidR="00FD694B">
        <w:t>koji definira provođenje privatnih i javnih investicija u istraživanje, razvoj i inovacije obuhvaća sljedeće zakone:</w:t>
      </w:r>
    </w:p>
    <w:p w14:paraId="2CEAEB5D" w14:textId="46668B21" w:rsidR="00DA2053" w:rsidRDefault="00DA2053" w:rsidP="00840E2E">
      <w:pPr>
        <w:pStyle w:val="ListParagraph"/>
        <w:numPr>
          <w:ilvl w:val="0"/>
          <w:numId w:val="46"/>
        </w:numPr>
      </w:pPr>
      <w:r w:rsidRPr="00BE1ECD">
        <w:t>Zakon o poticanju investicija i unapređenju investicijskog okruženja (</w:t>
      </w:r>
      <w:r w:rsidR="00880054">
        <w:t>NN</w:t>
      </w:r>
      <w:r w:rsidRPr="00BE1ECD">
        <w:t xml:space="preserve"> 111/12, 28/13)</w:t>
      </w:r>
      <w:r>
        <w:t>,</w:t>
      </w:r>
    </w:p>
    <w:p w14:paraId="4B54221B" w14:textId="451E163B" w:rsidR="00DA2053" w:rsidRPr="00D51A4E" w:rsidRDefault="00DA2053" w:rsidP="00840E2E">
      <w:pPr>
        <w:pStyle w:val="ListParagraph"/>
        <w:numPr>
          <w:ilvl w:val="0"/>
          <w:numId w:val="46"/>
        </w:numPr>
      </w:pPr>
      <w:r w:rsidRPr="00BE1ECD">
        <w:t>Zakon o državnoj potpori za istraživačko – razvojne projekte (</w:t>
      </w:r>
      <w:r w:rsidR="00880054">
        <w:t>NN</w:t>
      </w:r>
      <w:r w:rsidRPr="00BE1ECD">
        <w:t xml:space="preserve"> </w:t>
      </w:r>
      <w:r w:rsidRPr="00BE1ECD">
        <w:rPr>
          <w:rFonts w:asciiTheme="minorBidi" w:hAnsiTheme="minorBidi" w:cstheme="minorBidi"/>
        </w:rPr>
        <w:t>64/18)</w:t>
      </w:r>
      <w:r>
        <w:rPr>
          <w:rFonts w:asciiTheme="minorBidi" w:hAnsiTheme="minorBidi" w:cstheme="minorBidi"/>
        </w:rPr>
        <w:t>,</w:t>
      </w:r>
    </w:p>
    <w:p w14:paraId="75AD3F0C" w14:textId="0ECE4599" w:rsidR="00DA2053" w:rsidRPr="00D51A4E" w:rsidRDefault="00DA2053" w:rsidP="00840E2E">
      <w:pPr>
        <w:pStyle w:val="ListParagraph"/>
        <w:numPr>
          <w:ilvl w:val="0"/>
          <w:numId w:val="46"/>
        </w:numPr>
      </w:pPr>
      <w:r w:rsidRPr="00BE1ECD">
        <w:rPr>
          <w:rFonts w:asciiTheme="minorBidi" w:hAnsiTheme="minorBidi" w:cstheme="minorBidi"/>
        </w:rPr>
        <w:t>Zakon o javnoj nabavi (NN 120/16)</w:t>
      </w:r>
      <w:r>
        <w:rPr>
          <w:rFonts w:asciiTheme="minorBidi" w:hAnsiTheme="minorBidi" w:cstheme="minorBidi"/>
        </w:rPr>
        <w:t xml:space="preserve"> i</w:t>
      </w:r>
    </w:p>
    <w:p w14:paraId="12589604" w14:textId="1846E8F8" w:rsidR="00DA2053" w:rsidRDefault="00DA2053" w:rsidP="00840E2E">
      <w:pPr>
        <w:pStyle w:val="ListParagraph"/>
        <w:numPr>
          <w:ilvl w:val="0"/>
          <w:numId w:val="46"/>
        </w:numPr>
      </w:pPr>
      <w:r w:rsidRPr="00BE1ECD">
        <w:rPr>
          <w:rFonts w:cs="Arial"/>
        </w:rPr>
        <w:t xml:space="preserve">Zakon o poticanju razvoja malog gospodarstva (NN </w:t>
      </w:r>
      <w:hyperlink r:id="rId19" w:history="1">
        <w:r w:rsidRPr="00BE1ECD">
          <w:rPr>
            <w:rFonts w:cs="Arial"/>
          </w:rPr>
          <w:t>29/02</w:t>
        </w:r>
      </w:hyperlink>
      <w:r w:rsidRPr="00BE1ECD">
        <w:rPr>
          <w:rFonts w:cs="Arial"/>
        </w:rPr>
        <w:t xml:space="preserve">, </w:t>
      </w:r>
      <w:hyperlink r:id="rId20" w:history="1">
        <w:r w:rsidRPr="00BE1ECD">
          <w:rPr>
            <w:rFonts w:cs="Arial"/>
          </w:rPr>
          <w:t>63/07</w:t>
        </w:r>
      </w:hyperlink>
      <w:r w:rsidRPr="00BE1ECD">
        <w:rPr>
          <w:rFonts w:cs="Arial"/>
        </w:rPr>
        <w:t xml:space="preserve">, </w:t>
      </w:r>
      <w:hyperlink r:id="rId21" w:history="1">
        <w:r w:rsidRPr="00BE1ECD">
          <w:rPr>
            <w:rFonts w:cs="Arial"/>
          </w:rPr>
          <w:t>53/12</w:t>
        </w:r>
      </w:hyperlink>
      <w:r w:rsidRPr="00BE1ECD">
        <w:rPr>
          <w:rFonts w:cs="Arial"/>
        </w:rPr>
        <w:t xml:space="preserve">, </w:t>
      </w:r>
      <w:hyperlink r:id="rId22" w:history="1">
        <w:r w:rsidRPr="00BE1ECD">
          <w:rPr>
            <w:rFonts w:cs="Arial"/>
          </w:rPr>
          <w:t>56/13</w:t>
        </w:r>
      </w:hyperlink>
      <w:r w:rsidRPr="00BE1ECD">
        <w:rPr>
          <w:rFonts w:cs="Arial"/>
        </w:rPr>
        <w:t xml:space="preserve">, </w:t>
      </w:r>
      <w:hyperlink r:id="rId23" w:history="1">
        <w:r w:rsidRPr="00BE1ECD">
          <w:rPr>
            <w:rFonts w:cs="Arial"/>
          </w:rPr>
          <w:t>121/16</w:t>
        </w:r>
      </w:hyperlink>
      <w:r w:rsidRPr="00BE1ECD">
        <w:rPr>
          <w:rFonts w:cs="Arial"/>
        </w:rPr>
        <w:t>)</w:t>
      </w:r>
      <w:r>
        <w:rPr>
          <w:rFonts w:cs="Arial"/>
        </w:rPr>
        <w:t>.</w:t>
      </w:r>
    </w:p>
    <w:p w14:paraId="5AC0F980" w14:textId="1DD6C615" w:rsidR="00A304FB" w:rsidRPr="00DA2053" w:rsidRDefault="00A304FB" w:rsidP="00223709">
      <w:pPr>
        <w:tabs>
          <w:tab w:val="left" w:pos="0"/>
        </w:tabs>
        <w:rPr>
          <w:rFonts w:asciiTheme="minorBidi" w:hAnsiTheme="minorBidi" w:cstheme="minorBidi"/>
        </w:rPr>
      </w:pPr>
      <w:r w:rsidRPr="00D749F6">
        <w:t>Zakon</w:t>
      </w:r>
      <w:r w:rsidR="00DA2053">
        <w:t>om</w:t>
      </w:r>
      <w:r w:rsidRPr="00D749F6">
        <w:t xml:space="preserve"> o poticanju investicija i unapređenju investicijskog okruženja uređuje</w:t>
      </w:r>
      <w:r w:rsidR="00BC4B05">
        <w:t xml:space="preserve"> se</w:t>
      </w:r>
      <w:r w:rsidRPr="00D749F6">
        <w:t xml:space="preserve"> poticanje investicija i poticanje unapređenja investicijskog okruženja u Republici Hrvatskoj, te druga pitanja s tim u vezi.</w:t>
      </w:r>
      <w:r w:rsidR="00DB59C9">
        <w:t xml:space="preserve"> </w:t>
      </w:r>
      <w:r w:rsidRPr="00D749F6">
        <w:t xml:space="preserve">Cilj </w:t>
      </w:r>
      <w:r w:rsidR="00DB59C9">
        <w:t>zakona je</w:t>
      </w:r>
      <w:r w:rsidRPr="00D749F6">
        <w:t xml:space="preserve"> poticanje gospodarskog rasta i ostvarenje gospodarske politike Republike</w:t>
      </w:r>
      <w:r>
        <w:t xml:space="preserve"> Hrvatske, njezinog uključivanja u tokove međunarodne razmjene i jačanje investicijske i konkurentske sposobnosti hrvatskoga poduzetništva</w:t>
      </w:r>
      <w:r w:rsidR="003E38D9">
        <w:t>.</w:t>
      </w:r>
    </w:p>
    <w:p w14:paraId="00D9B9EA" w14:textId="6BBF4DD6" w:rsidR="00CE09FF" w:rsidRPr="00223709" w:rsidRDefault="00C80301" w:rsidP="00223709">
      <w:pPr>
        <w:tabs>
          <w:tab w:val="left" w:pos="0"/>
        </w:tabs>
        <w:rPr>
          <w:rFonts w:asciiTheme="minorBidi" w:hAnsiTheme="minorBidi" w:cstheme="minorBidi"/>
        </w:rPr>
      </w:pPr>
      <w:r>
        <w:t>Zakon</w:t>
      </w:r>
      <w:r w:rsidR="00EB3F80">
        <w:t>om</w:t>
      </w:r>
      <w:r>
        <w:t xml:space="preserve"> o državnoj potpori za istra</w:t>
      </w:r>
      <w:r w:rsidR="00B02D22">
        <w:t>živačko – razvojne projekte</w:t>
      </w:r>
      <w:r w:rsidR="00BD1437">
        <w:t xml:space="preserve"> </w:t>
      </w:r>
      <w:r w:rsidR="0080475B" w:rsidRPr="00223709">
        <w:rPr>
          <w:rFonts w:asciiTheme="minorBidi" w:hAnsiTheme="minorBidi" w:cstheme="minorBidi"/>
        </w:rPr>
        <w:t>uređuju</w:t>
      </w:r>
      <w:r w:rsidR="00A82673">
        <w:rPr>
          <w:rFonts w:asciiTheme="minorBidi" w:hAnsiTheme="minorBidi" w:cstheme="minorBidi"/>
        </w:rPr>
        <w:t xml:space="preserve"> se</w:t>
      </w:r>
      <w:r w:rsidR="0080475B" w:rsidRPr="00223709">
        <w:rPr>
          <w:rFonts w:asciiTheme="minorBidi" w:hAnsiTheme="minorBidi" w:cstheme="minorBidi"/>
        </w:rPr>
        <w:t xml:space="preserve"> uvjeti za dodjeljivanje državne potpore za istraživačko-razvojne projekte u kategoriji horizontalne potpore za istraživanje i razvoj, nadležnosti tijela Republike Hrvatske u pogledu dodjele državnih potpora za istraživačko-razvojne projekte, postupak utvrđivanja ispunjenosti uvjeta za ostvarivanje prava, vođenje evidencija i izvještavanje te druga pitanja vezana uz ostvarivanje prava na potpore za istraživačko-razvojne projekte.</w:t>
      </w:r>
      <w:r w:rsidR="00610F82" w:rsidRPr="00223709">
        <w:rPr>
          <w:rFonts w:asciiTheme="minorBidi" w:hAnsiTheme="minorBidi" w:cstheme="minorBidi"/>
        </w:rPr>
        <w:t xml:space="preserve"> </w:t>
      </w:r>
      <w:r w:rsidR="00A803DF" w:rsidRPr="00223709">
        <w:rPr>
          <w:rFonts w:asciiTheme="minorBidi" w:hAnsiTheme="minorBidi" w:cstheme="minorBidi"/>
        </w:rPr>
        <w:t xml:space="preserve">Cilj Zakona je povećanje </w:t>
      </w:r>
      <w:r w:rsidR="00A803DF" w:rsidRPr="00223709">
        <w:rPr>
          <w:rFonts w:asciiTheme="minorBidi" w:hAnsiTheme="minorBidi" w:cstheme="minorBidi"/>
        </w:rPr>
        <w:lastRenderedPageBreak/>
        <w:t xml:space="preserve">ulaganja privatnog sektora u istraživanje i razvoj i povećanje broja poduzetnika koji ulažu u istraživanje i razvoj te poticanje suradnje poduzetnika s organizacijama za istraživanje i širenje znanja na istraživačko-razvojnim projektima pri čemu istraživanje i razvoj obuhvaća kreativan i sistematičan rad poduzet sa svrhom povećanja fonda znanja – uključujući znanje čovječanstva, kulture i društva – te kako bi se osmislile nove primjene postojećeg znanja. Aktivnosti istraživanja i razvoja moraju uključivati pet osnovnih kriterija: </w:t>
      </w:r>
      <w:r w:rsidR="00A803DF" w:rsidRPr="00223709">
        <w:rPr>
          <w:rFonts w:asciiTheme="minorBidi" w:hAnsiTheme="minorBidi" w:cstheme="minorBidi"/>
          <w:b/>
          <w:bCs/>
        </w:rPr>
        <w:t>novo znanje</w:t>
      </w:r>
      <w:r w:rsidR="00A803DF" w:rsidRPr="00223709">
        <w:rPr>
          <w:rFonts w:asciiTheme="minorBidi" w:hAnsiTheme="minorBidi" w:cstheme="minorBidi"/>
        </w:rPr>
        <w:t xml:space="preserve"> (kao cilj aktivnosti), </w:t>
      </w:r>
      <w:r w:rsidR="00A803DF" w:rsidRPr="00223709">
        <w:rPr>
          <w:rFonts w:asciiTheme="minorBidi" w:hAnsiTheme="minorBidi" w:cstheme="minorBidi"/>
          <w:b/>
          <w:bCs/>
        </w:rPr>
        <w:t>kreativno</w:t>
      </w:r>
      <w:r w:rsidR="00A803DF" w:rsidRPr="00223709">
        <w:rPr>
          <w:rFonts w:asciiTheme="minorBidi" w:hAnsiTheme="minorBidi" w:cstheme="minorBidi"/>
        </w:rPr>
        <w:t xml:space="preserve"> (novi koncepti, ideje i metode koji unaprjeđuju postojeće znanje), </w:t>
      </w:r>
      <w:r w:rsidR="00A803DF" w:rsidRPr="00223709">
        <w:rPr>
          <w:rFonts w:asciiTheme="minorBidi" w:hAnsiTheme="minorBidi" w:cstheme="minorBidi"/>
          <w:b/>
          <w:bCs/>
        </w:rPr>
        <w:t>neizvjesno u smislu ishoda</w:t>
      </w:r>
      <w:r w:rsidR="00A803DF" w:rsidRPr="00223709">
        <w:rPr>
          <w:rFonts w:asciiTheme="minorBidi" w:hAnsiTheme="minorBidi" w:cstheme="minorBidi"/>
        </w:rPr>
        <w:t xml:space="preserve">, </w:t>
      </w:r>
      <w:r w:rsidR="00A803DF" w:rsidRPr="00223709">
        <w:rPr>
          <w:rFonts w:asciiTheme="minorBidi" w:hAnsiTheme="minorBidi" w:cstheme="minorBidi"/>
          <w:b/>
          <w:bCs/>
        </w:rPr>
        <w:t>sistematično</w:t>
      </w:r>
      <w:r w:rsidR="00A803DF" w:rsidRPr="00223709">
        <w:rPr>
          <w:rFonts w:asciiTheme="minorBidi" w:hAnsiTheme="minorBidi" w:cstheme="minorBidi"/>
        </w:rPr>
        <w:t xml:space="preserve"> (planirano s osiguranjem sredstava i bilježenjem ishoda) i </w:t>
      </w:r>
      <w:r w:rsidR="00A803DF" w:rsidRPr="00223709">
        <w:rPr>
          <w:rFonts w:asciiTheme="minorBidi" w:hAnsiTheme="minorBidi" w:cstheme="minorBidi"/>
          <w:b/>
          <w:bCs/>
        </w:rPr>
        <w:t>prenosivo</w:t>
      </w:r>
      <w:r w:rsidR="00A803DF" w:rsidRPr="00223709">
        <w:rPr>
          <w:rFonts w:asciiTheme="minorBidi" w:hAnsiTheme="minorBidi" w:cstheme="minorBidi"/>
        </w:rPr>
        <w:t xml:space="preserve"> (ishodi su prenosivi kao nova znanja) i/ili </w:t>
      </w:r>
      <w:r w:rsidR="00491ACD" w:rsidRPr="00223709">
        <w:rPr>
          <w:rFonts w:asciiTheme="minorBidi" w:hAnsiTheme="minorBidi" w:cstheme="minorBidi"/>
          <w:b/>
          <w:bCs/>
        </w:rPr>
        <w:t>ponovljivo</w:t>
      </w:r>
      <w:r w:rsidR="00491ACD" w:rsidRPr="00223709">
        <w:rPr>
          <w:rFonts w:asciiTheme="minorBidi" w:hAnsiTheme="minorBidi" w:cstheme="minorBidi"/>
        </w:rPr>
        <w:t xml:space="preserve"> </w:t>
      </w:r>
      <w:r w:rsidR="00A803DF" w:rsidRPr="00223709">
        <w:rPr>
          <w:rFonts w:asciiTheme="minorBidi" w:hAnsiTheme="minorBidi" w:cstheme="minorBidi"/>
        </w:rPr>
        <w:t>(ishode je moguće ponoviti).</w:t>
      </w:r>
    </w:p>
    <w:p w14:paraId="37814894" w14:textId="4D27F431" w:rsidR="00D265F5" w:rsidRPr="00223709" w:rsidRDefault="00D265F5" w:rsidP="00223709">
      <w:pPr>
        <w:tabs>
          <w:tab w:val="left" w:pos="0"/>
        </w:tabs>
        <w:rPr>
          <w:rFonts w:asciiTheme="minorBidi" w:hAnsiTheme="minorBidi" w:cstheme="minorBidi"/>
        </w:rPr>
      </w:pPr>
      <w:r w:rsidRPr="00223709">
        <w:rPr>
          <w:rFonts w:asciiTheme="minorBidi" w:hAnsiTheme="minorBidi" w:cstheme="minorBidi"/>
        </w:rPr>
        <w:t>Zakon</w:t>
      </w:r>
      <w:r w:rsidR="005B340E">
        <w:rPr>
          <w:rFonts w:asciiTheme="minorBidi" w:hAnsiTheme="minorBidi" w:cstheme="minorBidi"/>
        </w:rPr>
        <w:t>om</w:t>
      </w:r>
      <w:r w:rsidRPr="00223709">
        <w:rPr>
          <w:rFonts w:asciiTheme="minorBidi" w:hAnsiTheme="minorBidi" w:cstheme="minorBidi"/>
        </w:rPr>
        <w:t xml:space="preserve"> o javnoj nabavi </w:t>
      </w:r>
      <w:r w:rsidR="008628E3">
        <w:rPr>
          <w:rFonts w:asciiTheme="minorBidi" w:hAnsiTheme="minorBidi" w:cstheme="minorBidi"/>
        </w:rPr>
        <w:t xml:space="preserve">definiran </w:t>
      </w:r>
      <w:r w:rsidR="00894B59" w:rsidRPr="00223709">
        <w:rPr>
          <w:rFonts w:asciiTheme="minorBidi" w:hAnsiTheme="minorBidi" w:cstheme="minorBidi"/>
        </w:rPr>
        <w:t>je jedan od postupaka javne nabave</w:t>
      </w:r>
      <w:r w:rsidR="00EA4339">
        <w:rPr>
          <w:rFonts w:asciiTheme="minorBidi" w:hAnsiTheme="minorBidi" w:cstheme="minorBidi"/>
        </w:rPr>
        <w:t xml:space="preserve"> kao</w:t>
      </w:r>
      <w:r w:rsidR="00894B59" w:rsidRPr="00223709">
        <w:rPr>
          <w:rFonts w:asciiTheme="minorBidi" w:hAnsiTheme="minorBidi" w:cstheme="minorBidi"/>
        </w:rPr>
        <w:t xml:space="preserve"> </w:t>
      </w:r>
      <w:r w:rsidR="00EA4339">
        <w:rPr>
          <w:rFonts w:asciiTheme="minorBidi" w:hAnsiTheme="minorBidi" w:cstheme="minorBidi"/>
        </w:rPr>
        <w:t>„</w:t>
      </w:r>
      <w:r w:rsidR="00EA4339" w:rsidRPr="00223709">
        <w:rPr>
          <w:rFonts w:asciiTheme="minorBidi" w:hAnsiTheme="minorBidi" w:cstheme="minorBidi"/>
        </w:rPr>
        <w:t xml:space="preserve">partnerstvo </w:t>
      </w:r>
      <w:r w:rsidR="00894B59" w:rsidRPr="00223709">
        <w:rPr>
          <w:rFonts w:asciiTheme="minorBidi" w:hAnsiTheme="minorBidi" w:cstheme="minorBidi"/>
        </w:rPr>
        <w:t xml:space="preserve">za </w:t>
      </w:r>
      <w:r w:rsidR="00EA4339" w:rsidRPr="00223709">
        <w:rPr>
          <w:rFonts w:asciiTheme="minorBidi" w:hAnsiTheme="minorBidi" w:cstheme="minorBidi"/>
        </w:rPr>
        <w:t>inovacije</w:t>
      </w:r>
      <w:r w:rsidR="00EA4339">
        <w:rPr>
          <w:rFonts w:asciiTheme="minorBidi" w:hAnsiTheme="minorBidi" w:cstheme="minorBidi"/>
        </w:rPr>
        <w:t>“</w:t>
      </w:r>
      <w:r w:rsidR="00894B59" w:rsidRPr="00223709">
        <w:rPr>
          <w:rFonts w:asciiTheme="minorBidi" w:hAnsiTheme="minorBidi" w:cstheme="minorBidi"/>
        </w:rPr>
        <w:t>.</w:t>
      </w:r>
      <w:r w:rsidR="00C12016" w:rsidRPr="00223709">
        <w:rPr>
          <w:rFonts w:asciiTheme="minorBidi" w:hAnsiTheme="minorBidi" w:cstheme="minorBidi"/>
        </w:rPr>
        <w:t xml:space="preserve"> J</w:t>
      </w:r>
      <w:r w:rsidR="00A803DF" w:rsidRPr="00223709">
        <w:rPr>
          <w:rFonts w:asciiTheme="minorBidi" w:hAnsiTheme="minorBidi" w:cstheme="minorBidi"/>
        </w:rPr>
        <w:t>avni naručitelj može koristiti partnerstvo za inovacije ako ima potrebu za inovativnom robom, uslugama ili radovima koju ne može zadovoljiti nabavom robe, usluga ili radova već dostupnih na tržištu.</w:t>
      </w:r>
      <w:r w:rsidR="00563647" w:rsidRPr="00223709">
        <w:rPr>
          <w:rFonts w:asciiTheme="minorBidi" w:hAnsiTheme="minorBidi" w:cstheme="minorBidi"/>
        </w:rPr>
        <w:t xml:space="preserve"> Partnerstvo za inovacije teži razvoju inovativne robe, usluga ili radova te njihovoj naknadnoj nabavi, pod uvjetom da su u skladu s razinama izvedbe i maksimalnim troškovima dogovorenima između javnog naručitelja i sudionik</w:t>
      </w:r>
      <w:r w:rsidR="005F4D51" w:rsidRPr="00223709">
        <w:rPr>
          <w:rFonts w:asciiTheme="minorBidi" w:hAnsiTheme="minorBidi" w:cstheme="minorBidi"/>
        </w:rPr>
        <w:t>a</w:t>
      </w:r>
      <w:r w:rsidR="00563647" w:rsidRPr="00223709">
        <w:rPr>
          <w:rFonts w:asciiTheme="minorBidi" w:hAnsiTheme="minorBidi" w:cstheme="minorBidi"/>
        </w:rPr>
        <w:t>.</w:t>
      </w:r>
      <w:r w:rsidR="00722C38" w:rsidRPr="00223709">
        <w:rPr>
          <w:rFonts w:asciiTheme="minorBidi" w:hAnsiTheme="minorBidi" w:cstheme="minorBidi"/>
        </w:rPr>
        <w:t xml:space="preserve"> Ovaj instrument predstavlja instrument poticanja inovacija koji utječe na potražnju za inovacijama, dok bespovratne potpore poduzećima utječu na ponudu inovacija.</w:t>
      </w:r>
    </w:p>
    <w:p w14:paraId="29646DE4" w14:textId="15EB201F" w:rsidR="00F020DD" w:rsidRDefault="00131B61" w:rsidP="00A64892">
      <w:pPr>
        <w:rPr>
          <w:rFonts w:cs="Arial"/>
        </w:rPr>
      </w:pPr>
      <w:r w:rsidRPr="00A64892">
        <w:rPr>
          <w:rFonts w:cs="Arial"/>
        </w:rPr>
        <w:t>Zakon</w:t>
      </w:r>
      <w:r w:rsidR="00A64892">
        <w:rPr>
          <w:rFonts w:cs="Arial"/>
        </w:rPr>
        <w:t>om</w:t>
      </w:r>
      <w:r w:rsidRPr="00A64892">
        <w:rPr>
          <w:rFonts w:cs="Arial"/>
        </w:rPr>
        <w:t xml:space="preserve"> o poticanju razvoja malog gospodarstva </w:t>
      </w:r>
      <w:r w:rsidR="009E764D" w:rsidRPr="0017796A">
        <w:rPr>
          <w:rFonts w:cs="Arial"/>
        </w:rPr>
        <w:t xml:space="preserve">uređuju </w:t>
      </w:r>
      <w:r w:rsidR="0017796A" w:rsidRPr="0017796A">
        <w:rPr>
          <w:rFonts w:cs="Arial"/>
        </w:rPr>
        <w:t xml:space="preserve">se </w:t>
      </w:r>
      <w:r w:rsidR="009E764D" w:rsidRPr="0017796A">
        <w:rPr>
          <w:rFonts w:cs="Arial"/>
        </w:rPr>
        <w:t xml:space="preserve">osnove za primjenu poticajnih mjera za malo gospodarstvo </w:t>
      </w:r>
      <w:r w:rsidR="00C12B0B" w:rsidRPr="0017796A">
        <w:rPr>
          <w:rFonts w:cs="Arial"/>
        </w:rPr>
        <w:t xml:space="preserve">koje obuhvaća i davanje potpora za istraživanje, razvoj i primjenu inovacija </w:t>
      </w:r>
      <w:r w:rsidR="00DB16D5" w:rsidRPr="00BE56C7">
        <w:rPr>
          <w:rFonts w:cs="Arial"/>
        </w:rPr>
        <w:t xml:space="preserve">te uvođenje suvremenih tehnologija. </w:t>
      </w:r>
    </w:p>
    <w:p w14:paraId="25C19082" w14:textId="0D6651FF" w:rsidR="003906E2" w:rsidRPr="00BE56C7" w:rsidRDefault="0002149A" w:rsidP="00BE56C7">
      <w:pPr>
        <w:rPr>
          <w:rFonts w:cs="Arial"/>
        </w:rPr>
      </w:pPr>
      <w:r w:rsidRPr="00F020DD">
        <w:rPr>
          <w:rFonts w:cs="Arial"/>
        </w:rPr>
        <w:t>P</w:t>
      </w:r>
      <w:r w:rsidR="0064148B" w:rsidRPr="00F020DD">
        <w:rPr>
          <w:rFonts w:cs="Arial"/>
        </w:rPr>
        <w:t>ored navedenih zakona, p</w:t>
      </w:r>
      <w:r w:rsidRPr="00BE56C7">
        <w:rPr>
          <w:rFonts w:cs="Arial"/>
        </w:rPr>
        <w:t xml:space="preserve">odručje </w:t>
      </w:r>
      <w:r w:rsidR="0064148B" w:rsidRPr="00BE56C7">
        <w:rPr>
          <w:rFonts w:cs="Arial"/>
        </w:rPr>
        <w:t xml:space="preserve">istraživanja, razvoja i inovacija </w:t>
      </w:r>
      <w:r w:rsidRPr="00BE56C7">
        <w:rPr>
          <w:rFonts w:cs="Arial"/>
        </w:rPr>
        <w:t xml:space="preserve">je detaljnije uređeno različitim pravilnicima i smjernicama. </w:t>
      </w:r>
    </w:p>
    <w:p w14:paraId="6A0986CA" w14:textId="7A8276C7" w:rsidR="00F22CF7" w:rsidRPr="007145ED" w:rsidRDefault="00F22CF7" w:rsidP="00F22CF7">
      <w:pPr>
        <w:rPr>
          <w:rFonts w:cs="Arial"/>
        </w:rPr>
      </w:pPr>
      <w:r w:rsidRPr="007145ED">
        <w:rPr>
          <w:rFonts w:cs="Arial"/>
        </w:rPr>
        <w:t>Za provođenje istraživanja i razvoja potrebna</w:t>
      </w:r>
      <w:r w:rsidR="000A6CEF" w:rsidRPr="007145ED">
        <w:rPr>
          <w:rFonts w:cs="Arial"/>
        </w:rPr>
        <w:t xml:space="preserve"> je</w:t>
      </w:r>
      <w:r w:rsidRPr="007145ED">
        <w:rPr>
          <w:rFonts w:cs="Arial"/>
        </w:rPr>
        <w:t xml:space="preserve"> učinkovita infrastruktura</w:t>
      </w:r>
      <w:r w:rsidR="00767425">
        <w:rPr>
          <w:rFonts w:cs="Arial"/>
        </w:rPr>
        <w:t>. Ona</w:t>
      </w:r>
      <w:r w:rsidRPr="007145ED">
        <w:rPr>
          <w:rFonts w:cs="Arial"/>
        </w:rPr>
        <w:t xml:space="preserve"> obuhvaća prve</w:t>
      </w:r>
      <w:r w:rsidR="000A6CEF" w:rsidRPr="007145ED">
        <w:rPr>
          <w:rFonts w:cs="Arial"/>
        </w:rPr>
        <w:t>n</w:t>
      </w:r>
      <w:r w:rsidRPr="007145ED">
        <w:rPr>
          <w:rFonts w:cs="Arial"/>
        </w:rPr>
        <w:t>stveno javne i privatne institucije koje omogućavaju realizaciju ovih djelatnosti</w:t>
      </w:r>
      <w:r w:rsidR="00613A76">
        <w:rPr>
          <w:rFonts w:cs="Arial"/>
        </w:rPr>
        <w:t>,</w:t>
      </w:r>
      <w:r w:rsidRPr="007145ED">
        <w:rPr>
          <w:rFonts w:cs="Arial"/>
        </w:rPr>
        <w:t xml:space="preserve"> zatim segmente istraživanja i razvoja u privatnom sektoru te dodatno pojedine komunikacijske kanale</w:t>
      </w:r>
      <w:r w:rsidR="005C636F">
        <w:rPr>
          <w:rFonts w:cs="Arial"/>
        </w:rPr>
        <w:t xml:space="preserve">. </w:t>
      </w:r>
      <w:r w:rsidR="00734175">
        <w:rPr>
          <w:rFonts w:cs="Arial"/>
        </w:rPr>
        <w:t>Ovi kanali</w:t>
      </w:r>
      <w:r w:rsidRPr="007145ED">
        <w:rPr>
          <w:rFonts w:cs="Arial"/>
        </w:rPr>
        <w:t xml:space="preserve"> povezuju pojedine institucije međusobno te institucije za istraživanje i razvoj s realnim sektorom </w:t>
      </w:r>
      <w:r w:rsidR="00613A76">
        <w:rPr>
          <w:rFonts w:cs="Arial"/>
        </w:rPr>
        <w:t>čime se</w:t>
      </w:r>
      <w:r w:rsidR="00613A76" w:rsidRPr="007145ED">
        <w:rPr>
          <w:rFonts w:cs="Arial"/>
        </w:rPr>
        <w:t xml:space="preserve"> </w:t>
      </w:r>
      <w:r w:rsidRPr="007145ED">
        <w:rPr>
          <w:rFonts w:cs="Arial"/>
        </w:rPr>
        <w:t xml:space="preserve">omogućava </w:t>
      </w:r>
      <w:r w:rsidR="00613A76" w:rsidRPr="007145ED">
        <w:rPr>
          <w:rFonts w:cs="Arial"/>
        </w:rPr>
        <w:t>komercijalizacij</w:t>
      </w:r>
      <w:r w:rsidR="00613A76">
        <w:rPr>
          <w:rFonts w:cs="Arial"/>
        </w:rPr>
        <w:t>a</w:t>
      </w:r>
      <w:r w:rsidR="00613A76" w:rsidRPr="007145ED">
        <w:rPr>
          <w:rFonts w:cs="Arial"/>
        </w:rPr>
        <w:t xml:space="preserve"> </w:t>
      </w:r>
      <w:r w:rsidRPr="007145ED">
        <w:rPr>
          <w:rFonts w:cs="Arial"/>
        </w:rPr>
        <w:t xml:space="preserve">i </w:t>
      </w:r>
      <w:r w:rsidR="00613A76" w:rsidRPr="007145ED">
        <w:rPr>
          <w:rFonts w:cs="Arial"/>
        </w:rPr>
        <w:t>stvarn</w:t>
      </w:r>
      <w:r w:rsidR="00613A76">
        <w:rPr>
          <w:rFonts w:cs="Arial"/>
        </w:rPr>
        <w:t>a</w:t>
      </w:r>
      <w:r w:rsidR="00613A76" w:rsidRPr="007145ED">
        <w:rPr>
          <w:rFonts w:cs="Arial"/>
        </w:rPr>
        <w:t xml:space="preserve"> upotreb</w:t>
      </w:r>
      <w:r w:rsidR="00613A76">
        <w:rPr>
          <w:rFonts w:cs="Arial"/>
        </w:rPr>
        <w:t>a</w:t>
      </w:r>
      <w:r w:rsidR="00613A76" w:rsidRPr="007145ED">
        <w:rPr>
          <w:rFonts w:cs="Arial"/>
        </w:rPr>
        <w:t xml:space="preserve"> </w:t>
      </w:r>
      <w:r w:rsidRPr="007145ED">
        <w:rPr>
          <w:rFonts w:cs="Arial"/>
        </w:rPr>
        <w:t xml:space="preserve">inovacija i patenata. </w:t>
      </w:r>
    </w:p>
    <w:p w14:paraId="2CB0C490" w14:textId="223AF200" w:rsidR="0049180E" w:rsidRDefault="009469D0" w:rsidP="00983BA5">
      <w:pPr>
        <w:rPr>
          <w:rFonts w:asciiTheme="minorBidi" w:hAnsiTheme="minorBidi" w:cstheme="minorBidi"/>
        </w:rPr>
      </w:pPr>
      <w:r w:rsidRPr="00A83A6E">
        <w:rPr>
          <w:rFonts w:asciiTheme="minorBidi" w:hAnsiTheme="minorBidi" w:cstheme="minorBidi"/>
        </w:rPr>
        <w:t xml:space="preserve">Institucionalni okvir koji služi kao podrška za provođenje </w:t>
      </w:r>
      <w:r w:rsidR="00096FCE" w:rsidRPr="00A83A6E">
        <w:rPr>
          <w:rFonts w:asciiTheme="minorBidi" w:hAnsiTheme="minorBidi" w:cstheme="minorBidi"/>
        </w:rPr>
        <w:t>istraživanja</w:t>
      </w:r>
      <w:r w:rsidR="00CA5B86" w:rsidRPr="00A83A6E">
        <w:rPr>
          <w:rFonts w:asciiTheme="minorBidi" w:hAnsiTheme="minorBidi" w:cstheme="minorBidi"/>
        </w:rPr>
        <w:t xml:space="preserve">, razvoja i inovacija te za omogućavanje potpora i poticaja </w:t>
      </w:r>
      <w:r w:rsidR="00C27B7F" w:rsidRPr="00A83A6E">
        <w:rPr>
          <w:rFonts w:asciiTheme="minorBidi" w:hAnsiTheme="minorBidi" w:cstheme="minorBidi"/>
        </w:rPr>
        <w:t xml:space="preserve">u ovom području </w:t>
      </w:r>
      <w:r w:rsidR="0006327E">
        <w:rPr>
          <w:rFonts w:asciiTheme="minorBidi" w:hAnsiTheme="minorBidi" w:cstheme="minorBidi"/>
        </w:rPr>
        <w:t>čine</w:t>
      </w:r>
      <w:r w:rsidR="0006327E" w:rsidRPr="00A83A6E">
        <w:rPr>
          <w:rFonts w:asciiTheme="minorBidi" w:hAnsiTheme="minorBidi" w:cstheme="minorBidi"/>
        </w:rPr>
        <w:t xml:space="preserve"> </w:t>
      </w:r>
      <w:r w:rsidR="00C27B7F" w:rsidRPr="00A83A6E">
        <w:rPr>
          <w:rFonts w:asciiTheme="minorBidi" w:hAnsiTheme="minorBidi" w:cstheme="minorBidi"/>
        </w:rPr>
        <w:t>Ministarstvo znanosti i obrazovanja</w:t>
      </w:r>
      <w:r w:rsidR="00351BED" w:rsidRPr="00A83A6E">
        <w:rPr>
          <w:rFonts w:asciiTheme="minorBidi" w:hAnsiTheme="minorBidi" w:cstheme="minorBidi"/>
        </w:rPr>
        <w:t xml:space="preserve"> i</w:t>
      </w:r>
      <w:r w:rsidR="00C27B7F" w:rsidRPr="00A83A6E">
        <w:rPr>
          <w:rFonts w:asciiTheme="minorBidi" w:hAnsiTheme="minorBidi" w:cstheme="minorBidi"/>
        </w:rPr>
        <w:t xml:space="preserve"> Ministarstvo gospodarstva, poduzetništva</w:t>
      </w:r>
      <w:r w:rsidR="00CB7859" w:rsidRPr="00A83A6E">
        <w:rPr>
          <w:rFonts w:asciiTheme="minorBidi" w:hAnsiTheme="minorBidi" w:cstheme="minorBidi"/>
        </w:rPr>
        <w:t xml:space="preserve"> i obrta</w:t>
      </w:r>
      <w:r w:rsidR="00351BED" w:rsidRPr="00A83A6E">
        <w:rPr>
          <w:rFonts w:asciiTheme="minorBidi" w:hAnsiTheme="minorBidi" w:cstheme="minorBidi"/>
        </w:rPr>
        <w:t xml:space="preserve"> koji predlažu određene zakonske mjere i poticaje </w:t>
      </w:r>
      <w:r w:rsidR="0022594D">
        <w:rPr>
          <w:rFonts w:asciiTheme="minorBidi" w:hAnsiTheme="minorBidi" w:cstheme="minorBidi"/>
        </w:rPr>
        <w:t>te su nadležni za provođenje</w:t>
      </w:r>
      <w:r w:rsidR="00F8184C">
        <w:rPr>
          <w:rFonts w:asciiTheme="minorBidi" w:hAnsiTheme="minorBidi" w:cstheme="minorBidi"/>
        </w:rPr>
        <w:t xml:space="preserve"> propisanih</w:t>
      </w:r>
      <w:r w:rsidR="0022594D">
        <w:rPr>
          <w:rFonts w:asciiTheme="minorBidi" w:hAnsiTheme="minorBidi" w:cstheme="minorBidi"/>
        </w:rPr>
        <w:t xml:space="preserve"> mjera</w:t>
      </w:r>
      <w:r w:rsidR="00351BED" w:rsidRPr="00A83A6E">
        <w:rPr>
          <w:rFonts w:asciiTheme="minorBidi" w:hAnsiTheme="minorBidi" w:cstheme="minorBidi"/>
        </w:rPr>
        <w:t>.</w:t>
      </w:r>
      <w:r w:rsidR="00021F4A" w:rsidRPr="00A83A6E">
        <w:rPr>
          <w:rFonts w:asciiTheme="minorBidi" w:hAnsiTheme="minorBidi" w:cstheme="minorBidi"/>
        </w:rPr>
        <w:t xml:space="preserve"> </w:t>
      </w:r>
      <w:bookmarkStart w:id="101" w:name="_Hlk531769972"/>
      <w:r w:rsidR="005555AF" w:rsidRPr="00A83A6E">
        <w:rPr>
          <w:rFonts w:asciiTheme="minorBidi" w:hAnsiTheme="minorBidi" w:cstheme="minorBidi"/>
        </w:rPr>
        <w:t>Dodatno, Ministarstvo regionalnog razvoja i fondova Europske unije daje potp</w:t>
      </w:r>
      <w:r w:rsidR="00C651D3">
        <w:rPr>
          <w:rFonts w:asciiTheme="minorBidi" w:hAnsiTheme="minorBidi" w:cstheme="minorBidi"/>
        </w:rPr>
        <w:t>o</w:t>
      </w:r>
      <w:r w:rsidR="005555AF" w:rsidRPr="00A83A6E">
        <w:rPr>
          <w:rFonts w:asciiTheme="minorBidi" w:hAnsiTheme="minorBidi" w:cstheme="minorBidi"/>
        </w:rPr>
        <w:t xml:space="preserve">ru prilikom korištenja </w:t>
      </w:r>
      <w:r w:rsidR="005166AA" w:rsidRPr="00A83A6E">
        <w:rPr>
          <w:rFonts w:asciiTheme="minorBidi" w:hAnsiTheme="minorBidi" w:cstheme="minorBidi"/>
        </w:rPr>
        <w:t>novčanih sredstava EU nam</w:t>
      </w:r>
      <w:r w:rsidR="00C651D3">
        <w:rPr>
          <w:rFonts w:asciiTheme="minorBidi" w:hAnsiTheme="minorBidi" w:cstheme="minorBidi"/>
        </w:rPr>
        <w:t>i</w:t>
      </w:r>
      <w:r w:rsidR="005166AA" w:rsidRPr="00A83A6E">
        <w:rPr>
          <w:rFonts w:asciiTheme="minorBidi" w:hAnsiTheme="minorBidi" w:cstheme="minorBidi"/>
        </w:rPr>
        <w:t>jenjenih za istraživanje, razvoj i inovacije putem različitih strukturnih i</w:t>
      </w:r>
      <w:r w:rsidR="0086329E">
        <w:rPr>
          <w:rFonts w:asciiTheme="minorBidi" w:hAnsiTheme="minorBidi" w:cstheme="minorBidi"/>
        </w:rPr>
        <w:t xml:space="preserve"> </w:t>
      </w:r>
      <w:r w:rsidR="005166AA" w:rsidRPr="00A83A6E">
        <w:rPr>
          <w:rFonts w:asciiTheme="minorBidi" w:hAnsiTheme="minorBidi" w:cstheme="minorBidi"/>
        </w:rPr>
        <w:t>investicijskih fondova te programa.</w:t>
      </w:r>
      <w:bookmarkEnd w:id="101"/>
      <w:r w:rsidR="0049180E">
        <w:rPr>
          <w:rFonts w:asciiTheme="minorBidi" w:hAnsiTheme="minorBidi" w:cstheme="minorBidi"/>
        </w:rPr>
        <w:t xml:space="preserve"> </w:t>
      </w:r>
      <w:r w:rsidR="009E198C">
        <w:rPr>
          <w:rFonts w:asciiTheme="minorBidi" w:hAnsiTheme="minorBidi" w:cstheme="minorBidi"/>
        </w:rPr>
        <w:t>Ministarstvo zaštite okoliša i energetike financijskim sredstvima od dražbi u okviru sustava trgovanja em</w:t>
      </w:r>
      <w:r w:rsidR="009706F9">
        <w:rPr>
          <w:rFonts w:asciiTheme="minorBidi" w:hAnsiTheme="minorBidi" w:cstheme="minorBidi"/>
        </w:rPr>
        <w:t>i</w:t>
      </w:r>
      <w:r w:rsidR="009E198C">
        <w:rPr>
          <w:rFonts w:asciiTheme="minorBidi" w:hAnsiTheme="minorBidi" w:cstheme="minorBidi"/>
        </w:rPr>
        <w:t>sijama podupire istraživanja i razvoj u području ublaženja i pr</w:t>
      </w:r>
      <w:r w:rsidR="00326D44">
        <w:rPr>
          <w:rFonts w:asciiTheme="minorBidi" w:hAnsiTheme="minorBidi" w:cstheme="minorBidi"/>
        </w:rPr>
        <w:t>i</w:t>
      </w:r>
      <w:r w:rsidR="009E198C">
        <w:rPr>
          <w:rFonts w:asciiTheme="minorBidi" w:hAnsiTheme="minorBidi" w:cstheme="minorBidi"/>
        </w:rPr>
        <w:t xml:space="preserve">lagodbe klimatskim promjenama. </w:t>
      </w:r>
      <w:r w:rsidR="0049180E">
        <w:rPr>
          <w:rFonts w:asciiTheme="minorBidi" w:hAnsiTheme="minorBidi" w:cstheme="minorBidi"/>
        </w:rPr>
        <w:t xml:space="preserve">Institucija koja pruža potporu znanstvenim, visoko-obrazovnim i tehnologijskim programima je Hrvatska zaklada za znanost, u svrhu razvoja </w:t>
      </w:r>
      <w:r w:rsidR="0049180E">
        <w:rPr>
          <w:rFonts w:asciiTheme="minorBidi" w:hAnsiTheme="minorBidi" w:cstheme="minorBidi"/>
        </w:rPr>
        <w:lastRenderedPageBreak/>
        <w:t>znanosti, visokog obrazovanja i tehnologijskog razvoja u RH s krajnjim ciljem osiguravanja društvenog i gospodarskog razvoja i poticanja zapošljavanja.</w:t>
      </w:r>
    </w:p>
    <w:p w14:paraId="07F914BF" w14:textId="6CB01C6F" w:rsidR="009469D0" w:rsidRPr="00A83A6E" w:rsidRDefault="00FC2297" w:rsidP="00983BA5">
      <w:pPr>
        <w:rPr>
          <w:rFonts w:asciiTheme="minorBidi" w:hAnsiTheme="minorBidi" w:cstheme="minorBidi"/>
        </w:rPr>
      </w:pPr>
      <w:r w:rsidRPr="00A83A6E">
        <w:rPr>
          <w:rFonts w:asciiTheme="minorBidi" w:hAnsiTheme="minorBidi" w:cstheme="minorBidi"/>
        </w:rPr>
        <w:t xml:space="preserve">Najznačajniji poslovni subjekt koji je zadužen za </w:t>
      </w:r>
      <w:r w:rsidR="00DE18AF" w:rsidRPr="00A83A6E">
        <w:rPr>
          <w:rFonts w:asciiTheme="minorBidi" w:hAnsiTheme="minorBidi" w:cstheme="minorBidi"/>
        </w:rPr>
        <w:t xml:space="preserve">pružanje podrške u </w:t>
      </w:r>
      <w:r w:rsidRPr="00A83A6E">
        <w:rPr>
          <w:rFonts w:asciiTheme="minorBidi" w:hAnsiTheme="minorBidi" w:cstheme="minorBidi"/>
        </w:rPr>
        <w:t>provođenj</w:t>
      </w:r>
      <w:r w:rsidR="00DE18AF" w:rsidRPr="00A83A6E">
        <w:rPr>
          <w:rFonts w:asciiTheme="minorBidi" w:hAnsiTheme="minorBidi" w:cstheme="minorBidi"/>
        </w:rPr>
        <w:t>u</w:t>
      </w:r>
      <w:r w:rsidRPr="00A83A6E">
        <w:rPr>
          <w:rFonts w:asciiTheme="minorBidi" w:hAnsiTheme="minorBidi" w:cstheme="minorBidi"/>
        </w:rPr>
        <w:t xml:space="preserve"> projekata istraživanja, razvoja i inovacija je </w:t>
      </w:r>
      <w:r w:rsidR="00A154C4" w:rsidRPr="007145ED">
        <w:t>Hrvatska agencija za malo gospodarstvo, inovacije i investicije</w:t>
      </w:r>
      <w:r w:rsidR="00A154C4" w:rsidRPr="007145ED">
        <w:rPr>
          <w:rFonts w:asciiTheme="minorBidi" w:hAnsiTheme="minorBidi" w:cstheme="minorBidi"/>
        </w:rPr>
        <w:t xml:space="preserve"> </w:t>
      </w:r>
      <w:r w:rsidR="00A154C4" w:rsidRPr="007145ED">
        <w:t xml:space="preserve">(HAMAG-BICRO) koja </w:t>
      </w:r>
      <w:r w:rsidR="00A154C4" w:rsidRPr="00A83A6E">
        <w:rPr>
          <w:rFonts w:asciiTheme="minorBidi" w:hAnsiTheme="minorBidi" w:cstheme="minorBidi"/>
        </w:rPr>
        <w:t xml:space="preserve">pruža podršku kroz sve razvojne faze poslovanja </w:t>
      </w:r>
      <w:r w:rsidR="00284016" w:rsidRPr="00A83A6E">
        <w:rPr>
          <w:rFonts w:asciiTheme="minorBidi" w:hAnsiTheme="minorBidi" w:cstheme="minorBidi"/>
        </w:rPr>
        <w:t xml:space="preserve">poduzetnika </w:t>
      </w:r>
      <w:r w:rsidR="00A154C4" w:rsidRPr="00A83A6E">
        <w:rPr>
          <w:rFonts w:asciiTheme="minorBidi" w:hAnsiTheme="minorBidi" w:cstheme="minorBidi"/>
        </w:rPr>
        <w:t>– od istraživanja i razvoja ideje pa sve do komercijalizacije i plasmana na tržište.</w:t>
      </w:r>
      <w:r w:rsidR="00DE18AF" w:rsidRPr="00A83A6E">
        <w:rPr>
          <w:rFonts w:asciiTheme="minorBidi" w:hAnsiTheme="minorBidi" w:cstheme="minorBidi"/>
        </w:rPr>
        <w:t xml:space="preserve"> </w:t>
      </w:r>
      <w:r w:rsidR="000729D9" w:rsidRPr="00A83A6E">
        <w:rPr>
          <w:rFonts w:asciiTheme="minorBidi" w:hAnsiTheme="minorBidi" w:cstheme="minorBidi"/>
        </w:rPr>
        <w:t>Dodatnu podršku istraživanju, razvoju i inovacijama pružaju i Hrvatska gospodarska komora</w:t>
      </w:r>
      <w:r w:rsidR="00CB0585" w:rsidRPr="00A83A6E">
        <w:rPr>
          <w:rFonts w:asciiTheme="minorBidi" w:hAnsiTheme="minorBidi" w:cstheme="minorBidi"/>
        </w:rPr>
        <w:t>,</w:t>
      </w:r>
      <w:r w:rsidR="000729D9" w:rsidRPr="00A83A6E">
        <w:rPr>
          <w:rFonts w:asciiTheme="minorBidi" w:hAnsiTheme="minorBidi" w:cstheme="minorBidi"/>
        </w:rPr>
        <w:t xml:space="preserve"> </w:t>
      </w:r>
      <w:r w:rsidR="00CB0585" w:rsidRPr="00A83A6E">
        <w:rPr>
          <w:rFonts w:asciiTheme="minorBidi" w:hAnsiTheme="minorBidi" w:cstheme="minorBidi"/>
        </w:rPr>
        <w:t xml:space="preserve">koja je osnovala Inovacijsko vijeće za industriju, </w:t>
      </w:r>
      <w:r w:rsidR="000729D9" w:rsidRPr="00A83A6E">
        <w:rPr>
          <w:rFonts w:asciiTheme="minorBidi" w:hAnsiTheme="minorBidi" w:cstheme="minorBidi"/>
        </w:rPr>
        <w:t>Hrvatska obrtnička komora</w:t>
      </w:r>
      <w:r w:rsidR="00D02799" w:rsidRPr="00A83A6E">
        <w:rPr>
          <w:rFonts w:asciiTheme="minorBidi" w:hAnsiTheme="minorBidi" w:cstheme="minorBidi"/>
        </w:rPr>
        <w:t xml:space="preserve"> te Hrvatska udruga poslodavaca</w:t>
      </w:r>
      <w:r w:rsidR="000729D9" w:rsidRPr="00A83A6E">
        <w:rPr>
          <w:rFonts w:asciiTheme="minorBidi" w:hAnsiTheme="minorBidi" w:cstheme="minorBidi"/>
        </w:rPr>
        <w:t>.</w:t>
      </w:r>
      <w:r w:rsidR="00E63AFB" w:rsidRPr="00A83A6E">
        <w:rPr>
          <w:rFonts w:asciiTheme="minorBidi" w:hAnsiTheme="minorBidi" w:cstheme="minorBidi"/>
        </w:rPr>
        <w:t xml:space="preserve"> Važno je spomenuti i </w:t>
      </w:r>
      <w:r w:rsidR="00E63AFB" w:rsidRPr="007145ED">
        <w:rPr>
          <w:rFonts w:asciiTheme="minorBidi" w:hAnsiTheme="minorBidi" w:cstheme="minorBidi"/>
        </w:rPr>
        <w:t>Agenciju za mobilnost i programe EU (AMPEU) koja od 2009. provodi EU programe cjeloživotnog učenja te je trenutno nacionalna kontaktna točka za program Obzor 2020.</w:t>
      </w:r>
    </w:p>
    <w:p w14:paraId="4179D0FB" w14:textId="77777777" w:rsidR="00BE724B" w:rsidRPr="00BE1ECD" w:rsidRDefault="001442ED" w:rsidP="00BE724B">
      <w:pPr>
        <w:rPr>
          <w:rFonts w:asciiTheme="minorBidi" w:hAnsiTheme="minorBidi" w:cstheme="minorBidi"/>
        </w:rPr>
      </w:pPr>
      <w:r w:rsidRPr="007145ED">
        <w:rPr>
          <w:rFonts w:asciiTheme="minorBidi" w:hAnsiTheme="minorBidi" w:cstheme="minorBidi"/>
        </w:rPr>
        <w:t>U svrhu poticanja razvoja i rasta hrvatskog gospodarstva, Vlada RH odlučila je grupirati sve javne, privatne i znanstveno-istraživačke predstavnike u inovativnim sektorima, a sve u cilju jačanja konkurentnosti hrvatskih tvrtki, a posljedično i hrvatske ekonomije i društva.</w:t>
      </w:r>
      <w:r w:rsidR="00F57E2F" w:rsidRPr="007145ED">
        <w:rPr>
          <w:rFonts w:asciiTheme="minorBidi" w:hAnsiTheme="minorBidi" w:cstheme="minorBidi"/>
        </w:rPr>
        <w:t xml:space="preserve"> </w:t>
      </w:r>
      <w:r w:rsidRPr="00223709">
        <w:rPr>
          <w:rFonts w:asciiTheme="minorBidi" w:hAnsiTheme="minorBidi" w:cstheme="minorBidi"/>
          <w:b/>
          <w:bCs/>
        </w:rPr>
        <w:t>Klasteri konkurentnosti</w:t>
      </w:r>
      <w:r w:rsidRPr="007145ED">
        <w:rPr>
          <w:rFonts w:asciiTheme="minorBidi" w:hAnsiTheme="minorBidi" w:cstheme="minorBidi"/>
        </w:rPr>
        <w:t xml:space="preserve"> u Republici Hrvatskoj zamišljeni su kao neprofitne organizacije koje okupljaju sve najbolje gospodarstvenike u određenom sektoru – male, srednje i velike poduzetnike, predstavnike regionalne i lokalne samouprave te znanstveno-istraživačke institucije, kako bi se uspostavila sinergija i suradnja s ciljem jačanja konkurentnosti gospodarskih sektora na nacionalnoj razini.</w:t>
      </w:r>
      <w:r w:rsidR="00483F6E" w:rsidRPr="007145ED">
        <w:rPr>
          <w:rFonts w:asciiTheme="minorBidi" w:hAnsiTheme="minorBidi" w:cstheme="minorBidi"/>
        </w:rPr>
        <w:t xml:space="preserve"> Do sada je osnovano 13 klastera konkurentnosti. </w:t>
      </w:r>
    </w:p>
    <w:p w14:paraId="53054425" w14:textId="77777777" w:rsidR="00BF01A9" w:rsidRPr="00BE1ECD" w:rsidRDefault="00BF01A9" w:rsidP="00840E2E">
      <w:pPr>
        <w:pStyle w:val="Heading3"/>
        <w:numPr>
          <w:ilvl w:val="0"/>
          <w:numId w:val="55"/>
        </w:numPr>
      </w:pPr>
      <w:bookmarkStart w:id="102" w:name="_Toc531801487"/>
      <w:bookmarkStart w:id="103" w:name="_Toc531801616"/>
      <w:bookmarkStart w:id="104" w:name="_Toc531801742"/>
      <w:bookmarkStart w:id="105" w:name="_Toc531801870"/>
      <w:bookmarkStart w:id="106" w:name="_Toc531801488"/>
      <w:bookmarkStart w:id="107" w:name="_Toc531801617"/>
      <w:bookmarkStart w:id="108" w:name="_Toc531801743"/>
      <w:bookmarkStart w:id="109" w:name="_Toc531801871"/>
      <w:bookmarkStart w:id="110" w:name="_Toc531801489"/>
      <w:bookmarkStart w:id="111" w:name="_Toc531801618"/>
      <w:bookmarkStart w:id="112" w:name="_Toc531801744"/>
      <w:bookmarkStart w:id="113" w:name="_Toc531801872"/>
      <w:bookmarkStart w:id="114" w:name="_Toc531801507"/>
      <w:bookmarkStart w:id="115" w:name="_Toc531801636"/>
      <w:bookmarkStart w:id="116" w:name="_Toc531801762"/>
      <w:bookmarkStart w:id="117" w:name="_Toc531801890"/>
      <w:bookmarkStart w:id="118" w:name="_Toc531934950"/>
      <w:bookmarkStart w:id="119" w:name="_Toc531945076"/>
      <w:bookmarkStart w:id="120" w:name="_Toc630233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BE1ECD">
        <w:t>Ključna pitanja od prekogranične važnosti</w:t>
      </w:r>
    </w:p>
    <w:bookmarkEnd w:id="118"/>
    <w:bookmarkEnd w:id="119"/>
    <w:bookmarkEnd w:id="120"/>
    <w:p w14:paraId="2922E475" w14:textId="3625B813" w:rsidR="00C41478" w:rsidRDefault="00496D81" w:rsidP="00517C01">
      <w:r w:rsidRPr="003C23B6">
        <w:t xml:space="preserve">Ključna pitanja od prekogranične važnosti su </w:t>
      </w:r>
      <w:r w:rsidR="00DE6636" w:rsidRPr="003C23B6">
        <w:t xml:space="preserve">integracija energetskih tržišta, </w:t>
      </w:r>
      <w:r w:rsidR="001144DC" w:rsidRPr="003C23B6">
        <w:t>veliki infrastrukturni projekti</w:t>
      </w:r>
      <w:r w:rsidR="000C6F83" w:rsidRPr="003C23B6">
        <w:t xml:space="preserve"> koji se nalaze u blizini državne granice </w:t>
      </w:r>
      <w:r w:rsidR="00BD75BE" w:rsidRPr="003C23B6">
        <w:t>i</w:t>
      </w:r>
      <w:r w:rsidR="000C6F83" w:rsidRPr="003C23B6">
        <w:t xml:space="preserve"> </w:t>
      </w:r>
      <w:r w:rsidR="00BD75BE" w:rsidRPr="003C23B6">
        <w:t xml:space="preserve">prekogranični infrastrukturni projekti, međunarodna znanstveno-istraživačka suradnja </w:t>
      </w:r>
      <w:r w:rsidR="00BB4EA7">
        <w:t>povezana s dimenzijama e</w:t>
      </w:r>
      <w:r w:rsidR="004865EE" w:rsidRPr="003C23B6">
        <w:t>nergetske unije te ostale aktivnosti koje mogu utjecati na druge države članice EU.</w:t>
      </w:r>
    </w:p>
    <w:p w14:paraId="673029F2" w14:textId="2A32CD9C" w:rsidR="00FF0CF3" w:rsidRDefault="00FF0CF3" w:rsidP="00840E2E">
      <w:pPr>
        <w:pStyle w:val="Heading3"/>
        <w:numPr>
          <w:ilvl w:val="0"/>
          <w:numId w:val="55"/>
        </w:numPr>
      </w:pPr>
      <w:bookmarkStart w:id="121" w:name="_Toc531801509"/>
      <w:bookmarkStart w:id="122" w:name="_Toc531801638"/>
      <w:bookmarkStart w:id="123" w:name="_Toc531801764"/>
      <w:bookmarkStart w:id="124" w:name="_Toc531801892"/>
      <w:bookmarkStart w:id="125" w:name="_Toc531801510"/>
      <w:bookmarkStart w:id="126" w:name="_Toc531801639"/>
      <w:bookmarkStart w:id="127" w:name="_Toc531801765"/>
      <w:bookmarkStart w:id="128" w:name="_Toc531801893"/>
      <w:bookmarkStart w:id="129" w:name="_Toc531801511"/>
      <w:bookmarkStart w:id="130" w:name="_Toc531801640"/>
      <w:bookmarkStart w:id="131" w:name="_Toc531801766"/>
      <w:bookmarkStart w:id="132" w:name="_Toc531801894"/>
      <w:bookmarkStart w:id="133" w:name="_Toc531801512"/>
      <w:bookmarkStart w:id="134" w:name="_Toc531801641"/>
      <w:bookmarkStart w:id="135" w:name="_Toc531801767"/>
      <w:bookmarkStart w:id="136" w:name="_Toc531801895"/>
      <w:bookmarkStart w:id="137" w:name="_Toc531801513"/>
      <w:bookmarkStart w:id="138" w:name="_Toc531801642"/>
      <w:bookmarkStart w:id="139" w:name="_Toc531801768"/>
      <w:bookmarkStart w:id="140" w:name="_Toc531801896"/>
      <w:bookmarkStart w:id="141" w:name="_Toc531801514"/>
      <w:bookmarkStart w:id="142" w:name="_Toc531801643"/>
      <w:bookmarkStart w:id="143" w:name="_Toc531801769"/>
      <w:bookmarkStart w:id="144" w:name="_Toc531801897"/>
      <w:bookmarkStart w:id="145" w:name="_Toc531801515"/>
      <w:bookmarkStart w:id="146" w:name="_Toc531801644"/>
      <w:bookmarkStart w:id="147" w:name="_Toc531801770"/>
      <w:bookmarkStart w:id="148" w:name="_Toc531801898"/>
      <w:bookmarkStart w:id="149" w:name="_Toc531801516"/>
      <w:bookmarkStart w:id="150" w:name="_Toc531801645"/>
      <w:bookmarkStart w:id="151" w:name="_Toc531801771"/>
      <w:bookmarkStart w:id="152" w:name="_Toc531801899"/>
      <w:bookmarkStart w:id="153" w:name="_Toc531801517"/>
      <w:bookmarkStart w:id="154" w:name="_Toc531801646"/>
      <w:bookmarkStart w:id="155" w:name="_Toc531801772"/>
      <w:bookmarkStart w:id="156" w:name="_Toc531801900"/>
      <w:bookmarkStart w:id="157" w:name="_Toc531801518"/>
      <w:bookmarkStart w:id="158" w:name="_Toc531801647"/>
      <w:bookmarkStart w:id="159" w:name="_Toc531801773"/>
      <w:bookmarkStart w:id="160" w:name="_Toc531801901"/>
      <w:bookmarkStart w:id="161" w:name="_Toc531801519"/>
      <w:bookmarkStart w:id="162" w:name="_Toc531801648"/>
      <w:bookmarkStart w:id="163" w:name="_Toc531801774"/>
      <w:bookmarkStart w:id="164" w:name="_Toc531801902"/>
      <w:bookmarkStart w:id="165" w:name="_Toc531801520"/>
      <w:bookmarkStart w:id="166" w:name="_Toc531801649"/>
      <w:bookmarkStart w:id="167" w:name="_Toc531801775"/>
      <w:bookmarkStart w:id="168" w:name="_Toc531801903"/>
      <w:bookmarkStart w:id="169" w:name="_Toc531934951"/>
      <w:bookmarkStart w:id="170" w:name="_Toc531945077"/>
      <w:bookmarkStart w:id="171" w:name="_Toc630233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t>Administrativne strukture za provedbu nacionalnih energetskih i klimatskih politika</w:t>
      </w:r>
      <w:bookmarkEnd w:id="169"/>
      <w:bookmarkEnd w:id="170"/>
      <w:bookmarkEnd w:id="171"/>
    </w:p>
    <w:p w14:paraId="4FEF888B" w14:textId="723894CE" w:rsidR="00F73E2E" w:rsidRDefault="00FF0CF3" w:rsidP="00F73E2E">
      <w:r>
        <w:t>Krovna institucija za provedbu nacionalnih energetskih i klimatskih politika je Ministarstvo zaštite okoliša i energetike (MZOE), a unutar njega Uprava za energetiku</w:t>
      </w:r>
      <w:r w:rsidR="001C770D">
        <w:t>,</w:t>
      </w:r>
      <w:r>
        <w:t xml:space="preserve"> </w:t>
      </w:r>
      <w:r w:rsidRPr="008231C0">
        <w:t>Uprava za klimatske aktivnosti, održivi razvoj i zaštitu zraka, tla i od svjetlosnog onečišćenja</w:t>
      </w:r>
      <w:r w:rsidR="000E51E0">
        <w:t xml:space="preserve"> </w:t>
      </w:r>
      <w:r w:rsidR="000E51E0" w:rsidRPr="000E51E0">
        <w:t>i Zavod za zaštitu okoliša i prirode</w:t>
      </w:r>
      <w:r>
        <w:t xml:space="preserve">. </w:t>
      </w:r>
    </w:p>
    <w:p w14:paraId="65D4CA93" w14:textId="610711EA" w:rsidR="00C93A5A" w:rsidRDefault="002C49DB" w:rsidP="00C93A5A">
      <w:r>
        <w:t>P</w:t>
      </w:r>
      <w:r w:rsidR="005A1BA8" w:rsidRPr="005A1BA8">
        <w:t>riprem</w:t>
      </w:r>
      <w:r>
        <w:t>a</w:t>
      </w:r>
      <w:r w:rsidR="005A1BA8" w:rsidRPr="005A1BA8">
        <w:t xml:space="preserve"> i upravljanje inventarom</w:t>
      </w:r>
      <w:r w:rsidR="005A1BA8">
        <w:t xml:space="preserve"> stakleničkih plinova</w:t>
      </w:r>
      <w:r w:rsidR="005A1BA8" w:rsidRPr="005A1BA8">
        <w:t xml:space="preserve"> u Hrvatskoj</w:t>
      </w:r>
      <w:r w:rsidRPr="002C49DB">
        <w:t xml:space="preserve"> u nadležnosti je </w:t>
      </w:r>
      <w:r w:rsidR="000A5B3E">
        <w:t>MZOE</w:t>
      </w:r>
      <w:r w:rsidR="00224E33">
        <w:t>,</w:t>
      </w:r>
      <w:r w:rsidR="00224E33" w:rsidRPr="00224E33">
        <w:t xml:space="preserve"> nacionaln</w:t>
      </w:r>
      <w:r w:rsidR="00224E33">
        <w:t>e</w:t>
      </w:r>
      <w:r w:rsidR="00224E33" w:rsidRPr="00224E33">
        <w:t xml:space="preserve"> kontakt točk</w:t>
      </w:r>
      <w:r w:rsidR="000A5B3E">
        <w:t>e</w:t>
      </w:r>
      <w:r w:rsidR="00224E33" w:rsidRPr="00224E33">
        <w:t xml:space="preserve"> </w:t>
      </w:r>
      <w:r w:rsidR="00224E33">
        <w:t>pr</w:t>
      </w:r>
      <w:r w:rsidR="00C65827">
        <w:t>e</w:t>
      </w:r>
      <w:r w:rsidR="00224E33">
        <w:t>m</w:t>
      </w:r>
      <w:r w:rsidR="00C65827">
        <w:t>a</w:t>
      </w:r>
      <w:r w:rsidR="00224E33">
        <w:t xml:space="preserve"> UN okvirnoj konvenciji o promjeni klime (</w:t>
      </w:r>
      <w:r w:rsidR="00224E33" w:rsidRPr="00224E33">
        <w:t>UNFCCC</w:t>
      </w:r>
      <w:r w:rsidR="00224E33">
        <w:t>).</w:t>
      </w:r>
      <w:r w:rsidR="00C93A5A">
        <w:t xml:space="preserve"> </w:t>
      </w:r>
      <w:r w:rsidR="00C93A5A" w:rsidRPr="00C93A5A">
        <w:t>Zavod za zaštitu okoliša i prirode</w:t>
      </w:r>
      <w:r w:rsidR="000A5B3E">
        <w:t>, u okviru MZOE,</w:t>
      </w:r>
      <w:r w:rsidR="00C93A5A">
        <w:t xml:space="preserve"> je odgovoran za organizaciju pripreme inventara stakleničkih plinova,</w:t>
      </w:r>
      <w:r w:rsidR="00C93A5A">
        <w:tab/>
        <w:t>prikupljanje podataka o aktivnostima, izradu plana osiguranja i kontrole kvalitete (QA/QC plan), provedbu postupaka osiguranja kvalitete inventara,</w:t>
      </w:r>
      <w:r w:rsidR="000A5B3E">
        <w:t xml:space="preserve"> </w:t>
      </w:r>
      <w:r w:rsidR="00C93A5A">
        <w:t>arhiviranje podataka</w:t>
      </w:r>
      <w:r w:rsidR="007D4437">
        <w:t xml:space="preserve">, </w:t>
      </w:r>
      <w:r w:rsidR="00C93A5A">
        <w:t>vođenje evidencije i izvještavanja o ovlaštenim pravnim osobama koje sudjeluju u fleksibilnim mehanizmima K</w:t>
      </w:r>
      <w:r w:rsidR="007D4437">
        <w:t>y</w:t>
      </w:r>
      <w:r w:rsidR="00C93A5A">
        <w:t>otskog protokola</w:t>
      </w:r>
      <w:r w:rsidR="007D4437">
        <w:t xml:space="preserve">, </w:t>
      </w:r>
      <w:r w:rsidR="00C93A5A">
        <w:t xml:space="preserve">odabir </w:t>
      </w:r>
      <w:r w:rsidR="007D4437">
        <w:t>o</w:t>
      </w:r>
      <w:r w:rsidR="00C93A5A">
        <w:t>vlaštenik</w:t>
      </w:r>
      <w:r w:rsidR="007D4437">
        <w:t>a</w:t>
      </w:r>
      <w:r w:rsidR="00C93A5A">
        <w:t xml:space="preserve"> za pripremu inventara stakleničkih plinova</w:t>
      </w:r>
      <w:r w:rsidR="007D4437">
        <w:t xml:space="preserve"> te </w:t>
      </w:r>
      <w:r w:rsidR="00C93A5A">
        <w:t>osigura</w:t>
      </w:r>
      <w:r w:rsidR="007D4437">
        <w:t>nje</w:t>
      </w:r>
      <w:r w:rsidR="00C93A5A">
        <w:t xml:space="preserve"> uvid</w:t>
      </w:r>
      <w:r w:rsidR="007D4437">
        <w:t>a</w:t>
      </w:r>
      <w:r w:rsidR="00C93A5A">
        <w:t xml:space="preserve"> u podatke i dokumente u svrhu tehničkih pregleda</w:t>
      </w:r>
      <w:r w:rsidR="00E82CBF">
        <w:t xml:space="preserve"> </w:t>
      </w:r>
      <w:r w:rsidR="00E82CBF">
        <w:lastRenderedPageBreak/>
        <w:t xml:space="preserve">inventara. Osim navedenog, </w:t>
      </w:r>
      <w:r w:rsidR="00E82CBF" w:rsidRPr="00E82CBF">
        <w:t>Zavod za zaštitu okoliša i prirode</w:t>
      </w:r>
      <w:r w:rsidR="00E82CBF">
        <w:t xml:space="preserve"> ima važnu ulogu i u administriranju korisničkih računa hrvatskih sudionika u </w:t>
      </w:r>
      <w:r w:rsidR="000A5B3E">
        <w:t>EU sustavu trgovanja emisijskim jedinicama stakleničkih plinova (EU ETS)</w:t>
      </w:r>
      <w:r w:rsidR="00EF6657">
        <w:t xml:space="preserve"> te u </w:t>
      </w:r>
    </w:p>
    <w:p w14:paraId="75B9DA5A" w14:textId="0FDA604F" w:rsidR="00FF0CF3" w:rsidRDefault="00FF0CF3" w:rsidP="00FF0CF3">
      <w:r>
        <w:t>Unutar MZOE djeluje i Nacionalno koordinacijsko tijelo za energetsku učinkovitost, kao posebna ustrojstvena jedinica.</w:t>
      </w:r>
      <w:r w:rsidR="007F5325">
        <w:t xml:space="preserve"> </w:t>
      </w:r>
      <w:r w:rsidR="007F5325" w:rsidRPr="007F5325">
        <w:t>Zadaća ovog tijela jest koordinacija velikog broja dionika uključenih u definiranje, a posebice u provedbu politike energetske učinkovitosti u Hrvatskoj, sustavno praćenje provedbe kroz sustav za praćenje, mjerenje i verifikaciju ušteda energije (SMiV), izvještavanje te informiranje široke javnosti o planovima, realiziranim mjerama i njihovim učincima.</w:t>
      </w:r>
    </w:p>
    <w:p w14:paraId="36D29FDF" w14:textId="20A38DB1" w:rsidR="00713F62" w:rsidRDefault="00FF0CF3" w:rsidP="00FF0CF3">
      <w:r>
        <w:t>Važnu ulogu u provedbi nacionalnih energetskih i klimatskih politika uz MZOE ima i Ministarstvo graditeljstva i prostornog uređenja (MGIPU)</w:t>
      </w:r>
      <w:r w:rsidR="001851F3">
        <w:t>, koje je odgovorno za</w:t>
      </w:r>
      <w:r>
        <w:t xml:space="preserve"> </w:t>
      </w:r>
      <w:r w:rsidR="001851F3" w:rsidRPr="001851F3">
        <w:t>kreiranj</w:t>
      </w:r>
      <w:r w:rsidR="001851F3">
        <w:t>e</w:t>
      </w:r>
      <w:r w:rsidR="001851F3" w:rsidRPr="001851F3">
        <w:t xml:space="preserve"> politike i mjera kojima se ostvaruju postavljeni ciljevi energetskih ušteda u zgradama. </w:t>
      </w:r>
      <w:r w:rsidR="001851F3">
        <w:t>MGIPU</w:t>
      </w:r>
      <w:r w:rsidR="001851F3" w:rsidRPr="001851F3">
        <w:t xml:space="preserve"> donosi zakonsku regulativu, strategije i programe kojima usmjerava dugoročnu integralnu obnovu zgrada: obiteljskih kuća, višestambenih zgrada, komercijalnih nestambenih zgrada i zgrada javnog sektora.</w:t>
      </w:r>
      <w:r w:rsidR="002F579D">
        <w:t xml:space="preserve"> MGIPU također obavlja poslove u svojstvu Posredničkog tijela razine 1 za korištenje sredstava ESI fondova prema OPKK.</w:t>
      </w:r>
    </w:p>
    <w:p w14:paraId="2CDDE1AF" w14:textId="11D17A2D" w:rsidR="00FF0CF3" w:rsidRDefault="00FF0CF3" w:rsidP="001851F3">
      <w:r>
        <w:t xml:space="preserve">Ministarstvo </w:t>
      </w:r>
      <w:r w:rsidR="00BD7D61">
        <w:t>mora</w:t>
      </w:r>
      <w:r w:rsidR="00C67FD0">
        <w:t xml:space="preserve">, </w:t>
      </w:r>
      <w:r>
        <w:t>prometa</w:t>
      </w:r>
      <w:r w:rsidR="00C67FD0">
        <w:t xml:space="preserve"> i infrastrukture</w:t>
      </w:r>
      <w:r w:rsidR="00E35991">
        <w:t xml:space="preserve"> </w:t>
      </w:r>
      <w:r w:rsidR="00713F62">
        <w:t xml:space="preserve">odgovorno </w:t>
      </w:r>
      <w:r w:rsidR="00C67FD0">
        <w:t xml:space="preserve">je </w:t>
      </w:r>
      <w:r w:rsidR="00713F62">
        <w:t>za nacionalnu politiku, akcijske planove i strategij</w:t>
      </w:r>
      <w:r w:rsidR="00C67FD0">
        <w:t>e</w:t>
      </w:r>
      <w:r w:rsidR="00713F62">
        <w:t xml:space="preserve"> </w:t>
      </w:r>
      <w:r w:rsidR="00213605">
        <w:t>vezane uz razvoj infrastrukture za poticanje korištenja alternativnih goriva u prometu te ostalih mjera za poboljšanje energetske učinkovitosti u prometu</w:t>
      </w:r>
      <w:r w:rsidR="00713F62">
        <w:t>.</w:t>
      </w:r>
    </w:p>
    <w:p w14:paraId="5727D19C" w14:textId="30873FA3" w:rsidR="00FF0CF3" w:rsidRPr="007F5325" w:rsidRDefault="00FF0CF3" w:rsidP="00FF0CF3">
      <w:r w:rsidRPr="007F5325">
        <w:t xml:space="preserve">Na provedbenoj razini </w:t>
      </w:r>
      <w:r w:rsidR="00213605">
        <w:t>važnu</w:t>
      </w:r>
      <w:r w:rsidR="00213605" w:rsidRPr="007F5325">
        <w:t xml:space="preserve"> </w:t>
      </w:r>
      <w:r w:rsidRPr="007F5325">
        <w:t>ulogu ima Fond za zaštitu okoliša i energetsku učinkovitost (FZOEU). FZOEU je zadužen za sufinanciranje mjera definiranih u nacionalnim energetskim i klimatskim planovima, a djeluje i kao posredničko tijelo razine 2 za korištenje sredstava ESI fondova prema Operativnom programu Konkurentnost i kohezija 2014. – 2020., u dijelovima relevantnim za energetiku i klimu.</w:t>
      </w:r>
      <w:r w:rsidR="00447CB5">
        <w:t xml:space="preserve"> </w:t>
      </w:r>
      <w:r w:rsidR="00447CB5" w:rsidRPr="00447CB5">
        <w:t>FZOEU također raspoređuje financijska sredstva dobivena od emisijskih jedinica putem dražbi na EU tržištu sukladno Planu korištenja financijskih sredstava dobivenih od prodaje emisijskih jedinica putem dražbi u RH za razdoblje od 2017. do 2020. godine (NN 19/18).</w:t>
      </w:r>
      <w:r w:rsidRPr="007F5325">
        <w:t xml:space="preserve"> </w:t>
      </w:r>
      <w:r w:rsidR="005F4D51" w:rsidRPr="005F4D51">
        <w:t>FZOEU raspolaže i sredstvima koja uplaćuju opskrbljivači energijom u slučaju neispunjavanja svoje obveze u skladu s člankom 13. Zakona o energetskoj učinkovitosti te ih je dužan</w:t>
      </w:r>
      <w:r w:rsidR="000E462C">
        <w:t xml:space="preserve"> </w:t>
      </w:r>
      <w:r w:rsidR="005F4D51" w:rsidRPr="005F4D51">
        <w:t>ulagati u alternativne mjere.</w:t>
      </w:r>
    </w:p>
    <w:p w14:paraId="2DA1421D" w14:textId="7E32A6E6" w:rsidR="00FF0CF3" w:rsidRPr="00BA2171" w:rsidRDefault="00FF0CF3" w:rsidP="00FF0CF3">
      <w:r w:rsidRPr="007F5325">
        <w:t>Na polju energetske učinkovitosti važnu ulogu ima i Agencija za pravni promet i posredovanje nekretninama (APN), koja je zadužena za provedbu programa energetske obnove zgrada javnog sektora po modelu energetske usluge i za sustavno gospodarenje energijom u javnom sektoru, sve u skladu s ovlastima definiranima Zakonom o energetskoj učinkovitosti (</w:t>
      </w:r>
      <w:r w:rsidR="00880054">
        <w:t>NN</w:t>
      </w:r>
      <w:r w:rsidRPr="007F5325">
        <w:t xml:space="preserve"> 127/14</w:t>
      </w:r>
      <w:r w:rsidR="000E462C">
        <w:t>, 116/18</w:t>
      </w:r>
      <w:r w:rsidRPr="00BA2171">
        <w:t>).</w:t>
      </w:r>
    </w:p>
    <w:p w14:paraId="1E72105A" w14:textId="77777777" w:rsidR="00FF0CF3" w:rsidRPr="00050DB9" w:rsidRDefault="00FF0CF3" w:rsidP="00FF0CF3">
      <w:r w:rsidRPr="00050DB9">
        <w:t xml:space="preserve">Hrvatska energetska regulatorna agencija (HERA) je regulator energetskih djelatnosti odgovoran za unapređenje i provedbu podzakonskih akata, izdavanje dozvola, postavljanje tarifa, certifikaciju statusa povlaštenog proizvođača, itd. </w:t>
      </w:r>
    </w:p>
    <w:p w14:paraId="10FEBFA9" w14:textId="50B6E15F" w:rsidR="00421516" w:rsidRDefault="00421516" w:rsidP="00FF0CF3">
      <w:r w:rsidRPr="00421516">
        <w:t>Agencija za ugljikovodike pruža operativnu podršku nadležnim tijelima u poslovima vezanim za istraživanje i eksploataciju ugljikovodika,</w:t>
      </w:r>
      <w:r w:rsidR="00256387">
        <w:t xml:space="preserve"> </w:t>
      </w:r>
      <w:r w:rsidR="00256387" w:rsidRPr="00256387">
        <w:t>geotermalne vode za energetske svrhe,</w:t>
      </w:r>
      <w:r w:rsidRPr="00421516">
        <w:t xml:space="preserve"> </w:t>
      </w:r>
      <w:r w:rsidRPr="00421516">
        <w:lastRenderedPageBreak/>
        <w:t xml:space="preserve">podzemno skladištenje prirodnog plina kao i trajno zbrinjavanje </w:t>
      </w:r>
      <w:r w:rsidR="00335B0A">
        <w:t xml:space="preserve">plinova </w:t>
      </w:r>
      <w:r w:rsidRPr="00421516">
        <w:t>u geološkim strukturama te u poslovima osiguranja obveznih zaliha nafte i naftnih derivata.</w:t>
      </w:r>
    </w:p>
    <w:p w14:paraId="18EA20EB" w14:textId="4FBC4A58" w:rsidR="00FF0CF3" w:rsidRDefault="00FF0CF3" w:rsidP="00FF0CF3">
      <w:r w:rsidRPr="00050DB9">
        <w:t xml:space="preserve">Hrvatski operator tržišta energije (HROTE) </w:t>
      </w:r>
      <w:r w:rsidR="00724D25" w:rsidRPr="00724D25">
        <w:t>obavlja javnu uslugu organiziranja tržišta električne energije i plina te analiziranja i predlaganje mjera za njegovo unapređenje. Ujedno obavlja poslove vezane uz sustav poticanja proizvodnje električne energije iz obnovljivih izvora energije i kogeneracije, što podrazumijeva prikupljanje naknade od opskrbljivača te obračun i raspodjelu novčanih sredstava na temelju sklopljenih ugovora s povlaštenim proizvođačima koji imaju pravo na poticajnu cijenu.</w:t>
      </w:r>
      <w:r w:rsidRPr="00050DB9">
        <w:t xml:space="preserve"> </w:t>
      </w:r>
    </w:p>
    <w:p w14:paraId="41EDE353" w14:textId="43614198" w:rsidR="00FF0CF3" w:rsidRPr="00050DB9" w:rsidRDefault="00FF0CF3" w:rsidP="00FF0CF3">
      <w:r w:rsidRPr="00050DB9">
        <w:t>Operatori prijenosnog/distribucijskog</w:t>
      </w:r>
      <w:r w:rsidR="00576DF5">
        <w:t xml:space="preserve"> elektroenergetskog</w:t>
      </w:r>
      <w:r w:rsidRPr="00050DB9">
        <w:t xml:space="preserve"> sustava (HOPS/HEP-ODS) imaju ulogu prijenosa i distribucije električne energije unutar mreže</w:t>
      </w:r>
      <w:r w:rsidR="00C40F37">
        <w:t>, operator plinske prijenosne mreže</w:t>
      </w:r>
      <w:r w:rsidR="00A47053">
        <w:t xml:space="preserve"> je</w:t>
      </w:r>
      <w:r w:rsidR="00C40F37">
        <w:t xml:space="preserve"> tvrtka PLINACRO d.o.o.</w:t>
      </w:r>
      <w:r w:rsidR="00BC2B63">
        <w:t xml:space="preserve">, dok </w:t>
      </w:r>
      <w:r w:rsidR="00BC2B63" w:rsidRPr="00BC2B63">
        <w:t>operator naftovodno-skladišnog sustava (JANAF) ima ulogu transporta i skladištenja nafte i naftnih derivata.</w:t>
      </w:r>
    </w:p>
    <w:p w14:paraId="62B5EDA4" w14:textId="6D00BE1B" w:rsidR="00FF0CF3" w:rsidRDefault="00FF0CF3" w:rsidP="00FF0CF3">
      <w:r w:rsidRPr="00050DB9">
        <w:t>Također treba istaknuti opskrbljivače energijom kao dionike koji će u budućem razdoblju imati ključnu ulogu u ostvarenju ciljeva politike energetske učinkovitosti. Naime, opskrbljivači će od 2019. godine</w:t>
      </w:r>
      <w:r w:rsidR="00E35991">
        <w:t xml:space="preserve"> </w:t>
      </w:r>
      <w:r w:rsidRPr="00050DB9">
        <w:t xml:space="preserve">biti obvezni ostvarivati uštede energije ulaganjem </w:t>
      </w:r>
      <w:r w:rsidR="00C175B2">
        <w:t xml:space="preserve">u </w:t>
      </w:r>
      <w:r w:rsidRPr="00050DB9">
        <w:t>i poticanjem poboljšanj</w:t>
      </w:r>
      <w:r w:rsidR="00C175B2">
        <w:t>a</w:t>
      </w:r>
      <w:r w:rsidRPr="00050DB9">
        <w:t xml:space="preserve"> energetske učinkovitosti kod krajnjih kupaca energije ili novčanom uplatom u FZOEU.</w:t>
      </w:r>
      <w:r w:rsidR="0086329E">
        <w:t xml:space="preserve"> </w:t>
      </w:r>
    </w:p>
    <w:p w14:paraId="2673E5E0" w14:textId="32A21CEF" w:rsidR="00FF0CF3" w:rsidRDefault="00963D00" w:rsidP="00FF0CF3">
      <w:pPr>
        <w:pStyle w:val="Heading2"/>
      </w:pPr>
      <w:bookmarkStart w:id="172" w:name="_Toc531934952"/>
      <w:bookmarkStart w:id="173" w:name="_Toc531945078"/>
      <w:bookmarkStart w:id="174" w:name="_Toc6302334"/>
      <w:bookmarkStart w:id="175" w:name="_Toc27396100"/>
      <w:r>
        <w:t>1.3</w:t>
      </w:r>
      <w:r>
        <w:tab/>
      </w:r>
      <w:r w:rsidR="00FF0CF3">
        <w:t>Savjetovanja i sudjelovanje nacionalnih subjekata i subjekata EU-a te ishod savjetovanja</w:t>
      </w:r>
      <w:bookmarkEnd w:id="172"/>
      <w:bookmarkEnd w:id="173"/>
      <w:bookmarkEnd w:id="174"/>
      <w:bookmarkEnd w:id="175"/>
    </w:p>
    <w:p w14:paraId="47467E64" w14:textId="597A00B5" w:rsidR="00FF0CF3" w:rsidRDefault="00FF0CF3" w:rsidP="00840E2E">
      <w:pPr>
        <w:pStyle w:val="Heading3"/>
        <w:numPr>
          <w:ilvl w:val="0"/>
          <w:numId w:val="56"/>
        </w:numPr>
      </w:pPr>
      <w:bookmarkStart w:id="176" w:name="_Toc531934953"/>
      <w:bookmarkStart w:id="177" w:name="_Toc531945079"/>
      <w:bookmarkStart w:id="178" w:name="_Toc6302335"/>
      <w:r>
        <w:t xml:space="preserve">Sudjelovanje </w:t>
      </w:r>
      <w:r w:rsidR="002D44FB">
        <w:t>nacionalnog p</w:t>
      </w:r>
      <w:r>
        <w:t>arlamenta</w:t>
      </w:r>
      <w:bookmarkEnd w:id="176"/>
      <w:bookmarkEnd w:id="177"/>
      <w:bookmarkEnd w:id="178"/>
      <w:r>
        <w:t xml:space="preserve"> </w:t>
      </w:r>
    </w:p>
    <w:p w14:paraId="46CC1991" w14:textId="53B937C3" w:rsidR="00CE63E6" w:rsidRPr="00BE1ECD" w:rsidRDefault="00CE63E6" w:rsidP="002D5C66">
      <w:r w:rsidRPr="00CE63E6">
        <w:t xml:space="preserve">U Hrvatskom saboru je </w:t>
      </w:r>
      <w:r>
        <w:t xml:space="preserve">u </w:t>
      </w:r>
      <w:r w:rsidRPr="00CE63E6">
        <w:t>listopad</w:t>
      </w:r>
      <w:r>
        <w:t>u</w:t>
      </w:r>
      <w:r w:rsidRPr="00CE63E6">
        <w:t xml:space="preserve"> 2019. godine održana radionica u organizaciji Odbora za europske poslove i Europskog foruma za obnovljive izvore energije (EUFORES) s temom: "The Clean Energy Package and the national energy and climate plans - Outlook for Renewable Energies in Croatia" ("Čista energija za sve Europljane te nacionalni energetski i klimatski planovi: perspektive obnovljivih izvora energije u Hrvatskoj") tijekom koje je prezentiran i raspravlj</w:t>
      </w:r>
      <w:r w:rsidR="00811D98">
        <w:t>e</w:t>
      </w:r>
      <w:r w:rsidRPr="00CE63E6">
        <w:t xml:space="preserve">n Nacrt nacionalnog integriranog energetskog i klimatskog plana. </w:t>
      </w:r>
    </w:p>
    <w:p w14:paraId="50339B82" w14:textId="601380B3" w:rsidR="00C82A30" w:rsidRDefault="00484534" w:rsidP="00840E2E">
      <w:pPr>
        <w:pStyle w:val="Heading3"/>
        <w:numPr>
          <w:ilvl w:val="0"/>
          <w:numId w:val="56"/>
        </w:numPr>
      </w:pPr>
      <w:r>
        <w:t xml:space="preserve">Sudjelovanje lokalnih i regionalnih tijela </w:t>
      </w:r>
    </w:p>
    <w:p w14:paraId="0BA4888B" w14:textId="6AD80D24" w:rsidR="00437AD0" w:rsidRDefault="00437AD0" w:rsidP="00437AD0">
      <w:r>
        <w:t>L</w:t>
      </w:r>
      <w:r w:rsidRPr="00BE1ECD">
        <w:t xml:space="preserve">okalna i regionalna tijela </w:t>
      </w:r>
      <w:r w:rsidR="005B1BDD">
        <w:t>sudjelovala su u izradi</w:t>
      </w:r>
      <w:r>
        <w:t xml:space="preserve"> </w:t>
      </w:r>
      <w:r w:rsidR="00CC7E0C">
        <w:t xml:space="preserve">nacrta </w:t>
      </w:r>
      <w:r>
        <w:t>integriranog</w:t>
      </w:r>
      <w:r w:rsidR="005B1BDD">
        <w:t xml:space="preserve"> nacionalnog</w:t>
      </w:r>
      <w:r>
        <w:t xml:space="preserve"> energetskog i klimatskog plana, ali i u izrad</w:t>
      </w:r>
      <w:r w:rsidR="00B614AA">
        <w:t>i</w:t>
      </w:r>
      <w:r>
        <w:t xml:space="preserve"> svih ključnih strateških dokumenata koji su poslužili kao podloga za izradu plana.</w:t>
      </w:r>
    </w:p>
    <w:p w14:paraId="598F957A" w14:textId="2AC7E761" w:rsidR="00F64EC9" w:rsidRDefault="00437AD0" w:rsidP="00437AD0">
      <w:r>
        <w:t xml:space="preserve">U skladu s tim, lokalna i regionalna tijela </w:t>
      </w:r>
      <w:r w:rsidRPr="00BE1ECD">
        <w:t>sudjelovala su na konzultativnim radionicama organiziranim u okviru izrade Nacrta Strategije niskougljičnog razvoja Republike Hrvatske do 2030. godine s pogledom na 2050.</w:t>
      </w:r>
      <w:r w:rsidR="007E04EB">
        <w:t xml:space="preserve"> te putem e-savjetovanja</w:t>
      </w:r>
      <w:r w:rsidRPr="00BE1ECD">
        <w:t xml:space="preserve">, na događanjima organiziranim u okviru javnog predstavljanja Zelene </w:t>
      </w:r>
      <w:r>
        <w:t xml:space="preserve">i Bijele </w:t>
      </w:r>
      <w:r w:rsidRPr="00BE1ECD">
        <w:t>knjige</w:t>
      </w:r>
      <w:r>
        <w:t xml:space="preserve">, te </w:t>
      </w:r>
      <w:r w:rsidRPr="00BE1ECD">
        <w:t>putem e-savjetovanja</w:t>
      </w:r>
      <w:r>
        <w:t xml:space="preserve"> u procesu izrade same </w:t>
      </w:r>
      <w:r w:rsidRPr="00BE1ECD">
        <w:t>Strategije energetskog razvoja Republike Hrvatske do 2030. go</w:t>
      </w:r>
      <w:r>
        <w:t>dine s pogledom na 2050. godinu</w:t>
      </w:r>
      <w:r w:rsidRPr="00AD5D70">
        <w:t xml:space="preserve">. </w:t>
      </w:r>
    </w:p>
    <w:p w14:paraId="30BE378E" w14:textId="77777777" w:rsidR="00F64EC9" w:rsidRDefault="00F64EC9" w:rsidP="00F64EC9">
      <w:r>
        <w:lastRenderedPageBreak/>
        <w:t xml:space="preserve">Također, lokalna i regionalna tijela sudjelovala su i u preliminarnom e-savjetovanju u procesu izrade nacrta integriranog energetskog i klimatskog plana održanih u studenom i prosincu 2018. godine. Drugi </w:t>
      </w:r>
      <w:r w:rsidRPr="00BE1ECD">
        <w:t>krug radionica organiziran je po dovršetku svih dijelova Nacrta Plana, u srpnju 2019. godine, u okviru tematskih međusektorskih radionica</w:t>
      </w:r>
      <w:r>
        <w:t xml:space="preserve"> otvorenih za sve dionike.</w:t>
      </w:r>
    </w:p>
    <w:p w14:paraId="4216F212" w14:textId="0C9DAB87" w:rsidR="00437AD0" w:rsidRDefault="00437AD0" w:rsidP="00437AD0">
      <w:r w:rsidRPr="00AD5D70">
        <w:t xml:space="preserve">U </w:t>
      </w:r>
      <w:r w:rsidR="00AD5D70">
        <w:t>listopadu</w:t>
      </w:r>
      <w:r w:rsidR="00AD5D70" w:rsidRPr="00AD5D70">
        <w:t xml:space="preserve"> </w:t>
      </w:r>
      <w:r w:rsidRPr="00AD5D70">
        <w:t>2019. godine</w:t>
      </w:r>
      <w:r w:rsidR="00AD5D70">
        <w:t xml:space="preserve"> organiziran je sastanak s predstavnicima regionalnih energet</w:t>
      </w:r>
      <w:r w:rsidR="005C02B0">
        <w:t>skih agencija na kojem je predstavljen i dorađen nacrt plana</w:t>
      </w:r>
      <w:r w:rsidR="00F64EC9">
        <w:t>, potom upućen na e-savjetovanje</w:t>
      </w:r>
      <w:r w:rsidRPr="00AD5D70">
        <w:t>.</w:t>
      </w:r>
      <w:r w:rsidR="00F64EC9">
        <w:t xml:space="preserve"> </w:t>
      </w:r>
    </w:p>
    <w:p w14:paraId="07DC45F7" w14:textId="29D9EFC9" w:rsidR="00F64EC9" w:rsidRPr="00BE1ECD" w:rsidRDefault="00F64EC9" w:rsidP="00437AD0">
      <w:r>
        <w:t>Proces e-savjetovanja otvoren je za sve dionike pa tako i za predstavnike lokalnih i regionalnih tijela.</w:t>
      </w:r>
    </w:p>
    <w:p w14:paraId="1C2A2E93" w14:textId="648F88AD" w:rsidR="00FF0CF3" w:rsidRDefault="00FF0CF3" w:rsidP="00840E2E">
      <w:pPr>
        <w:pStyle w:val="Heading3"/>
        <w:numPr>
          <w:ilvl w:val="0"/>
          <w:numId w:val="57"/>
        </w:numPr>
      </w:pPr>
      <w:bookmarkStart w:id="179" w:name="_Toc531934955"/>
      <w:bookmarkStart w:id="180" w:name="_Toc531945081"/>
      <w:bookmarkStart w:id="181" w:name="_Toc6302337"/>
      <w:r>
        <w:t>Savjetovanja s dionicima, uključujući socijalne partnere, te uključenost civilnog društva</w:t>
      </w:r>
      <w:bookmarkEnd w:id="179"/>
      <w:bookmarkEnd w:id="180"/>
      <w:bookmarkEnd w:id="181"/>
      <w:r w:rsidR="0044259F">
        <w:t xml:space="preserve"> i šire javnosti</w:t>
      </w:r>
    </w:p>
    <w:p w14:paraId="64E3DF42" w14:textId="1D626A07" w:rsidR="00A76C83" w:rsidRPr="00BE1ECD" w:rsidRDefault="00A76C83" w:rsidP="00A76C83">
      <w:r w:rsidRPr="00BE1ECD">
        <w:t>Dionici</w:t>
      </w:r>
      <w:r>
        <w:t xml:space="preserve">, uključujući </w:t>
      </w:r>
      <w:r w:rsidRPr="00653CC0">
        <w:t>socijalne partnere</w:t>
      </w:r>
      <w:r>
        <w:t xml:space="preserve">, civilno društvo i širu javnost, </w:t>
      </w:r>
      <w:r w:rsidRPr="00BE1ECD">
        <w:t xml:space="preserve">su tijekom 2018. </w:t>
      </w:r>
      <w:r>
        <w:t xml:space="preserve">i 2019. </w:t>
      </w:r>
      <w:r w:rsidRPr="00BE1ECD">
        <w:t xml:space="preserve">godine </w:t>
      </w:r>
      <w:r>
        <w:t xml:space="preserve">aktivno </w:t>
      </w:r>
      <w:r w:rsidR="000C7B76">
        <w:t>s</w:t>
      </w:r>
      <w:r w:rsidRPr="00BE1ECD">
        <w:t xml:space="preserve">udjelovali na </w:t>
      </w:r>
      <w:r>
        <w:t xml:space="preserve">nizu </w:t>
      </w:r>
      <w:r w:rsidRPr="00BE1ECD">
        <w:t>konzultativni</w:t>
      </w:r>
      <w:r>
        <w:t xml:space="preserve">h </w:t>
      </w:r>
      <w:r w:rsidRPr="00BE1ECD">
        <w:t>radionica organizirani</w:t>
      </w:r>
      <w:r>
        <w:t>h</w:t>
      </w:r>
      <w:r w:rsidRPr="00BE1ECD">
        <w:t xml:space="preserve"> u okviru rada na Nacrtu</w:t>
      </w:r>
      <w:r>
        <w:t xml:space="preserve"> integriranog energetskog i klimatskog plana, </w:t>
      </w:r>
      <w:r w:rsidRPr="00BE1ECD">
        <w:t xml:space="preserve">izrade Nacrta Strategije niskougljičnog razvoja Republike Hrvatske do 2030. godine s pogledom na 2050., na događanjima organiziranim u okviru javnog predstavljanja Zelene </w:t>
      </w:r>
      <w:r>
        <w:t xml:space="preserve">i Bijele </w:t>
      </w:r>
      <w:r w:rsidRPr="00BE1ECD">
        <w:t xml:space="preserve">knjige koja je poslužila kao podloga za izradu Strategije energetskog razvoja Republike Hrvatske do 2030. godine s pogledom na 2050. godinu, </w:t>
      </w:r>
      <w:r>
        <w:t xml:space="preserve">te </w:t>
      </w:r>
      <w:r w:rsidRPr="00BE1ECD">
        <w:t>putem e-savjetovanja</w:t>
      </w:r>
      <w:r>
        <w:t xml:space="preserve"> u proceduri izrade nacrta i konačne verzije integriranog energetskog i klimatskog plana, te </w:t>
      </w:r>
      <w:r w:rsidRPr="00BE1ECD">
        <w:t>Strategije energetskog razvoja Republike Hrvatske do 2030. godine s pogledom na 2050. godinu.</w:t>
      </w:r>
    </w:p>
    <w:p w14:paraId="14F8D6FF" w14:textId="4D216850" w:rsidR="00A76C83" w:rsidRDefault="00A76C83" w:rsidP="00A76C83">
      <w:r>
        <w:t xml:space="preserve">Posebno treba istaknuti kako su dionici bili aktivno uključeni </w:t>
      </w:r>
      <w:r w:rsidRPr="00BE1ECD">
        <w:t>radionic</w:t>
      </w:r>
      <w:r>
        <w:t>e</w:t>
      </w:r>
      <w:r w:rsidRPr="00BE1ECD">
        <w:t xml:space="preserve"> </w:t>
      </w:r>
      <w:r>
        <w:t xml:space="preserve">vezane uz izradu nacrta te uz dovršetak procesa izrade konačne verzije integriranog energetskog i klimatskog plana. Prvi krug radionica, vezan uz izradu nacrta plana, organiziran je u studenom 2018. godine. Drugi krug radionica, vezan uz izradu konačne verzije plana, organiziran je </w:t>
      </w:r>
      <w:r w:rsidRPr="00BE1ECD">
        <w:t>u srpnju 2019. godine (u okviru tematskih međusektorskih radionica).</w:t>
      </w:r>
    </w:p>
    <w:p w14:paraId="295CBD52" w14:textId="76F4A1CB" w:rsidR="00A76C83" w:rsidRPr="00BE1ECD" w:rsidRDefault="004C1773" w:rsidP="00A76C83">
      <w:r>
        <w:t>Prvi n</w:t>
      </w:r>
      <w:r w:rsidR="00A76C83">
        <w:t xml:space="preserve">acrt </w:t>
      </w:r>
      <w:r w:rsidR="00FE5DD0">
        <w:t>I</w:t>
      </w:r>
      <w:r w:rsidR="00A76C83">
        <w:t>ntegriranog</w:t>
      </w:r>
      <w:r w:rsidR="00FE5DD0">
        <w:t xml:space="preserve"> nacionalnog</w:t>
      </w:r>
      <w:r w:rsidR="00A76C83">
        <w:t xml:space="preserve"> energetskog i klimatskog plana stavljen je na e-savjetovanje tijekom prosinca 2018. godine,</w:t>
      </w:r>
      <w:r w:rsidR="0022061C">
        <w:t xml:space="preserve"> kada je zaprimljeno </w:t>
      </w:r>
      <w:r w:rsidR="00EB55B3">
        <w:t>90 komentara</w:t>
      </w:r>
      <w:r w:rsidR="007C3606">
        <w:t xml:space="preserve">. </w:t>
      </w:r>
      <w:r>
        <w:t>Dorađeni nacrt plana</w:t>
      </w:r>
      <w:r w:rsidRPr="00BE1ECD">
        <w:t xml:space="preserve"> </w:t>
      </w:r>
      <w:r w:rsidR="00A76C83" w:rsidRPr="00BE1ECD">
        <w:t xml:space="preserve">stavljen </w:t>
      </w:r>
      <w:r w:rsidR="00A76C83">
        <w:t xml:space="preserve">je </w:t>
      </w:r>
      <w:r w:rsidR="00A76C83" w:rsidRPr="00BE1ECD">
        <w:t xml:space="preserve">na e-savjetovanje u </w:t>
      </w:r>
      <w:r w:rsidR="004A375A">
        <w:t>listopadu</w:t>
      </w:r>
      <w:r w:rsidR="00A76C83" w:rsidRPr="00BE1ECD">
        <w:t xml:space="preserve"> 2019. godine.</w:t>
      </w:r>
    </w:p>
    <w:p w14:paraId="39C7D974" w14:textId="77777777" w:rsidR="00FF0CF3" w:rsidRDefault="00FF0CF3" w:rsidP="00840E2E">
      <w:pPr>
        <w:pStyle w:val="Heading3"/>
        <w:numPr>
          <w:ilvl w:val="0"/>
          <w:numId w:val="57"/>
        </w:numPr>
      </w:pPr>
      <w:bookmarkStart w:id="182" w:name="_Toc531934956"/>
      <w:bookmarkStart w:id="183" w:name="_Toc531945082"/>
      <w:bookmarkStart w:id="184" w:name="_Toc6302338"/>
      <w:r>
        <w:t>Savjetovanja s drugim državama članicama</w:t>
      </w:r>
      <w:bookmarkEnd w:id="182"/>
      <w:bookmarkEnd w:id="183"/>
      <w:bookmarkEnd w:id="184"/>
      <w:r>
        <w:t xml:space="preserve"> </w:t>
      </w:r>
    </w:p>
    <w:p w14:paraId="72A6F797" w14:textId="09A75629" w:rsidR="00720D30" w:rsidRDefault="00720D30" w:rsidP="00720D30">
      <w:r>
        <w:t>Savjetovanje s drugim državama članicama odvijalo se u dvije razine:</w:t>
      </w:r>
    </w:p>
    <w:p w14:paraId="0A75468F" w14:textId="77777777" w:rsidR="00720D30" w:rsidRDefault="00720D30" w:rsidP="00840E2E">
      <w:pPr>
        <w:pStyle w:val="ListParagraph"/>
        <w:numPr>
          <w:ilvl w:val="0"/>
          <w:numId w:val="47"/>
        </w:numPr>
      </w:pPr>
      <w:r>
        <w:t>indirektna prezentacija nacrta i konačne verzije plana;</w:t>
      </w:r>
    </w:p>
    <w:p w14:paraId="5020823D" w14:textId="77777777" w:rsidR="00720D30" w:rsidRDefault="00720D30" w:rsidP="00840E2E">
      <w:pPr>
        <w:pStyle w:val="ListParagraph"/>
        <w:numPr>
          <w:ilvl w:val="0"/>
          <w:numId w:val="47"/>
        </w:numPr>
      </w:pPr>
      <w:r>
        <w:t>direktna prezentacija nacrta i konačne verzije integriranog energetskog i klimatskog plana.</w:t>
      </w:r>
    </w:p>
    <w:p w14:paraId="0A313109" w14:textId="05358DCF" w:rsidR="00720D30" w:rsidRDefault="00720D30" w:rsidP="00720D30">
      <w:r w:rsidRPr="00BE1ECD">
        <w:t>Tekst Nacrta Integriranog nacionalnog energetskog i klimatskog plana preveden je na engleski jezik, dostavljen Europskoj komisiji i objavljen na internetskim stranicama MZOE</w:t>
      </w:r>
      <w:r>
        <w:t xml:space="preserve"> u isto vrijeme kada je dostavljena i hrvatska verzija nacrta plana te je </w:t>
      </w:r>
      <w:r w:rsidR="009B5AD3">
        <w:t>tako</w:t>
      </w:r>
      <w:r>
        <w:t xml:space="preserve"> postao dostupan svim državama članicama čime je omogućeno indirektno savjetovanje s državama članicama.</w:t>
      </w:r>
    </w:p>
    <w:p w14:paraId="1C32D5B4" w14:textId="77777777" w:rsidR="00720D30" w:rsidRPr="00BE1ECD" w:rsidRDefault="00720D30" w:rsidP="00720D30">
      <w:r>
        <w:lastRenderedPageBreak/>
        <w:t xml:space="preserve">Također, bilo je i aktivnosti vezanih uz direktno predstavljanje nacrta i konačne verzije plana. </w:t>
      </w:r>
      <w:r w:rsidRPr="00BE1ECD">
        <w:t>Proces izrade Nacrta Integriranog energetskog i klimatskog plana predstavljen je predstavnicima zemalja članica Energetske zajednice na sastanku Tehničke radne skupine za energiju i klimu, održanom 9. listopada 2018. godine.</w:t>
      </w:r>
      <w:r>
        <w:t xml:space="preserve"> </w:t>
      </w:r>
      <w:r w:rsidRPr="00BE1ECD">
        <w:t>Republika Hrvatska jedna je od država članica EU koja je izrazila interes za sudjelovanjem u radu tijela Energetske zajednice te stoji na raspolaganju za prijenos iskustava u izradi Plana državama članicama Energetske zajednice.</w:t>
      </w:r>
    </w:p>
    <w:p w14:paraId="653D0D0A" w14:textId="77777777" w:rsidR="00720D30" w:rsidRPr="00BE1ECD" w:rsidRDefault="00720D30" w:rsidP="00720D30">
      <w:r>
        <w:t>Također, h</w:t>
      </w:r>
      <w:r w:rsidRPr="00BE1ECD">
        <w:t>rvatski predstavnici sudjelova</w:t>
      </w:r>
      <w:r>
        <w:t>li su na regionalnoj radionici koje s</w:t>
      </w:r>
      <w:r w:rsidRPr="00BE1ECD">
        <w:t xml:space="preserve">e u srpnju 2019. </w:t>
      </w:r>
      <w:r>
        <w:t xml:space="preserve">godine održala u </w:t>
      </w:r>
      <w:r w:rsidRPr="00BE1ECD">
        <w:t>Ljubljani</w:t>
      </w:r>
      <w:r>
        <w:t>. Ovu radionicu</w:t>
      </w:r>
      <w:r w:rsidRPr="00BE1ECD">
        <w:t xml:space="preserve"> organizira</w:t>
      </w:r>
      <w:r>
        <w:t>lo je</w:t>
      </w:r>
      <w:r w:rsidRPr="00BE1ECD">
        <w:t xml:space="preserve"> Ministarstvo za infrastrukturu Republike Slovenije, </w:t>
      </w:r>
      <w:r>
        <w:t xml:space="preserve">a tom prilikom su na radionici aktivno sudjelovali predstavnici iz Slovenije, Austrije, Italije, Madžarske i Hrvatske. Radionica je imala glavni cilj </w:t>
      </w:r>
      <w:r w:rsidRPr="00BE1ECD">
        <w:t>utvr</w:t>
      </w:r>
      <w:r>
        <w:t>đivanje</w:t>
      </w:r>
      <w:r w:rsidRPr="00BE1ECD">
        <w:t xml:space="preserve"> moguć</w:t>
      </w:r>
      <w:r>
        <w:t>ih</w:t>
      </w:r>
      <w:r w:rsidRPr="00BE1ECD">
        <w:t xml:space="preserve"> područja prekogranične i regionalne suradnje.</w:t>
      </w:r>
      <w:r>
        <w:t xml:space="preserve"> Više o rezultatima regionalne suradnje predstavljeno je u poglavlju </w:t>
      </w:r>
      <w:r w:rsidRPr="00993A7A">
        <w:rPr>
          <w:b/>
        </w:rPr>
        <w:t>1.4</w:t>
      </w:r>
      <w:r w:rsidRPr="00993A7A">
        <w:rPr>
          <w:b/>
        </w:rPr>
        <w:tab/>
        <w:t>Regionalna suradnja u izradi plana</w:t>
      </w:r>
      <w:r>
        <w:t>.</w:t>
      </w:r>
    </w:p>
    <w:p w14:paraId="7D3C4E80" w14:textId="19DE7D20" w:rsidR="00E51A59" w:rsidRDefault="00E51A59" w:rsidP="00E51A59"/>
    <w:p w14:paraId="6AB4F21A" w14:textId="77777777" w:rsidR="00FF0CF3" w:rsidRDefault="00FF0CF3" w:rsidP="00840E2E">
      <w:pPr>
        <w:pStyle w:val="Heading3"/>
        <w:numPr>
          <w:ilvl w:val="0"/>
          <w:numId w:val="55"/>
        </w:numPr>
      </w:pPr>
      <w:bookmarkStart w:id="185" w:name="_Toc531702944"/>
      <w:bookmarkStart w:id="186" w:name="_Toc531801527"/>
      <w:bookmarkStart w:id="187" w:name="_Toc531801656"/>
      <w:bookmarkStart w:id="188" w:name="_Toc531801782"/>
      <w:bookmarkStart w:id="189" w:name="_Toc531801910"/>
      <w:bookmarkStart w:id="190" w:name="_Toc531934957"/>
      <w:bookmarkStart w:id="191" w:name="_Toc531945083"/>
      <w:bookmarkStart w:id="192" w:name="_Toc6302339"/>
      <w:bookmarkEnd w:id="185"/>
      <w:bookmarkEnd w:id="186"/>
      <w:bookmarkEnd w:id="187"/>
      <w:bookmarkEnd w:id="188"/>
      <w:bookmarkEnd w:id="189"/>
      <w:r>
        <w:t>Iterativni postupak s Europskom komisijom</w:t>
      </w:r>
      <w:bookmarkEnd w:id="190"/>
      <w:bookmarkEnd w:id="191"/>
      <w:bookmarkEnd w:id="192"/>
      <w:r>
        <w:t xml:space="preserve"> </w:t>
      </w:r>
    </w:p>
    <w:p w14:paraId="2B19B33D" w14:textId="77777777" w:rsidR="00F7624C" w:rsidRPr="00BE1ECD" w:rsidRDefault="00F7624C" w:rsidP="00F7624C">
      <w:r w:rsidRPr="00BE1ECD">
        <w:t>Predstavnici MZOE sudjelovali su u radu i na sastancima Tehničke radne skupine za nacionalne energetske i klimatske planove Europske komisije.</w:t>
      </w:r>
    </w:p>
    <w:p w14:paraId="13FDF03F" w14:textId="77777777" w:rsidR="00F7624C" w:rsidRDefault="00F7624C" w:rsidP="00F7624C">
      <w:r w:rsidRPr="00BE1ECD">
        <w:t>Prvi nacrt teksta Integriranog nacionalnog energetskog i klimatskog plana dostav</w:t>
      </w:r>
      <w:r>
        <w:t>ljen</w:t>
      </w:r>
      <w:r w:rsidRPr="00BE1ECD">
        <w:t xml:space="preserve"> </w:t>
      </w:r>
      <w:r>
        <w:t>j</w:t>
      </w:r>
      <w:r w:rsidRPr="00BE1ECD">
        <w:t xml:space="preserve">e Europskoj komisiji </w:t>
      </w:r>
      <w:r>
        <w:t xml:space="preserve">krajem prosinca </w:t>
      </w:r>
      <w:r w:rsidRPr="00BE1ECD">
        <w:t>2018. godine</w:t>
      </w:r>
      <w:r>
        <w:t>.</w:t>
      </w:r>
    </w:p>
    <w:p w14:paraId="0FF66680" w14:textId="6E71A90D" w:rsidR="00F7624C" w:rsidRPr="00BE1ECD" w:rsidRDefault="00F7624C" w:rsidP="00F7624C">
      <w:r>
        <w:t>N</w:t>
      </w:r>
      <w:r w:rsidRPr="00BE1ECD">
        <w:t xml:space="preserve">akon </w:t>
      </w:r>
      <w:r>
        <w:t xml:space="preserve">dostave nacrta plana u Europsku komisiju, aktivno se nastavilo raditi na tekstu </w:t>
      </w:r>
      <w:r w:rsidRPr="00BE1ECD">
        <w:t>i dopun</w:t>
      </w:r>
      <w:r w:rsidR="00903CDF">
        <w:t>j</w:t>
      </w:r>
      <w:r>
        <w:t>avalo</w:t>
      </w:r>
      <w:r w:rsidRPr="00BE1ECD">
        <w:t xml:space="preserve"> dijelov</w:t>
      </w:r>
      <w:r>
        <w:t>e</w:t>
      </w:r>
      <w:r w:rsidRPr="00BE1ECD">
        <w:t xml:space="preserve"> vezan</w:t>
      </w:r>
      <w:r>
        <w:t>e</w:t>
      </w:r>
      <w:r w:rsidRPr="00BE1ECD">
        <w:t xml:space="preserve"> za procjenu učinaka mjera te za dimenziju istraživanje, inovacije i konkurentnost</w:t>
      </w:r>
      <w:r>
        <w:t xml:space="preserve"> koji su u Nacrtu bili slabije zastupljeni</w:t>
      </w:r>
      <w:r w:rsidRPr="00BE1ECD">
        <w:t>.</w:t>
      </w:r>
    </w:p>
    <w:p w14:paraId="715D00EE" w14:textId="1604CFED" w:rsidR="00FE082E" w:rsidRDefault="00F7624C" w:rsidP="005E2E9C">
      <w:r>
        <w:t>Tijekom 2019. godine održano je i nekoliko bilateralnih sastanaka s Europskom komisijom koja je sv</w:t>
      </w:r>
      <w:r w:rsidR="00903CDF">
        <w:t>o</w:t>
      </w:r>
      <w:r>
        <w:t>je komentare</w:t>
      </w:r>
      <w:r w:rsidR="00AF5025">
        <w:t xml:space="preserve"> i preporuke</w:t>
      </w:r>
      <w:r>
        <w:t xml:space="preserve"> na nacrt i</w:t>
      </w:r>
      <w:r w:rsidRPr="00BE1ECD">
        <w:t>ntegriranog nacionalnog energetskog i klimatskog plana</w:t>
      </w:r>
      <w:r>
        <w:t xml:space="preserve"> dostavila krajem lipnja 2019. godine</w:t>
      </w:r>
      <w:r w:rsidR="00AE41A4">
        <w:rPr>
          <w:rStyle w:val="FootnoteReference"/>
        </w:rPr>
        <w:footnoteReference w:id="7"/>
      </w:r>
      <w:r w:rsidR="005E2E9C">
        <w:t>.</w:t>
      </w:r>
    </w:p>
    <w:p w14:paraId="34B276BC" w14:textId="6B535C1B" w:rsidR="00AF5025" w:rsidRPr="00BE1ECD" w:rsidRDefault="00AE41A4" w:rsidP="006E5E4C">
      <w:r>
        <w:t>Prep</w:t>
      </w:r>
      <w:r w:rsidR="00143B43">
        <w:t>oruke i komentari u najvećoj su mjeri usvojeni u konačnom tekstu plana, a</w:t>
      </w:r>
      <w:r w:rsidR="00691961">
        <w:t xml:space="preserve"> Ministarstvo zaštite okoliša i energetike dostavilo je Europskoj komisiji</w:t>
      </w:r>
      <w:r w:rsidR="00143B43">
        <w:t xml:space="preserve"> </w:t>
      </w:r>
      <w:r w:rsidR="00D82EED">
        <w:t>odgovor</w:t>
      </w:r>
      <w:r w:rsidR="008C3C63">
        <w:t>e</w:t>
      </w:r>
      <w:r w:rsidR="00D82EED">
        <w:t xml:space="preserve"> na sv</w:t>
      </w:r>
      <w:r w:rsidR="008C3C63">
        <w:t>e zaprimljene komentare</w:t>
      </w:r>
      <w:r w:rsidR="00691961">
        <w:t>.</w:t>
      </w:r>
      <w:r w:rsidR="008C3C63">
        <w:t xml:space="preserve"> </w:t>
      </w:r>
    </w:p>
    <w:p w14:paraId="4836CCF1" w14:textId="125FBFCB" w:rsidR="00FF0CF3" w:rsidRDefault="00963D00" w:rsidP="00FF0CF3">
      <w:pPr>
        <w:pStyle w:val="Heading2"/>
      </w:pPr>
      <w:bookmarkStart w:id="193" w:name="_Toc531702946"/>
      <w:bookmarkStart w:id="194" w:name="_Toc531801529"/>
      <w:bookmarkStart w:id="195" w:name="_Toc531801658"/>
      <w:bookmarkStart w:id="196" w:name="_Toc531801784"/>
      <w:bookmarkStart w:id="197" w:name="_Toc531801912"/>
      <w:bookmarkStart w:id="198" w:name="_Toc531702947"/>
      <w:bookmarkStart w:id="199" w:name="_Toc531801530"/>
      <w:bookmarkStart w:id="200" w:name="_Toc531801659"/>
      <w:bookmarkStart w:id="201" w:name="_Toc531801785"/>
      <w:bookmarkStart w:id="202" w:name="_Toc531801913"/>
      <w:bookmarkStart w:id="203" w:name="_Toc531934958"/>
      <w:bookmarkStart w:id="204" w:name="_Toc531945084"/>
      <w:bookmarkStart w:id="205" w:name="_Toc6302340"/>
      <w:bookmarkStart w:id="206" w:name="_Toc27396101"/>
      <w:bookmarkEnd w:id="193"/>
      <w:bookmarkEnd w:id="194"/>
      <w:bookmarkEnd w:id="195"/>
      <w:bookmarkEnd w:id="196"/>
      <w:bookmarkEnd w:id="197"/>
      <w:bookmarkEnd w:id="198"/>
      <w:bookmarkEnd w:id="199"/>
      <w:bookmarkEnd w:id="200"/>
      <w:bookmarkEnd w:id="201"/>
      <w:bookmarkEnd w:id="202"/>
      <w:r>
        <w:t>1.4</w:t>
      </w:r>
      <w:r>
        <w:tab/>
      </w:r>
      <w:r w:rsidR="00FF0CF3">
        <w:t>Regionalna suradnja u izradi plana</w:t>
      </w:r>
      <w:bookmarkEnd w:id="203"/>
      <w:bookmarkEnd w:id="204"/>
      <w:bookmarkEnd w:id="205"/>
      <w:bookmarkEnd w:id="206"/>
    </w:p>
    <w:p w14:paraId="4E393800" w14:textId="77777777" w:rsidR="00E51A59" w:rsidRDefault="00E51A59" w:rsidP="00840E2E">
      <w:pPr>
        <w:pStyle w:val="Heading3"/>
        <w:numPr>
          <w:ilvl w:val="0"/>
          <w:numId w:val="58"/>
        </w:numPr>
      </w:pPr>
      <w:bookmarkStart w:id="207" w:name="_Toc530845560"/>
      <w:bookmarkStart w:id="208" w:name="_Toc531934959"/>
      <w:bookmarkStart w:id="209" w:name="_Toc531945085"/>
      <w:bookmarkStart w:id="210" w:name="_Toc6302341"/>
      <w:r>
        <w:t xml:space="preserve">Elementi koji podliježu zajedničkom ili koordiniranom planiranju s </w:t>
      </w:r>
      <w:r>
        <w:lastRenderedPageBreak/>
        <w:t>drugim državama članicama</w:t>
      </w:r>
      <w:bookmarkEnd w:id="207"/>
      <w:bookmarkEnd w:id="208"/>
      <w:bookmarkEnd w:id="209"/>
      <w:bookmarkEnd w:id="210"/>
    </w:p>
    <w:p w14:paraId="6E41E172" w14:textId="77777777" w:rsidR="005A678E" w:rsidRDefault="005A678E" w:rsidP="005A678E">
      <w:r w:rsidRPr="00BE1ECD">
        <w:t>Elementi od prekogranične važnosti su</w:t>
      </w:r>
      <w:r>
        <w:t>:</w:t>
      </w:r>
    </w:p>
    <w:p w14:paraId="7072D2B0" w14:textId="77777777" w:rsidR="005A678E" w:rsidRDefault="005A678E" w:rsidP="00840E2E">
      <w:pPr>
        <w:pStyle w:val="ListParagraph"/>
        <w:numPr>
          <w:ilvl w:val="0"/>
          <w:numId w:val="48"/>
        </w:numPr>
      </w:pPr>
      <w:r w:rsidRPr="00BE1ECD">
        <w:t>i</w:t>
      </w:r>
      <w:r>
        <w:t>ntegracija energetskih tržišta,</w:t>
      </w:r>
    </w:p>
    <w:p w14:paraId="0009A8F2" w14:textId="77777777" w:rsidR="005A678E" w:rsidRDefault="005A678E" w:rsidP="00840E2E">
      <w:pPr>
        <w:pStyle w:val="ListParagraph"/>
        <w:numPr>
          <w:ilvl w:val="0"/>
          <w:numId w:val="48"/>
        </w:numPr>
      </w:pPr>
      <w:r w:rsidRPr="00BE1ECD">
        <w:t>veliki infrastrukturni projekti koji se nalaze u blizini državne granice i prekogra</w:t>
      </w:r>
      <w:r>
        <w:t>nični infrastrukturni projekti,</w:t>
      </w:r>
    </w:p>
    <w:p w14:paraId="0DA2FAE6" w14:textId="12F0D9A6" w:rsidR="005A678E" w:rsidRDefault="005A678E" w:rsidP="00840E2E">
      <w:pPr>
        <w:pStyle w:val="ListParagraph"/>
        <w:numPr>
          <w:ilvl w:val="0"/>
          <w:numId w:val="48"/>
        </w:numPr>
      </w:pPr>
      <w:r w:rsidRPr="00BE1ECD">
        <w:t xml:space="preserve">međunarodna znanstveno-istraživačka suradnja u nekoj od dimenzija </w:t>
      </w:r>
      <w:r w:rsidR="00215153">
        <w:t>e</w:t>
      </w:r>
      <w:r w:rsidR="00215153" w:rsidRPr="00BE1ECD">
        <w:t xml:space="preserve">nergetske </w:t>
      </w:r>
      <w:r w:rsidRPr="00BE1ECD">
        <w:t>unije</w:t>
      </w:r>
      <w:r>
        <w:t>, te</w:t>
      </w:r>
    </w:p>
    <w:p w14:paraId="407FF8C3" w14:textId="77777777" w:rsidR="005A678E" w:rsidRPr="00BE1ECD" w:rsidRDefault="005A678E" w:rsidP="00840E2E">
      <w:pPr>
        <w:pStyle w:val="ListParagraph"/>
        <w:numPr>
          <w:ilvl w:val="0"/>
          <w:numId w:val="48"/>
        </w:numPr>
      </w:pPr>
      <w:r w:rsidRPr="00BE1ECD">
        <w:t>ostale aktivnosti koje mogu utjecati na druge države članice EU.</w:t>
      </w:r>
    </w:p>
    <w:p w14:paraId="0877229C" w14:textId="77777777" w:rsidR="005A678E" w:rsidRPr="00BE1ECD" w:rsidRDefault="005A678E" w:rsidP="005A678E">
      <w:r w:rsidRPr="00BE1ECD">
        <w:t xml:space="preserve">Ključne aktivnosti za koje je nužno koordinirano planiranje sa susjednim državama članicama </w:t>
      </w:r>
      <w:r>
        <w:t>su</w:t>
      </w:r>
      <w:r w:rsidRPr="00BE1ECD">
        <w:t xml:space="preserve"> utvrđene na regionalnoj radionici koja se održa</w:t>
      </w:r>
      <w:r>
        <w:t>la</w:t>
      </w:r>
      <w:r w:rsidRPr="00BE1ECD">
        <w:t xml:space="preserve"> u Ljubljani, u srpnju 2019. godine, u organizaciji Ministarstva za infrastrukturu Republike Slovenije.</w:t>
      </w:r>
      <w:r>
        <w:t xml:space="preserve"> Na toj radionici su zemlje članice utvrdile potrebu i priliku za daljnju regionalnu suradnju u vezi tema koje podliježu pod integrirani energetski i klimatski plan i pod energetsku uniju. Na radionici su sudjelovali </w:t>
      </w:r>
      <w:r w:rsidRPr="00BE1ECD">
        <w:t>predstavnici nadležnih min</w:t>
      </w:r>
      <w:r>
        <w:t>i</w:t>
      </w:r>
      <w:r w:rsidRPr="00BE1ECD">
        <w:t>starstava Slovenije, Italije, Austrije,</w:t>
      </w:r>
      <w:r>
        <w:t xml:space="preserve"> Mađarske i Hrvatske.</w:t>
      </w:r>
    </w:p>
    <w:p w14:paraId="5D776CCC" w14:textId="5A08061E" w:rsidR="005A678E" w:rsidRDefault="005A678E" w:rsidP="005A678E">
      <w:r>
        <w:t xml:space="preserve">Dio tema koje </w:t>
      </w:r>
      <w:r w:rsidRPr="00134AC4">
        <w:t>podliježu zajedničkom ili koordiniranom planiranju s drugim državama članicama</w:t>
      </w:r>
      <w:r>
        <w:t xml:space="preserve"> već se obrađuju na nivou Europske unije. Tu se prvenstveno misli na integraciju energetskog tržišta i </w:t>
      </w:r>
      <w:r w:rsidR="00DA6909">
        <w:t>provedb</w:t>
      </w:r>
      <w:r w:rsidR="00C24F62">
        <w:t>u</w:t>
      </w:r>
      <w:r w:rsidR="00DA6909">
        <w:t xml:space="preserve"> </w:t>
      </w:r>
      <w:r>
        <w:t>veliki</w:t>
      </w:r>
      <w:r w:rsidR="00DA6909">
        <w:t>h</w:t>
      </w:r>
      <w:r>
        <w:t xml:space="preserve"> infrastrukturni</w:t>
      </w:r>
      <w:r w:rsidR="00DA6909">
        <w:t>h</w:t>
      </w:r>
      <w:r>
        <w:t xml:space="preserve"> projek</w:t>
      </w:r>
      <w:r w:rsidR="00DA6909">
        <w:t>ata</w:t>
      </w:r>
      <w:r w:rsidR="00C24F62">
        <w:t xml:space="preserve"> </w:t>
      </w:r>
      <w:r>
        <w:t>od zajedničkog interesa</w:t>
      </w:r>
      <w:r w:rsidR="00DA6909">
        <w:t xml:space="preserve"> (</w:t>
      </w:r>
      <w:r w:rsidR="007940A2">
        <w:t>engl. p</w:t>
      </w:r>
      <w:r w:rsidR="007940A2" w:rsidRPr="007940A2">
        <w:t>rojects of common interest</w:t>
      </w:r>
      <w:r w:rsidR="007940A2">
        <w:t xml:space="preserve">, </w:t>
      </w:r>
      <w:r w:rsidR="007940A2" w:rsidRPr="007940A2">
        <w:t>PCI</w:t>
      </w:r>
      <w:r w:rsidR="007940A2">
        <w:t>)</w:t>
      </w:r>
      <w:r w:rsidR="00FC65FC">
        <w:t xml:space="preserve"> financiranih iz </w:t>
      </w:r>
      <w:r w:rsidR="00D05A43">
        <w:t>Instrumenta za povezivanje Europe (</w:t>
      </w:r>
      <w:r w:rsidR="004C374C">
        <w:t xml:space="preserve">engl. </w:t>
      </w:r>
      <w:r w:rsidR="00ED3DBC">
        <w:t xml:space="preserve">Connecting Europe </w:t>
      </w:r>
      <w:r w:rsidR="004C374C">
        <w:t>Facility, CEF)</w:t>
      </w:r>
      <w:r>
        <w:t>.</w:t>
      </w:r>
    </w:p>
    <w:p w14:paraId="4995BBCE" w14:textId="6F9B2BD1" w:rsidR="005A678E" w:rsidRDefault="005A678E" w:rsidP="005A678E">
      <w:r>
        <w:t xml:space="preserve">S druge strane, znanstveno-istraživačka suradnja puno je šira tema te je ovdje potrebna dodatna uspostava suradnje, mahom na korisničkoj razini. U tom kontekstu posebno je važan Okvirni program Obzor 2020 koji će se u </w:t>
      </w:r>
      <w:r w:rsidR="00A560B9">
        <w:t>razdoblj</w:t>
      </w:r>
      <w:r>
        <w:t>u kojeg pokriva plan nastaviti kao Okvirni program Obzor Europa.</w:t>
      </w:r>
    </w:p>
    <w:p w14:paraId="1052A4AE" w14:textId="0E68348E" w:rsidR="005A678E" w:rsidRDefault="005A678E" w:rsidP="005A678E">
      <w:r>
        <w:t>Osim navedenog, suradnja bitna je i u provedbi projekata i razmjeni iskustava na čemu se treba posebno raditi. Posebno su bitni zajednički projekti koji će zbog relativno malog potencijala</w:t>
      </w:r>
      <w:r w:rsidR="006A509B">
        <w:t xml:space="preserve"> za</w:t>
      </w:r>
      <w:r>
        <w:t xml:space="preserve"> pojedine države članice imati bolju mogućnost provedbe </w:t>
      </w:r>
      <w:r w:rsidR="00967CD1">
        <w:t>ako</w:t>
      </w:r>
      <w:r>
        <w:t xml:space="preserve"> se objedine potrebe više zemalja (primjerice energetska obnova javnih ili kulturnih </w:t>
      </w:r>
      <w:r w:rsidR="00D62382">
        <w:t>d</w:t>
      </w:r>
      <w:r>
        <w:t>obara i sl.).</w:t>
      </w:r>
    </w:p>
    <w:p w14:paraId="4D846EB1" w14:textId="3CDA6A81" w:rsidR="005A678E" w:rsidRDefault="005A678E" w:rsidP="005A678E">
      <w:r>
        <w:t xml:space="preserve">No, sve navedene teme svakako moraju poslužiti za buduće jačanje zajedničkih aktivnosti koje bi prvenstveno trebalo potencirati kroz regionalne radionice koje bi poslužile za prezentiranje primjera dobre prakse i mjesta upoznavanja pojedinih stručnjaka, institucija i firmi koje bi mogle dogovarati i provoditi buduće zajedničke projekte vezane uz teme koje pokriva integrirani energetski i klimatski plan i područja </w:t>
      </w:r>
      <w:r w:rsidR="00215153">
        <w:t xml:space="preserve">energetske </w:t>
      </w:r>
      <w:r>
        <w:t>unije.</w:t>
      </w:r>
    </w:p>
    <w:p w14:paraId="35F41517" w14:textId="567EE586" w:rsidR="00063BB2" w:rsidRDefault="00055166" w:rsidP="00840E2E">
      <w:pPr>
        <w:pStyle w:val="Heading3"/>
        <w:numPr>
          <w:ilvl w:val="0"/>
          <w:numId w:val="58"/>
        </w:numPr>
      </w:pPr>
      <w:r>
        <w:t>Objašnjenje u pogledu toga kako se u planu razmatra regionalna suradnja</w:t>
      </w:r>
      <w:r w:rsidDel="00055166">
        <w:t xml:space="preserve"> </w:t>
      </w:r>
    </w:p>
    <w:p w14:paraId="4A3E0152" w14:textId="77777777" w:rsidR="003A6631" w:rsidRDefault="003A6631" w:rsidP="003A6631">
      <w:r w:rsidRPr="00BE1ECD">
        <w:t>U cilju uspostave regionalne sura</w:t>
      </w:r>
      <w:r>
        <w:t>d</w:t>
      </w:r>
      <w:r w:rsidRPr="00BE1ECD">
        <w:t xml:space="preserve">nje u finaliziranju i kasnijoj provedbi plana u Ljubljani u srpnju 2019. godine </w:t>
      </w:r>
      <w:r>
        <w:t xml:space="preserve">održana je prva </w:t>
      </w:r>
      <w:r w:rsidRPr="00BE1ECD">
        <w:t>regionaln</w:t>
      </w:r>
      <w:r>
        <w:t>a</w:t>
      </w:r>
      <w:r w:rsidRPr="00BE1ECD">
        <w:t xml:space="preserve"> radionic</w:t>
      </w:r>
      <w:r>
        <w:t xml:space="preserve">a u organizaciji </w:t>
      </w:r>
      <w:r w:rsidRPr="00BE1ECD">
        <w:t xml:space="preserve">Ministarstva za </w:t>
      </w:r>
      <w:r w:rsidRPr="00BE1ECD">
        <w:lastRenderedPageBreak/>
        <w:t>infrastrukturu Republike Slovenije</w:t>
      </w:r>
      <w:r>
        <w:t>. Radionica je poslužila kao osnova za razvoj suradnje među državama članicama u pogledu tema koje obrađuje integrirani energetski i klimatski plan.</w:t>
      </w:r>
    </w:p>
    <w:p w14:paraId="47C581AD" w14:textId="77777777" w:rsidR="003A6631" w:rsidRDefault="003A6631" w:rsidP="003A6631">
      <w:r>
        <w:t>Regionalna suradnja se u planu razmatra u dva ključna segmenta:</w:t>
      </w:r>
    </w:p>
    <w:p w14:paraId="7F0CB059" w14:textId="77777777" w:rsidR="003A6631" w:rsidRDefault="003A6631" w:rsidP="00840E2E">
      <w:pPr>
        <w:pStyle w:val="ListParagraph"/>
        <w:numPr>
          <w:ilvl w:val="0"/>
          <w:numId w:val="49"/>
        </w:numPr>
      </w:pPr>
      <w:r>
        <w:t>dosadašnja suradnja;</w:t>
      </w:r>
    </w:p>
    <w:p w14:paraId="24D632C1" w14:textId="77777777" w:rsidR="003A6631" w:rsidRDefault="003A6631" w:rsidP="00840E2E">
      <w:pPr>
        <w:pStyle w:val="ListParagraph"/>
        <w:numPr>
          <w:ilvl w:val="0"/>
          <w:numId w:val="49"/>
        </w:numPr>
      </w:pPr>
      <w:r>
        <w:t>potencijalna buduća suradnja.</w:t>
      </w:r>
    </w:p>
    <w:p w14:paraId="4865E9A8" w14:textId="4EB4F457" w:rsidR="003A6631" w:rsidRDefault="003A6631" w:rsidP="003A6631">
      <w:r>
        <w:t>Dosadašnja suradnja predstavljena je na radionici u Ljubljani na kojoj je istaknuto kako Republika Hrvatska ima posebno dobru suradnju s Republikom Slovenijom i Ma</w:t>
      </w:r>
      <w:r w:rsidR="0046016A">
        <w:t>đ</w:t>
      </w:r>
      <w:r>
        <w:t>arskom</w:t>
      </w:r>
      <w:r w:rsidR="003C1A2E">
        <w:t xml:space="preserve">, i to </w:t>
      </w:r>
      <w:r>
        <w:t>po pitanju uspostave energetske infrastrukture</w:t>
      </w:r>
      <w:r w:rsidR="003C1BCC">
        <w:t xml:space="preserve">, </w:t>
      </w:r>
      <w:r>
        <w:t>u području sigurnosti opskrbe</w:t>
      </w:r>
      <w:r w:rsidR="007245B1">
        <w:t xml:space="preserve"> i</w:t>
      </w:r>
      <w:r>
        <w:t xml:space="preserve"> povezivanj</w:t>
      </w:r>
      <w:r w:rsidR="007245B1">
        <w:t>a</w:t>
      </w:r>
      <w:r w:rsidR="003C1BCC">
        <w:t xml:space="preserve"> energetskih</w:t>
      </w:r>
      <w:r>
        <w:t xml:space="preserve"> tržišta.</w:t>
      </w:r>
    </w:p>
    <w:p w14:paraId="08C1C02E" w14:textId="074C45B7" w:rsidR="003A6631" w:rsidRDefault="003A6631" w:rsidP="003A6631">
      <w:r>
        <w:t xml:space="preserve">Potencijalna buduća suradnja također je naznačena na regionalnoj radionici. Ona je </w:t>
      </w:r>
      <w:r w:rsidRPr="00286B4C">
        <w:t>prvenstveno usmjerena na</w:t>
      </w:r>
      <w:r w:rsidR="008F43A7" w:rsidRPr="00286B4C">
        <w:t xml:space="preserve"> nastavak povezivanja energetskih tržišta i</w:t>
      </w:r>
      <w:r w:rsidR="00022CEB" w:rsidRPr="00286B4C">
        <w:t xml:space="preserve"> daljnje</w:t>
      </w:r>
      <w:r w:rsidR="008F43A7" w:rsidRPr="00286B4C">
        <w:t xml:space="preserve"> </w:t>
      </w:r>
      <w:r w:rsidR="004D3CF2" w:rsidRPr="00286B4C">
        <w:t>jačanje suradnje op</w:t>
      </w:r>
      <w:r w:rsidR="00967CD1">
        <w:t>e</w:t>
      </w:r>
      <w:r w:rsidR="004D3CF2" w:rsidRPr="00286B4C">
        <w:t>ratora prijenosnih sustava</w:t>
      </w:r>
      <w:r w:rsidR="001C009D" w:rsidRPr="00ED5A38">
        <w:t xml:space="preserve">. Posebno je </w:t>
      </w:r>
      <w:r w:rsidR="001100E8" w:rsidRPr="00ED5A38">
        <w:t>važno</w:t>
      </w:r>
      <w:r w:rsidR="001C009D" w:rsidRPr="00ED5A38">
        <w:t xml:space="preserve"> istaknuti potrebu za suradn</w:t>
      </w:r>
      <w:r w:rsidR="00224CA4" w:rsidRPr="00ED5A38">
        <w:t>jom na novim,</w:t>
      </w:r>
      <w:r w:rsidRPr="00ED5A38">
        <w:t xml:space="preserve"> još nedovoljno </w:t>
      </w:r>
      <w:r w:rsidR="00224CA4" w:rsidRPr="00ED5A38">
        <w:t xml:space="preserve">istraženim </w:t>
      </w:r>
      <w:r w:rsidRPr="00ED5A38">
        <w:t>područj</w:t>
      </w:r>
      <w:r w:rsidR="00224CA4" w:rsidRPr="00ED5A38">
        <w:t>im</w:t>
      </w:r>
      <w:r w:rsidRPr="00ED5A38">
        <w:t>a i poticanje</w:t>
      </w:r>
      <w:r w:rsidR="009B00EE" w:rsidRPr="00ED5A38">
        <w:t>m</w:t>
      </w:r>
      <w:r w:rsidRPr="00ED5A38">
        <w:t xml:space="preserve"> zajedničkog znanstveno-istraživačkog rada. U tom kontekstu Republika Hrvatska je </w:t>
      </w:r>
      <w:r w:rsidR="00CB19DB" w:rsidRPr="00ED5A38">
        <w:t>kao posebno značajna izdvojila</w:t>
      </w:r>
      <w:r w:rsidRPr="00ED5A38">
        <w:t xml:space="preserve"> polja poput vodika, razvoja baterija te hvatanja i skladištenja CO</w:t>
      </w:r>
      <w:r w:rsidRPr="00ED5A38">
        <w:rPr>
          <w:vertAlign w:val="subscript"/>
        </w:rPr>
        <w:t>2</w:t>
      </w:r>
      <w:r w:rsidR="00040016" w:rsidRPr="00ED5A38">
        <w:t>,</w:t>
      </w:r>
      <w:r w:rsidRPr="00ED5A38">
        <w:t xml:space="preserve"> uz spremnost da se suradnja u budućnosti proširi i na druga područja.</w:t>
      </w:r>
      <w:r w:rsidR="00022CEB" w:rsidRPr="00ED5A38">
        <w:t xml:space="preserve"> </w:t>
      </w:r>
      <w:r w:rsidR="00022CEB" w:rsidRPr="00286B4C">
        <w:t>Očekuje se i uspostava</w:t>
      </w:r>
      <w:r w:rsidR="004D35C9" w:rsidRPr="00286B4C">
        <w:t xml:space="preserve"> regionalne</w:t>
      </w:r>
      <w:r w:rsidR="00022CEB" w:rsidRPr="00286B4C">
        <w:t xml:space="preserve"> suradnje u </w:t>
      </w:r>
      <w:r w:rsidR="00897054" w:rsidRPr="00286B4C">
        <w:t>okviru</w:t>
      </w:r>
      <w:r w:rsidR="00022CEB" w:rsidRPr="00286B4C">
        <w:t xml:space="preserve"> </w:t>
      </w:r>
      <w:r w:rsidR="00E4739D" w:rsidRPr="00286B4C">
        <w:t>i</w:t>
      </w:r>
      <w:r w:rsidR="00AA39EA" w:rsidRPr="00286B4C">
        <w:t>n</w:t>
      </w:r>
      <w:r w:rsidR="0023069C">
        <w:t>i</w:t>
      </w:r>
      <w:r w:rsidR="00AA39EA" w:rsidRPr="00286B4C">
        <w:t xml:space="preserve">cijative </w:t>
      </w:r>
      <w:r w:rsidR="00E4739D" w:rsidRPr="00286B4C">
        <w:t>„</w:t>
      </w:r>
      <w:r w:rsidR="004D35C9" w:rsidRPr="00286B4C">
        <w:t>Čista energija za otoke EU</w:t>
      </w:r>
      <w:r w:rsidR="00E4739D" w:rsidRPr="00286B4C">
        <w:t xml:space="preserve">“, prvenstveno s </w:t>
      </w:r>
      <w:r w:rsidR="00897054" w:rsidRPr="00286B4C">
        <w:t>Republikom Italijom</w:t>
      </w:r>
      <w:r w:rsidR="000539E1">
        <w:t xml:space="preserve"> i drugim mediteranskim državama članicama EU</w:t>
      </w:r>
      <w:r w:rsidR="009E5E92" w:rsidRPr="00ED5A38">
        <w:t>.</w:t>
      </w:r>
    </w:p>
    <w:p w14:paraId="0BF658A4" w14:textId="37A7E4A1" w:rsidR="003A6631" w:rsidRPr="00BE1ECD" w:rsidRDefault="003A6631" w:rsidP="003A6631">
      <w:r>
        <w:t>Također, p</w:t>
      </w:r>
      <w:r w:rsidRPr="00BE1ECD">
        <w:t>o dovršetku Integriranog</w:t>
      </w:r>
      <w:r w:rsidR="00897054">
        <w:t xml:space="preserve"> nacionalnog</w:t>
      </w:r>
      <w:r w:rsidRPr="00BE1ECD">
        <w:t xml:space="preserve"> energetskog i klimatskog plana, Republika Hrvatska će svim državama članicama EU staviti na raspolaganje tekst plana</w:t>
      </w:r>
      <w:r>
        <w:t xml:space="preserve"> na hrvatskom i engleskom jeziku</w:t>
      </w:r>
      <w:r w:rsidRPr="00BE1ECD">
        <w:t xml:space="preserve"> i biti na raspolaganju za konzultacije o sadržaju dokumenta. </w:t>
      </w:r>
      <w:r>
        <w:t xml:space="preserve">Na taj način će se dodatno potaknuti regionalna suradnja kako s već identificiranim državama, tako i s </w:t>
      </w:r>
      <w:r w:rsidR="00DE6773">
        <w:t>ostalim zainteresiranim</w:t>
      </w:r>
      <w:r>
        <w:t xml:space="preserve"> državama članicama.</w:t>
      </w:r>
    </w:p>
    <w:p w14:paraId="04852062" w14:textId="77777777" w:rsidR="008D3328" w:rsidRPr="002326AD" w:rsidRDefault="008D3328" w:rsidP="00FF0CF3"/>
    <w:p w14:paraId="1DDEFC18" w14:textId="7CBF72ED" w:rsidR="00FF0CF3" w:rsidRDefault="00FF0CF3" w:rsidP="00840E2E">
      <w:pPr>
        <w:pStyle w:val="Heading1"/>
        <w:numPr>
          <w:ilvl w:val="0"/>
          <w:numId w:val="31"/>
        </w:numPr>
      </w:pPr>
      <w:bookmarkStart w:id="211" w:name="_Toc531934961"/>
      <w:bookmarkStart w:id="212" w:name="_Toc531945087"/>
      <w:bookmarkStart w:id="213" w:name="_Toc6302344"/>
      <w:bookmarkStart w:id="214" w:name="_Toc27396102"/>
      <w:r>
        <w:lastRenderedPageBreak/>
        <w:t>NACIONALNI CILJEVI</w:t>
      </w:r>
      <w:bookmarkEnd w:id="211"/>
      <w:bookmarkEnd w:id="212"/>
      <w:bookmarkEnd w:id="213"/>
      <w:bookmarkEnd w:id="214"/>
      <w:r>
        <w:t xml:space="preserve"> </w:t>
      </w:r>
    </w:p>
    <w:p w14:paraId="0E79F831" w14:textId="3F13064A" w:rsidR="00FF0CF3" w:rsidRDefault="00963D00" w:rsidP="00FF0CF3">
      <w:pPr>
        <w:pStyle w:val="Heading2"/>
      </w:pPr>
      <w:bookmarkStart w:id="215" w:name="_Toc531934962"/>
      <w:bookmarkStart w:id="216" w:name="_Toc531945088"/>
      <w:bookmarkStart w:id="217" w:name="_Toc6302345"/>
      <w:bookmarkStart w:id="218" w:name="_Toc27396103"/>
      <w:r>
        <w:t>2.1</w:t>
      </w:r>
      <w:r>
        <w:tab/>
      </w:r>
      <w:r w:rsidR="00FF0CF3">
        <w:t>Dimenzija: dekarbonizacija</w:t>
      </w:r>
      <w:bookmarkEnd w:id="215"/>
      <w:bookmarkEnd w:id="216"/>
      <w:bookmarkEnd w:id="217"/>
      <w:bookmarkEnd w:id="218"/>
    </w:p>
    <w:p w14:paraId="7833309C" w14:textId="6B4FAAAC" w:rsidR="00FF0CF3" w:rsidRDefault="00963D00" w:rsidP="00302043">
      <w:pPr>
        <w:pStyle w:val="Heading3"/>
      </w:pPr>
      <w:bookmarkStart w:id="219" w:name="_Toc531934963"/>
      <w:bookmarkStart w:id="220" w:name="_Toc531945089"/>
      <w:bookmarkStart w:id="221" w:name="_Toc6302346"/>
      <w:r>
        <w:t>2.1.1</w:t>
      </w:r>
      <w:r>
        <w:tab/>
      </w:r>
      <w:r w:rsidR="00FF0CF3">
        <w:t>Emisije i uklanjanja stakleničkih plinova</w:t>
      </w:r>
      <w:bookmarkEnd w:id="219"/>
      <w:bookmarkEnd w:id="220"/>
      <w:bookmarkEnd w:id="221"/>
      <w:r w:rsidR="00FF0CF3">
        <w:t xml:space="preserve"> </w:t>
      </w:r>
    </w:p>
    <w:p w14:paraId="0CEA0E70" w14:textId="0B3F2360" w:rsidR="000105F4" w:rsidRPr="00BE1ECD" w:rsidRDefault="000105F4" w:rsidP="00840E2E">
      <w:pPr>
        <w:pStyle w:val="Heading3"/>
        <w:numPr>
          <w:ilvl w:val="0"/>
          <w:numId w:val="59"/>
        </w:numPr>
      </w:pPr>
      <w:r w:rsidRPr="00BE1ECD">
        <w:t>Elementi iz članka 4. točke (a) podtočke 1.</w:t>
      </w:r>
    </w:p>
    <w:p w14:paraId="5A6E6E1C" w14:textId="141B2F29" w:rsidR="00DF728F" w:rsidRDefault="0049330E" w:rsidP="00725326">
      <w:pPr>
        <w:suppressAutoHyphens w:val="0"/>
      </w:pPr>
      <w:r>
        <w:t xml:space="preserve">Europska unija ratificirala </w:t>
      </w:r>
      <w:r w:rsidR="00350841">
        <w:t xml:space="preserve">je </w:t>
      </w:r>
      <w:r>
        <w:t xml:space="preserve">Pariški sporazum i obvezala se smanjiti emisije stakleničkih plinova za najmanje 40 </w:t>
      </w:r>
      <w:r w:rsidR="008B79B9">
        <w:t>%</w:t>
      </w:r>
      <w:r>
        <w:t xml:space="preserve"> do 2030. godine, u usporedbi s emisijama iz 1990. godine. Hrvatska je ratificirala Pariški sporazum u svibnju 2017. godine</w:t>
      </w:r>
      <w:r w:rsidR="008B79B9">
        <w:t xml:space="preserve"> i dijeli zajednički EU cilj</w:t>
      </w:r>
      <w:r>
        <w:t>.</w:t>
      </w:r>
      <w:r w:rsidR="00B87AB9">
        <w:t xml:space="preserve"> </w:t>
      </w:r>
      <w:r w:rsidR="00DF728F" w:rsidRPr="00DF728F">
        <w:t xml:space="preserve">Ovaj zajednički EU cilj raspodijeljen je u dvije cjeline, od kojih prva obuhvaća velike izvore emisije stakleničkih plinova koji su obveznici europskog sustava trgovanja emisijskim jedinicama (ETS sektor), a druga </w:t>
      </w:r>
      <w:r w:rsidR="00913520">
        <w:t xml:space="preserve">za </w:t>
      </w:r>
      <w:r w:rsidR="00DF728F" w:rsidRPr="00DF728F">
        <w:t>sektor</w:t>
      </w:r>
      <w:r w:rsidR="00563164">
        <w:t>e</w:t>
      </w:r>
      <w:r w:rsidR="00913520">
        <w:t xml:space="preserve"> izvan ETS-a</w:t>
      </w:r>
      <w:r w:rsidR="00DF728F" w:rsidRPr="00DF728F">
        <w:t>, koji obuhvaća</w:t>
      </w:r>
      <w:r w:rsidR="00AD2955">
        <w:t>ju</w:t>
      </w:r>
      <w:r w:rsidR="00DF728F" w:rsidRPr="00DF728F">
        <w:t xml:space="preserve"> ostale, relativno manje izvore emisije, kao što su: cestovni i vancestovni promet (osim zračnog prometa koji je uključen u ETS sektor), mala energetska i industrijska postrojenja koja nisu uključena u ETS sektor, kućanstva, usluge, poljoprivredu, gospodarenje otpadom, promjene u korištenju zemljišta i šumarstvo.</w:t>
      </w:r>
    </w:p>
    <w:p w14:paraId="0E76AA17" w14:textId="6440A3C4" w:rsidR="00FB6DD2" w:rsidRDefault="00FB6DD2" w:rsidP="001114E9">
      <w:r>
        <w:t>Za RH zadani su sljedeći ciljevi smanjenja emisija stakleničkih plinova</w:t>
      </w:r>
      <w:r w:rsidR="00707FE3">
        <w:t xml:space="preserve"> do 2030. godine</w:t>
      </w:r>
      <w:r>
        <w:t>:</w:t>
      </w:r>
    </w:p>
    <w:p w14:paraId="222468D4" w14:textId="2B83F0DD" w:rsidR="00FB6DD2" w:rsidRDefault="00FB6DD2" w:rsidP="00840E2E">
      <w:pPr>
        <w:pStyle w:val="ListParagraph"/>
        <w:numPr>
          <w:ilvl w:val="0"/>
          <w:numId w:val="109"/>
        </w:numPr>
      </w:pPr>
      <w:r>
        <w:t>u ETS sektoru: najmanje</w:t>
      </w:r>
      <w:r w:rsidR="00413991">
        <w:t xml:space="preserve"> za</w:t>
      </w:r>
      <w:r>
        <w:t xml:space="preserve"> 43 % u </w:t>
      </w:r>
      <w:r w:rsidR="00272A70">
        <w:t>odnosu na</w:t>
      </w:r>
      <w:r w:rsidR="00F26C32">
        <w:t xml:space="preserve"> razinu iz</w:t>
      </w:r>
      <w:r>
        <w:t xml:space="preserve"> 2005. </w:t>
      </w:r>
      <w:r w:rsidR="0009543A">
        <w:t>godine</w:t>
      </w:r>
      <w:r w:rsidR="00707FE3">
        <w:rPr>
          <w:rStyle w:val="FootnoteReference"/>
        </w:rPr>
        <w:footnoteReference w:id="8"/>
      </w:r>
      <w:r>
        <w:t>,</w:t>
      </w:r>
    </w:p>
    <w:p w14:paraId="4F98D0E2" w14:textId="6D4888BB" w:rsidR="00FB6DD2" w:rsidRDefault="00FB6DD2" w:rsidP="00840E2E">
      <w:pPr>
        <w:pStyle w:val="ListParagraph"/>
        <w:numPr>
          <w:ilvl w:val="0"/>
          <w:numId w:val="109"/>
        </w:numPr>
      </w:pPr>
      <w:r>
        <w:t>za sektore</w:t>
      </w:r>
      <w:r w:rsidR="009F0035">
        <w:t xml:space="preserve"> izvan ETS-a</w:t>
      </w:r>
      <w:r>
        <w:t xml:space="preserve">: </w:t>
      </w:r>
      <w:r w:rsidR="00A60287">
        <w:t xml:space="preserve">najmanje </w:t>
      </w:r>
      <w:r w:rsidR="00502CCB">
        <w:t xml:space="preserve">za </w:t>
      </w:r>
      <w:r w:rsidR="00A60287">
        <w:t xml:space="preserve">7 % u </w:t>
      </w:r>
      <w:r w:rsidR="00272A70">
        <w:t>odnosu na</w:t>
      </w:r>
      <w:r w:rsidR="00CB0DD9">
        <w:t xml:space="preserve"> razinu iz</w:t>
      </w:r>
      <w:r w:rsidR="00272A70">
        <w:t xml:space="preserve"> 2005. </w:t>
      </w:r>
      <w:r w:rsidR="00CB0DD9">
        <w:t>godine</w:t>
      </w:r>
      <w:r w:rsidR="00272A70">
        <w:t>.</w:t>
      </w:r>
    </w:p>
    <w:p w14:paraId="333348EF" w14:textId="7D83F56D" w:rsidR="002E5F2E" w:rsidRDefault="00283F7A" w:rsidP="00D11B75">
      <w:r w:rsidRPr="00283F7A">
        <w:t xml:space="preserve">Smanjenje emisije za ETS sektor je </w:t>
      </w:r>
      <w:r w:rsidR="00814B33">
        <w:t xml:space="preserve">najmanje </w:t>
      </w:r>
      <w:r w:rsidRPr="00283F7A">
        <w:t xml:space="preserve">43 </w:t>
      </w:r>
      <w:r w:rsidR="00990796">
        <w:t>%</w:t>
      </w:r>
      <w:r w:rsidRPr="00283F7A">
        <w:t xml:space="preserve"> </w:t>
      </w:r>
      <w:r w:rsidR="00814B33">
        <w:t xml:space="preserve">do 2030. </w:t>
      </w:r>
      <w:r w:rsidRPr="00283F7A">
        <w:t xml:space="preserve">u usporedbi s 2005. godinom, uz godišnje smanjenje ukupne EU kvote od 2,2 </w:t>
      </w:r>
      <w:r w:rsidR="00990796">
        <w:t>%</w:t>
      </w:r>
      <w:r w:rsidRPr="00283F7A">
        <w:t xml:space="preserve"> za razdoblje od 2021. do 2030. godine</w:t>
      </w:r>
      <w:r w:rsidR="00AD2955">
        <w:t xml:space="preserve">, a definirano je </w:t>
      </w:r>
      <w:r w:rsidR="002E5F2E">
        <w:t xml:space="preserve">Direktivom </w:t>
      </w:r>
      <w:r w:rsidR="00A74AEA">
        <w:t>(</w:t>
      </w:r>
      <w:r w:rsidR="00AD2955" w:rsidRPr="00AD2955">
        <w:t>EU) 2018/410</w:t>
      </w:r>
      <w:r w:rsidR="00350841">
        <w:t xml:space="preserve"> (</w:t>
      </w:r>
      <w:r w:rsidR="00350841">
        <w:rPr>
          <w:lang w:eastAsia="en-US"/>
        </w:rPr>
        <w:t>iskazani cilj za RH je indikativan, a obvezujući je na razini ETS sustava EU</w:t>
      </w:r>
      <w:r w:rsidR="00350841">
        <w:t xml:space="preserve">). </w:t>
      </w:r>
      <w:r w:rsidRPr="00283F7A">
        <w:t>Za sektor</w:t>
      </w:r>
      <w:r w:rsidR="00814B33">
        <w:t>e</w:t>
      </w:r>
      <w:r w:rsidR="002A0740">
        <w:t xml:space="preserve"> izvan ETS-a</w:t>
      </w:r>
      <w:r w:rsidRPr="00283F7A">
        <w:t xml:space="preserve"> je </w:t>
      </w:r>
      <w:r w:rsidR="00F90280">
        <w:t xml:space="preserve">do 2030. godine </w:t>
      </w:r>
      <w:r w:rsidRPr="00283F7A">
        <w:t xml:space="preserve">postavljen zajednički cilj od </w:t>
      </w:r>
      <w:r w:rsidR="00814B33">
        <w:t xml:space="preserve">najmanje </w:t>
      </w:r>
      <w:r w:rsidRPr="00283F7A">
        <w:t xml:space="preserve">30 </w:t>
      </w:r>
      <w:r w:rsidR="00C22BF3">
        <w:t>%</w:t>
      </w:r>
      <w:r w:rsidRPr="00283F7A">
        <w:t xml:space="preserve"> smanjenja emisija u odnosu na 2005. godinu</w:t>
      </w:r>
      <w:r w:rsidR="00EE5505">
        <w:t xml:space="preserve"> (Uredba </w:t>
      </w:r>
      <w:r w:rsidR="00EE5505" w:rsidRPr="00EE5505">
        <w:t>(EU) 2018/842</w:t>
      </w:r>
      <w:r w:rsidR="00EE5505">
        <w:t>)</w:t>
      </w:r>
      <w:r w:rsidRPr="00283F7A">
        <w:t>, a obveze su</w:t>
      </w:r>
      <w:r w:rsidR="002E4169">
        <w:t xml:space="preserve"> raspoređene</w:t>
      </w:r>
      <w:r w:rsidRPr="00283F7A">
        <w:t xml:space="preserve"> u rasponu od -40 do 0 </w:t>
      </w:r>
      <w:r w:rsidR="00990796">
        <w:t>%</w:t>
      </w:r>
      <w:r w:rsidRPr="00283F7A">
        <w:t xml:space="preserve"> </w:t>
      </w:r>
      <w:r w:rsidR="00F0646F">
        <w:t>n</w:t>
      </w:r>
      <w:r w:rsidR="00F0646F" w:rsidRPr="00283F7A">
        <w:t xml:space="preserve">a </w:t>
      </w:r>
      <w:r w:rsidRPr="00283F7A">
        <w:t xml:space="preserve">različite zemlje članice EU (-7 </w:t>
      </w:r>
      <w:r w:rsidR="00990796">
        <w:t>%</w:t>
      </w:r>
      <w:r w:rsidRPr="00283F7A">
        <w:t xml:space="preserve"> za</w:t>
      </w:r>
      <w:r w:rsidR="006E1B9C">
        <w:t xml:space="preserve"> Hrvatsku).</w:t>
      </w:r>
      <w:r w:rsidR="00DC558A">
        <w:rPr>
          <w:b/>
          <w:bCs/>
        </w:rPr>
        <w:t xml:space="preserve"> </w:t>
      </w:r>
      <w:r w:rsidR="002E5F2E" w:rsidRPr="00D11B75">
        <w:t>U skladu s člankom 8. stavkom 3. Uredbe (EU) 2018/841 o uključivanju emisija i uklanjanja stakleničkih plinova iz korištenja zemljišta, prenamjene zemljišta i šumarstva u okvir za klimatsku i energetsku politiku do 2030., Republika Hrvatska je, kao i sve druge države članice Europske unije, imala obvezu izrade Nacionalnog računskog plana za šumarstvo (</w:t>
      </w:r>
      <w:r w:rsidR="00D1079C">
        <w:t xml:space="preserve">eng. </w:t>
      </w:r>
      <w:r w:rsidR="002E5F2E" w:rsidRPr="00D11B75">
        <w:t xml:space="preserve">National Forestry Accounting Plan, NFAP) za razdoblje od 2021. do 2025. godine, koji je dostavila u Europsku komisiju 31. prosinca 2018. godine. U spomenutom planu predložena je i referentna razina za šume (Forest Reference Level, FRL) za Republiku Hrvatsku. </w:t>
      </w:r>
      <w:r w:rsidR="002E5F2E" w:rsidRPr="00286B4C">
        <w:t xml:space="preserve">Trenutno je u tijeku pregled NFAP-a, kojeg vrši skupina stručnjaka za sektor Korištenja zemljišta, prenamjene zemljišta i šumarstva (Land Use, Land Use Change and Forestry Expert Group, LULUCFEG), a koje su imenovale države članice te se u njoj nalazi i stručnjak iz Republike </w:t>
      </w:r>
      <w:r w:rsidR="002E5F2E" w:rsidRPr="00286B4C">
        <w:lastRenderedPageBreak/>
        <w:t xml:space="preserve">Hrvatske. Uvažavajući navedeno, domena </w:t>
      </w:r>
      <w:r w:rsidR="00AB09A4" w:rsidRPr="00286B4C">
        <w:t>uklanjanja</w:t>
      </w:r>
      <w:r w:rsidR="008B1676" w:rsidRPr="00286B4C">
        <w:t xml:space="preserve"> </w:t>
      </w:r>
      <w:r w:rsidR="002E5F2E" w:rsidRPr="00286B4C">
        <w:t>stakleničkih plinova iz sektora šumarstva obradit će se naknadno.</w:t>
      </w:r>
    </w:p>
    <w:p w14:paraId="4AA7030E" w14:textId="6DD27917" w:rsidR="00AE1AFC" w:rsidRDefault="00AE1AFC" w:rsidP="00AE1AFC">
      <w:r>
        <w:t>Osim toga, RH se pridružuje nastojanjima EU da doprinese i ostalim međunar</w:t>
      </w:r>
      <w:r w:rsidR="00406C76">
        <w:t>o</w:t>
      </w:r>
      <w:r>
        <w:t>dnim ciljevima, a pogotovo UN-ovoj Agendi za održivi ra</w:t>
      </w:r>
      <w:r w:rsidR="00406C76">
        <w:t>z</w:t>
      </w:r>
      <w:r>
        <w:t>voj, koja definira 17 ciljeva održivog razvoja</w:t>
      </w:r>
      <w:r>
        <w:rPr>
          <w:rStyle w:val="FootnoteReference"/>
        </w:rPr>
        <w:footnoteReference w:id="9"/>
      </w:r>
      <w:r>
        <w:t xml:space="preserve"> te novoj Urbanoj agendi za EU</w:t>
      </w:r>
      <w:r>
        <w:rPr>
          <w:rStyle w:val="FootnoteReference"/>
        </w:rPr>
        <w:footnoteReference w:id="10"/>
      </w:r>
      <w:r>
        <w:t>.</w:t>
      </w:r>
    </w:p>
    <w:p w14:paraId="13DF5196" w14:textId="77777777" w:rsidR="00221C13" w:rsidRDefault="00221C13" w:rsidP="007145ED">
      <w:pPr>
        <w:suppressAutoHyphens w:val="0"/>
        <w:spacing w:after="160" w:line="259" w:lineRule="auto"/>
        <w:contextualSpacing/>
      </w:pPr>
    </w:p>
    <w:p w14:paraId="1BDA346B" w14:textId="77777777" w:rsidR="00D151CC" w:rsidRPr="00BE1ECD" w:rsidRDefault="00D151CC" w:rsidP="00840E2E">
      <w:pPr>
        <w:pStyle w:val="Heading3"/>
        <w:numPr>
          <w:ilvl w:val="0"/>
          <w:numId w:val="59"/>
        </w:numPr>
      </w:pPr>
      <w:r w:rsidRPr="00BE1ECD">
        <w:t>Prema potrebi, drugi nacionalni ciljevi koji su u skladu s Pariškim sporazumom i postojećim dugoročnim strategijama; prema potrebi za doprinos dugoročnoj obvezi unije u pogledu smanjenja emisija stakleničkih plinova, drugi ciljevi, uključujući sektorske ciljeve i ciljeve prilagodbe, ako su dostupni</w:t>
      </w:r>
    </w:p>
    <w:p w14:paraId="2846829F" w14:textId="58C557A1" w:rsidR="00313A5F" w:rsidRDefault="00313A5F" w:rsidP="0073490C">
      <w:pPr>
        <w:tabs>
          <w:tab w:val="left" w:pos="709"/>
        </w:tabs>
        <w:suppressAutoHyphens w:val="0"/>
        <w:spacing w:after="160" w:line="259" w:lineRule="auto"/>
        <w:contextualSpacing/>
      </w:pPr>
    </w:p>
    <w:p w14:paraId="58F54B28" w14:textId="4BD4AACA" w:rsidR="00FF0CF3" w:rsidRPr="00725326" w:rsidRDefault="00EC4B39" w:rsidP="001B7693">
      <w:pPr>
        <w:suppressAutoHyphens w:val="0"/>
        <w:spacing w:after="160" w:line="259" w:lineRule="auto"/>
        <w:contextualSpacing/>
        <w:jc w:val="left"/>
        <w:rPr>
          <w:u w:val="single"/>
        </w:rPr>
      </w:pPr>
      <w:r w:rsidRPr="00725326">
        <w:rPr>
          <w:u w:val="single"/>
        </w:rPr>
        <w:t>Nacionalni ciljevi u pogledu prilagodbe klimatskim promjenama</w:t>
      </w:r>
    </w:p>
    <w:p w14:paraId="25797A12" w14:textId="77777777" w:rsidR="001B7693" w:rsidRDefault="001B7693" w:rsidP="00725326">
      <w:pPr>
        <w:suppressAutoHyphens w:val="0"/>
        <w:spacing w:after="160" w:line="259" w:lineRule="auto"/>
        <w:contextualSpacing/>
        <w:jc w:val="left"/>
      </w:pPr>
    </w:p>
    <w:p w14:paraId="04CE80F6" w14:textId="64008933" w:rsidR="001669A7" w:rsidRPr="001669A7" w:rsidRDefault="0042478B" w:rsidP="00223709">
      <w:pPr>
        <w:suppressAutoHyphens w:val="0"/>
      </w:pPr>
      <w:r>
        <w:t>Mjere prilago</w:t>
      </w:r>
      <w:r w:rsidR="006F1053">
        <w:t>d</w:t>
      </w:r>
      <w:r>
        <w:t>be koje dopr</w:t>
      </w:r>
      <w:r w:rsidR="006F1053">
        <w:t>i</w:t>
      </w:r>
      <w:r>
        <w:t xml:space="preserve">nose </w:t>
      </w:r>
      <w:r w:rsidR="00EC4B39">
        <w:t>dimenzij</w:t>
      </w:r>
      <w:r>
        <w:t>i</w:t>
      </w:r>
      <w:r w:rsidR="00EC4B39">
        <w:t xml:space="preserve"> dekarbonizacije </w:t>
      </w:r>
      <w:r w:rsidR="00D26359">
        <w:t xml:space="preserve">razrađuju se u </w:t>
      </w:r>
      <w:r w:rsidR="00EC4B39">
        <w:t>Nacrt</w:t>
      </w:r>
      <w:r w:rsidR="00D26359">
        <w:t>u</w:t>
      </w:r>
      <w:r w:rsidR="00EC4B39">
        <w:t xml:space="preserve"> Strategije prilagodbe klimatskim promjenama u Republici Hrvatskoj za razdoblje do 2040. godine s pogledom na 2070. godinu s akcijskim planom [4]. Nacrt Strategije prošao je savjetovanje s nadležnim tijelima i institucijama te sa zainteresiranom javnošću</w:t>
      </w:r>
      <w:r w:rsidR="00671D78">
        <w:t xml:space="preserve"> te će se uputiti u proceduru usvajanja u Hrvatsk</w:t>
      </w:r>
      <w:r w:rsidR="00E50593">
        <w:t>i</w:t>
      </w:r>
      <w:r w:rsidR="00671D78">
        <w:t xml:space="preserve"> Sabor</w:t>
      </w:r>
      <w:r w:rsidR="00EC4B39">
        <w:t>.</w:t>
      </w:r>
    </w:p>
    <w:p w14:paraId="01361EA2" w14:textId="039C5CD9" w:rsidR="00EC4B39" w:rsidRDefault="00EC4B39" w:rsidP="00223709">
      <w:pPr>
        <w:suppressAutoHyphens w:val="0"/>
      </w:pPr>
      <w:r>
        <w:t xml:space="preserve">Vizija Nacrta Strategije prilagodbe je „Republika Hrvatska otporna na klimatske promjene“ </w:t>
      </w:r>
      <w:r w:rsidR="001C004A">
        <w:t xml:space="preserve">na temelju </w:t>
      </w:r>
      <w:r>
        <w:t>čega su postavljeni sljedeći ciljevi:</w:t>
      </w:r>
    </w:p>
    <w:p w14:paraId="1441E859" w14:textId="5C0F8362" w:rsidR="00EC4B39" w:rsidRDefault="00EC4B39" w:rsidP="00840E2E">
      <w:pPr>
        <w:pStyle w:val="ListParagraph"/>
        <w:numPr>
          <w:ilvl w:val="0"/>
          <w:numId w:val="104"/>
        </w:numPr>
        <w:suppressAutoHyphens w:val="0"/>
      </w:pPr>
      <w:r>
        <w:t xml:space="preserve">smanjiti ranjivost prirodnih sustava i društva na negativne utjecaje klimatskih promjena, </w:t>
      </w:r>
    </w:p>
    <w:p w14:paraId="3F7B5A5A" w14:textId="5A30362B" w:rsidR="00EC4B39" w:rsidRDefault="00EC4B39" w:rsidP="00840E2E">
      <w:pPr>
        <w:pStyle w:val="ListParagraph"/>
        <w:numPr>
          <w:ilvl w:val="0"/>
          <w:numId w:val="104"/>
        </w:numPr>
        <w:suppressAutoHyphens w:val="0"/>
      </w:pPr>
      <w:r>
        <w:t>povećati sposobnost oporavka nakon učinaka klimatskih promjena,</w:t>
      </w:r>
    </w:p>
    <w:p w14:paraId="7A4600A0" w14:textId="069AFB39" w:rsidR="00EC4B39" w:rsidRDefault="00EC4B39" w:rsidP="00840E2E">
      <w:pPr>
        <w:pStyle w:val="ListParagraph"/>
        <w:numPr>
          <w:ilvl w:val="0"/>
          <w:numId w:val="104"/>
        </w:numPr>
        <w:suppressAutoHyphens w:val="0"/>
      </w:pPr>
      <w:r>
        <w:t>iskoristiti potencijalne pozitivne učinke, koji također mogu biti posljedica klimatskih promjena.</w:t>
      </w:r>
    </w:p>
    <w:p w14:paraId="5D3C927A" w14:textId="4450E960" w:rsidR="00350841" w:rsidRDefault="00EC4B39" w:rsidP="00223709">
      <w:pPr>
        <w:suppressAutoHyphens w:val="0"/>
      </w:pPr>
      <w:r>
        <w:t xml:space="preserve">Povećanje otpornosti ranjivih sustava i smanjenje šteta od elementarnih nepogoda ujedno će doprinijeti ostvarenju dugoročnog održivog razvoja Republike Hrvatske. </w:t>
      </w:r>
    </w:p>
    <w:p w14:paraId="6F15CEE8" w14:textId="486E2A65" w:rsidR="00B850B0" w:rsidRDefault="00B850B0" w:rsidP="00223709">
      <w:pPr>
        <w:suppressAutoHyphens w:val="0"/>
      </w:pPr>
      <w:r>
        <w:t xml:space="preserve">Kada je riječ o ekološkoj i klimatskoj ambiciji Zajedničke </w:t>
      </w:r>
      <w:r w:rsidR="00AD3859">
        <w:t xml:space="preserve">poljoprivredne politike, važno je istaknuti već ostvareni doprinos poljoprivrednog sektora i pozitivna rješenja provedena na nacionalnoj i EU razini kao npr. uvođenje dobrih poljoprivrednih praksi, </w:t>
      </w:r>
      <w:r w:rsidR="00491702">
        <w:t xml:space="preserve">poboljšanje agrotehnike, poticanje inovacija u sektoru, podizanje razine suradnje između znanstvenih i istraživačkih institucija, zakonodavca i </w:t>
      </w:r>
      <w:r w:rsidR="00C872A7">
        <w:t>proizvođača.</w:t>
      </w:r>
    </w:p>
    <w:p w14:paraId="44433DD1" w14:textId="34A64EF3" w:rsidR="00F77952" w:rsidRDefault="00F77952" w:rsidP="00223709">
      <w:pPr>
        <w:suppressAutoHyphens w:val="0"/>
      </w:pPr>
      <w:r>
        <w:lastRenderedPageBreak/>
        <w:t>Utjecaji klimatskih promjena na sigurnost opsk</w:t>
      </w:r>
      <w:r w:rsidR="00821727">
        <w:t>r</w:t>
      </w:r>
      <w:r>
        <w:t>be energijom</w:t>
      </w:r>
      <w:r w:rsidR="0088374C">
        <w:t xml:space="preserve"> i mjere prilagodbe</w:t>
      </w:r>
      <w:r>
        <w:t xml:space="preserve"> naznačeni su u poglavljima </w:t>
      </w:r>
      <w:r w:rsidR="00B87714" w:rsidRPr="00B87714">
        <w:t>2.3</w:t>
      </w:r>
      <w:r w:rsidR="004722CA">
        <w:t xml:space="preserve"> </w:t>
      </w:r>
      <w:r w:rsidR="00CE3F32">
        <w:t>i 3.3 u kojima se obrađuju nacionalni ciljevi u dimenziji energetske sigurnosti i mjere potrebne za ostvarenje tih ciljeva.</w:t>
      </w:r>
      <w:r w:rsidR="00B87714">
        <w:t xml:space="preserve"> </w:t>
      </w:r>
    </w:p>
    <w:p w14:paraId="7883E13B" w14:textId="7789A9F2" w:rsidR="009B53A7" w:rsidRDefault="00963D00" w:rsidP="009B53A7">
      <w:pPr>
        <w:pStyle w:val="Heading3"/>
      </w:pPr>
      <w:bookmarkStart w:id="222" w:name="_Toc6302347"/>
      <w:r>
        <w:t>2.1.2</w:t>
      </w:r>
      <w:r>
        <w:tab/>
      </w:r>
      <w:r w:rsidR="009B53A7">
        <w:t>Energija iz obnovljivih izvora</w:t>
      </w:r>
      <w:bookmarkEnd w:id="222"/>
      <w:r w:rsidR="009B53A7">
        <w:t xml:space="preserve"> </w:t>
      </w:r>
    </w:p>
    <w:p w14:paraId="452956D4" w14:textId="77777777" w:rsidR="0089638F" w:rsidRPr="00A01CF0" w:rsidRDefault="0089638F" w:rsidP="00840E2E">
      <w:pPr>
        <w:pStyle w:val="Heading3"/>
        <w:numPr>
          <w:ilvl w:val="0"/>
          <w:numId w:val="60"/>
        </w:numPr>
      </w:pPr>
      <w:r w:rsidRPr="00A01CF0">
        <w:t>Elementi iz članka 4. točke (a) podtočke 2.</w:t>
      </w:r>
    </w:p>
    <w:p w14:paraId="76649BD3" w14:textId="067DBA92" w:rsidR="009B53A7" w:rsidRDefault="009B53A7" w:rsidP="009B53A7">
      <w:r>
        <w:t>Indikativni ciljevi do 2030. godine prikazani</w:t>
      </w:r>
      <w:r w:rsidR="00EC4B39">
        <w:t xml:space="preserve"> su</w:t>
      </w:r>
      <w:r>
        <w:t xml:space="preserve"> u sljedećo</w:t>
      </w:r>
      <w:r w:rsidR="00EC4B39">
        <w:t>j</w:t>
      </w:r>
      <w:r>
        <w:t xml:space="preserve"> </w:t>
      </w:r>
      <w:r w:rsidR="00EC4B39">
        <w:t>tablici</w:t>
      </w:r>
      <w:r>
        <w:t>.</w:t>
      </w:r>
    </w:p>
    <w:p w14:paraId="0CBAF68D" w14:textId="0216D70F" w:rsidR="009B53A7" w:rsidRDefault="009B53A7" w:rsidP="009B53A7">
      <w:pPr>
        <w:pStyle w:val="Caption"/>
        <w:keepNext/>
      </w:pPr>
      <w:bookmarkStart w:id="223" w:name="_Toc27396205"/>
      <w:r>
        <w:t xml:space="preserve">Tablica </w:t>
      </w:r>
      <w:fldSimple w:instr=" STYLEREF 1 \s ">
        <w:r w:rsidR="00154150">
          <w:rPr>
            <w:noProof/>
          </w:rPr>
          <w:t>2</w:t>
        </w:r>
      </w:fldSimple>
      <w:r w:rsidR="00562DF0">
        <w:t>–</w:t>
      </w:r>
      <w:fldSimple w:instr=" SEQ Tablica \* ARABIC \s 1 ">
        <w:r w:rsidR="00154150">
          <w:rPr>
            <w:noProof/>
          </w:rPr>
          <w:t>1</w:t>
        </w:r>
      </w:fldSimple>
      <w:r>
        <w:t>. Indikativni nacionalni ciljevi za udjele OIE do 2030. godine</w:t>
      </w:r>
      <w:bookmarkEnd w:id="223"/>
    </w:p>
    <w:tbl>
      <w:tblPr>
        <w:tblW w:w="637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2"/>
        <w:gridCol w:w="1382"/>
        <w:gridCol w:w="1134"/>
      </w:tblGrid>
      <w:tr w:rsidR="004B6BFE" w:rsidRPr="00E9288C" w14:paraId="6FB7423C" w14:textId="77777777" w:rsidTr="0085292B">
        <w:trPr>
          <w:trHeight w:val="290"/>
        </w:trPr>
        <w:tc>
          <w:tcPr>
            <w:tcW w:w="3862" w:type="dxa"/>
            <w:vMerge w:val="restart"/>
            <w:shd w:val="clear" w:color="auto" w:fill="DEEAF6" w:themeFill="accent1" w:themeFillTint="33"/>
            <w:noWrap/>
            <w:vAlign w:val="center"/>
            <w:hideMark/>
          </w:tcPr>
          <w:p w14:paraId="7B912D4D" w14:textId="77777777" w:rsidR="009B53A7" w:rsidRPr="00E9288C" w:rsidRDefault="009B53A7" w:rsidP="00E16791">
            <w:pPr>
              <w:spacing w:before="0" w:after="0" w:line="240" w:lineRule="auto"/>
              <w:jc w:val="center"/>
              <w:rPr>
                <w:rFonts w:ascii="Times New Roman" w:hAnsi="Times New Roman"/>
                <w:b/>
                <w:sz w:val="24"/>
                <w:szCs w:val="24"/>
              </w:rPr>
            </w:pPr>
            <w:r w:rsidRPr="00E9288C">
              <w:rPr>
                <w:rFonts w:ascii="Calibri" w:hAnsi="Calibri" w:cs="Calibri"/>
                <w:b/>
                <w:color w:val="000000"/>
              </w:rPr>
              <w:t>Udio OIE, %</w:t>
            </w:r>
          </w:p>
        </w:tc>
        <w:tc>
          <w:tcPr>
            <w:tcW w:w="1382" w:type="dxa"/>
            <w:vMerge w:val="restart"/>
            <w:shd w:val="clear" w:color="auto" w:fill="DEEAF6" w:themeFill="accent1" w:themeFillTint="33"/>
            <w:noWrap/>
            <w:vAlign w:val="center"/>
            <w:hideMark/>
          </w:tcPr>
          <w:p w14:paraId="701239F4" w14:textId="24401A19" w:rsidR="00BB714D" w:rsidRDefault="00AB09A4" w:rsidP="00E16791">
            <w:pPr>
              <w:spacing w:before="0" w:after="0" w:line="240" w:lineRule="auto"/>
              <w:jc w:val="center"/>
              <w:rPr>
                <w:rFonts w:ascii="Calibri" w:hAnsi="Calibri" w:cs="Calibri"/>
                <w:b/>
                <w:color w:val="000000"/>
              </w:rPr>
            </w:pPr>
            <w:r>
              <w:rPr>
                <w:rFonts w:ascii="Calibri" w:hAnsi="Calibri" w:cs="Calibri"/>
                <w:b/>
                <w:color w:val="000000"/>
              </w:rPr>
              <w:t>Projekcije</w:t>
            </w:r>
            <w:r w:rsidR="00BB714D">
              <w:rPr>
                <w:rFonts w:ascii="Calibri" w:hAnsi="Calibri" w:cs="Calibri"/>
                <w:b/>
                <w:color w:val="000000"/>
              </w:rPr>
              <w:t xml:space="preserve"> </w:t>
            </w:r>
          </w:p>
          <w:p w14:paraId="0B83D804" w14:textId="20A9DBEB" w:rsidR="009B53A7" w:rsidRPr="00E9288C" w:rsidRDefault="009B53A7" w:rsidP="00E16791">
            <w:pPr>
              <w:spacing w:before="0" w:after="0" w:line="240" w:lineRule="auto"/>
              <w:jc w:val="center"/>
              <w:rPr>
                <w:rFonts w:ascii="Times New Roman" w:hAnsi="Times New Roman"/>
                <w:b/>
                <w:sz w:val="20"/>
                <w:szCs w:val="20"/>
              </w:rPr>
            </w:pPr>
            <w:r w:rsidRPr="00223709">
              <w:rPr>
                <w:rFonts w:ascii="Calibri" w:hAnsi="Calibri" w:cs="Calibri"/>
                <w:b/>
                <w:color w:val="000000"/>
              </w:rPr>
              <w:t>2020.</w:t>
            </w:r>
          </w:p>
        </w:tc>
        <w:tc>
          <w:tcPr>
            <w:tcW w:w="1134" w:type="dxa"/>
            <w:vMerge w:val="restart"/>
            <w:shd w:val="clear" w:color="auto" w:fill="DEEAF6" w:themeFill="accent1" w:themeFillTint="33"/>
          </w:tcPr>
          <w:p w14:paraId="5C02BA70" w14:textId="4A35F62A" w:rsidR="009B53A7" w:rsidRPr="00E9288C" w:rsidRDefault="009B53A7" w:rsidP="00E16791">
            <w:pPr>
              <w:suppressAutoHyphens w:val="0"/>
              <w:spacing w:before="0" w:after="0" w:line="240" w:lineRule="auto"/>
              <w:jc w:val="center"/>
              <w:rPr>
                <w:rFonts w:ascii="Calibri" w:hAnsi="Calibri" w:cs="Calibri"/>
                <w:b/>
                <w:color w:val="000000"/>
              </w:rPr>
            </w:pPr>
            <w:r w:rsidRPr="00E9288C">
              <w:rPr>
                <w:rFonts w:ascii="Calibri" w:hAnsi="Calibri" w:cs="Calibri"/>
                <w:b/>
                <w:color w:val="000000"/>
              </w:rPr>
              <w:t xml:space="preserve">Ciljevi 2030. </w:t>
            </w:r>
          </w:p>
        </w:tc>
      </w:tr>
      <w:tr w:rsidR="004B6BFE" w:rsidRPr="00E9288C" w14:paraId="32A8E055" w14:textId="77777777" w:rsidTr="0085292B">
        <w:trPr>
          <w:trHeight w:val="290"/>
        </w:trPr>
        <w:tc>
          <w:tcPr>
            <w:tcW w:w="3862" w:type="dxa"/>
            <w:vMerge/>
            <w:shd w:val="clear" w:color="auto" w:fill="DEEAF6" w:themeFill="accent1" w:themeFillTint="33"/>
            <w:noWrap/>
            <w:vAlign w:val="center"/>
            <w:hideMark/>
          </w:tcPr>
          <w:p w14:paraId="6474F90C" w14:textId="77777777" w:rsidR="009B53A7" w:rsidRPr="00E9288C" w:rsidRDefault="009B53A7" w:rsidP="00E16791">
            <w:pPr>
              <w:suppressAutoHyphens w:val="0"/>
              <w:spacing w:before="0" w:after="0" w:line="240" w:lineRule="auto"/>
              <w:jc w:val="center"/>
              <w:rPr>
                <w:rFonts w:ascii="Calibri" w:hAnsi="Calibri" w:cs="Calibri"/>
                <w:b/>
                <w:color w:val="000000"/>
              </w:rPr>
            </w:pPr>
          </w:p>
        </w:tc>
        <w:tc>
          <w:tcPr>
            <w:tcW w:w="1382" w:type="dxa"/>
            <w:vMerge/>
            <w:shd w:val="clear" w:color="auto" w:fill="DEEAF6" w:themeFill="accent1" w:themeFillTint="33"/>
            <w:noWrap/>
            <w:vAlign w:val="center"/>
            <w:hideMark/>
          </w:tcPr>
          <w:p w14:paraId="768327EF" w14:textId="77777777" w:rsidR="009B53A7" w:rsidRPr="00E9288C" w:rsidRDefault="009B53A7" w:rsidP="00E16791">
            <w:pPr>
              <w:suppressAutoHyphens w:val="0"/>
              <w:spacing w:before="0" w:after="0" w:line="240" w:lineRule="auto"/>
              <w:jc w:val="center"/>
              <w:rPr>
                <w:rFonts w:ascii="Calibri" w:hAnsi="Calibri" w:cs="Calibri"/>
                <w:b/>
                <w:color w:val="000000"/>
              </w:rPr>
            </w:pPr>
          </w:p>
        </w:tc>
        <w:tc>
          <w:tcPr>
            <w:tcW w:w="1134" w:type="dxa"/>
            <w:vMerge/>
            <w:shd w:val="clear" w:color="auto" w:fill="DEEAF6" w:themeFill="accent1" w:themeFillTint="33"/>
          </w:tcPr>
          <w:p w14:paraId="209FEF37" w14:textId="77777777" w:rsidR="009B53A7" w:rsidRPr="00E9288C" w:rsidRDefault="009B53A7" w:rsidP="00E16791">
            <w:pPr>
              <w:suppressAutoHyphens w:val="0"/>
              <w:spacing w:before="0" w:after="0" w:line="240" w:lineRule="auto"/>
              <w:jc w:val="center"/>
              <w:rPr>
                <w:rFonts w:ascii="Calibri" w:hAnsi="Calibri" w:cs="Calibri"/>
                <w:b/>
                <w:color w:val="000000"/>
              </w:rPr>
            </w:pPr>
          </w:p>
        </w:tc>
      </w:tr>
      <w:tr w:rsidR="009B53A7" w:rsidRPr="00E9288C" w14:paraId="4600BA7C" w14:textId="77777777" w:rsidTr="00725326">
        <w:trPr>
          <w:trHeight w:val="290"/>
        </w:trPr>
        <w:tc>
          <w:tcPr>
            <w:tcW w:w="3862" w:type="dxa"/>
            <w:shd w:val="clear" w:color="auto" w:fill="auto"/>
            <w:noWrap/>
            <w:vAlign w:val="center"/>
            <w:hideMark/>
          </w:tcPr>
          <w:p w14:paraId="13B2DE12" w14:textId="1331953C" w:rsidR="009B53A7" w:rsidRPr="00E9288C" w:rsidRDefault="009B53A7" w:rsidP="00E16791">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w:t>
            </w:r>
            <w:r w:rsidR="00A462A2">
              <w:rPr>
                <w:rFonts w:ascii="Calibri" w:hAnsi="Calibri" w:cs="Calibri"/>
                <w:b/>
                <w:color w:val="000000"/>
              </w:rPr>
              <w:t>bruto</w:t>
            </w:r>
            <w:r w:rsidRPr="00E9288C">
              <w:rPr>
                <w:rFonts w:ascii="Calibri" w:hAnsi="Calibri" w:cs="Calibri"/>
                <w:b/>
                <w:color w:val="000000"/>
              </w:rPr>
              <w:t xml:space="preserve"> neposrednoj potrošnji energije</w:t>
            </w:r>
          </w:p>
        </w:tc>
        <w:tc>
          <w:tcPr>
            <w:tcW w:w="1382" w:type="dxa"/>
            <w:shd w:val="clear" w:color="auto" w:fill="auto"/>
            <w:noWrap/>
            <w:vAlign w:val="center"/>
            <w:hideMark/>
          </w:tcPr>
          <w:p w14:paraId="4FFE0D10" w14:textId="716CE25D" w:rsidR="009B53A7" w:rsidRPr="00E9288C" w:rsidRDefault="009B53A7" w:rsidP="00E16791">
            <w:pPr>
              <w:suppressAutoHyphens w:val="0"/>
              <w:spacing w:before="0" w:after="0" w:line="240" w:lineRule="auto"/>
              <w:jc w:val="right"/>
              <w:rPr>
                <w:rFonts w:ascii="Calibri" w:hAnsi="Calibri" w:cs="Calibri"/>
                <w:color w:val="000000"/>
              </w:rPr>
            </w:pPr>
            <w:r w:rsidRPr="004C5EE6">
              <w:rPr>
                <w:rFonts w:ascii="Calibri" w:hAnsi="Calibri" w:cs="Calibri"/>
                <w:color w:val="000000"/>
              </w:rPr>
              <w:t>28,</w:t>
            </w:r>
            <w:r w:rsidR="00854FDE">
              <w:rPr>
                <w:rFonts w:ascii="Calibri" w:hAnsi="Calibri" w:cs="Calibri"/>
                <w:color w:val="000000"/>
              </w:rPr>
              <w:t>6</w:t>
            </w:r>
          </w:p>
        </w:tc>
        <w:tc>
          <w:tcPr>
            <w:tcW w:w="1134" w:type="dxa"/>
            <w:vAlign w:val="center"/>
          </w:tcPr>
          <w:p w14:paraId="60480550" w14:textId="7934F3BC" w:rsidR="009B53A7" w:rsidRDefault="00604828" w:rsidP="00E16791">
            <w:pPr>
              <w:suppressAutoHyphens w:val="0"/>
              <w:spacing w:before="0" w:after="0" w:line="240" w:lineRule="auto"/>
              <w:jc w:val="right"/>
              <w:rPr>
                <w:rFonts w:ascii="Calibri" w:hAnsi="Calibri" w:cs="Calibri"/>
                <w:color w:val="000000"/>
              </w:rPr>
            </w:pPr>
            <w:r>
              <w:rPr>
                <w:rFonts w:ascii="Calibri" w:hAnsi="Calibri" w:cs="Calibri"/>
                <w:color w:val="000000"/>
              </w:rPr>
              <w:t>36</w:t>
            </w:r>
            <w:r w:rsidR="004D26B3">
              <w:rPr>
                <w:rFonts w:ascii="Calibri" w:hAnsi="Calibri" w:cs="Calibri"/>
                <w:color w:val="000000"/>
              </w:rPr>
              <w:t>,</w:t>
            </w:r>
            <w:r w:rsidR="00B02687">
              <w:rPr>
                <w:rFonts w:ascii="Calibri" w:hAnsi="Calibri" w:cs="Calibri"/>
                <w:color w:val="000000"/>
              </w:rPr>
              <w:t>4</w:t>
            </w:r>
          </w:p>
        </w:tc>
      </w:tr>
      <w:tr w:rsidR="009B53A7" w:rsidRPr="00E9288C" w14:paraId="0E9BF6CD" w14:textId="77777777" w:rsidTr="00725326">
        <w:trPr>
          <w:trHeight w:val="290"/>
        </w:trPr>
        <w:tc>
          <w:tcPr>
            <w:tcW w:w="3862" w:type="dxa"/>
            <w:shd w:val="clear" w:color="auto" w:fill="auto"/>
            <w:noWrap/>
            <w:vAlign w:val="center"/>
            <w:hideMark/>
          </w:tcPr>
          <w:p w14:paraId="24FEFA85" w14:textId="00B50A0C" w:rsidR="009B53A7" w:rsidRPr="00E9288C" w:rsidRDefault="009B53A7" w:rsidP="00E16791">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w:t>
            </w:r>
            <w:r w:rsidR="00EC3709">
              <w:rPr>
                <w:rFonts w:ascii="Calibri" w:hAnsi="Calibri" w:cs="Calibri"/>
                <w:b/>
                <w:color w:val="000000"/>
              </w:rPr>
              <w:t>bruto</w:t>
            </w:r>
            <w:r w:rsidRPr="00E9288C">
              <w:rPr>
                <w:rFonts w:ascii="Calibri" w:hAnsi="Calibri" w:cs="Calibri"/>
                <w:b/>
                <w:color w:val="000000"/>
              </w:rPr>
              <w:t xml:space="preserve"> neposrednoj potrošnji električne energije</w:t>
            </w:r>
          </w:p>
        </w:tc>
        <w:tc>
          <w:tcPr>
            <w:tcW w:w="1382" w:type="dxa"/>
            <w:shd w:val="clear" w:color="auto" w:fill="auto"/>
            <w:noWrap/>
            <w:vAlign w:val="center"/>
            <w:hideMark/>
          </w:tcPr>
          <w:p w14:paraId="64DD8121" w14:textId="2A6029E6" w:rsidR="009B53A7" w:rsidRPr="00E9288C" w:rsidRDefault="00D174D7" w:rsidP="00E16791">
            <w:pPr>
              <w:suppressAutoHyphens w:val="0"/>
              <w:spacing w:before="0" w:after="0" w:line="240" w:lineRule="auto"/>
              <w:jc w:val="right"/>
              <w:rPr>
                <w:rFonts w:ascii="Calibri" w:hAnsi="Calibri" w:cs="Calibri"/>
                <w:color w:val="000000"/>
              </w:rPr>
            </w:pPr>
            <w:r>
              <w:rPr>
                <w:rFonts w:ascii="Calibri" w:hAnsi="Calibri" w:cs="Calibri"/>
                <w:color w:val="000000"/>
              </w:rPr>
              <w:t>47,0</w:t>
            </w:r>
          </w:p>
        </w:tc>
        <w:tc>
          <w:tcPr>
            <w:tcW w:w="1134" w:type="dxa"/>
            <w:vAlign w:val="center"/>
          </w:tcPr>
          <w:p w14:paraId="20AFAD66" w14:textId="77777777" w:rsidR="009B53A7" w:rsidRDefault="009B53A7" w:rsidP="00E16791">
            <w:pPr>
              <w:suppressAutoHyphens w:val="0"/>
              <w:spacing w:before="0" w:after="0" w:line="240" w:lineRule="auto"/>
              <w:jc w:val="right"/>
              <w:rPr>
                <w:rFonts w:ascii="Calibri" w:hAnsi="Calibri" w:cs="Calibri"/>
                <w:color w:val="000000"/>
              </w:rPr>
            </w:pPr>
            <w:r>
              <w:rPr>
                <w:rFonts w:ascii="Calibri" w:hAnsi="Calibri" w:cs="Calibri"/>
                <w:color w:val="000000"/>
              </w:rPr>
              <w:t>63,8</w:t>
            </w:r>
          </w:p>
        </w:tc>
      </w:tr>
      <w:tr w:rsidR="009B53A7" w:rsidRPr="00E9288C" w14:paraId="746CE28F" w14:textId="77777777" w:rsidTr="00725326">
        <w:trPr>
          <w:trHeight w:val="290"/>
        </w:trPr>
        <w:tc>
          <w:tcPr>
            <w:tcW w:w="3862" w:type="dxa"/>
            <w:shd w:val="clear" w:color="auto" w:fill="auto"/>
            <w:noWrap/>
            <w:vAlign w:val="center"/>
            <w:hideMark/>
          </w:tcPr>
          <w:p w14:paraId="1057DAA9" w14:textId="516863DD" w:rsidR="009B53A7" w:rsidRPr="00E9288C" w:rsidRDefault="009B53A7" w:rsidP="00E16791">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w:t>
            </w:r>
            <w:r w:rsidR="00EC3709">
              <w:rPr>
                <w:rFonts w:ascii="Calibri" w:hAnsi="Calibri" w:cs="Calibri"/>
                <w:b/>
                <w:color w:val="000000"/>
              </w:rPr>
              <w:t>bruto</w:t>
            </w:r>
            <w:r w:rsidRPr="00E9288C">
              <w:rPr>
                <w:rFonts w:ascii="Calibri" w:hAnsi="Calibri" w:cs="Calibri"/>
                <w:b/>
                <w:color w:val="000000"/>
              </w:rPr>
              <w:t xml:space="preserve"> neposrednoj potrošnji </w:t>
            </w:r>
            <w:r>
              <w:rPr>
                <w:rFonts w:ascii="Calibri" w:hAnsi="Calibri" w:cs="Calibri"/>
                <w:b/>
                <w:color w:val="000000"/>
              </w:rPr>
              <w:t xml:space="preserve">energije </w:t>
            </w:r>
            <w:r w:rsidRPr="00E9288C">
              <w:rPr>
                <w:rFonts w:ascii="Calibri" w:hAnsi="Calibri" w:cs="Calibri"/>
                <w:b/>
                <w:color w:val="000000"/>
              </w:rPr>
              <w:t>za grijanje i hlađenje</w:t>
            </w:r>
          </w:p>
        </w:tc>
        <w:tc>
          <w:tcPr>
            <w:tcW w:w="1382" w:type="dxa"/>
            <w:shd w:val="clear" w:color="auto" w:fill="auto"/>
            <w:noWrap/>
            <w:vAlign w:val="center"/>
            <w:hideMark/>
          </w:tcPr>
          <w:p w14:paraId="156C441D" w14:textId="46343738" w:rsidR="009B53A7" w:rsidRPr="00286B4C" w:rsidRDefault="009B53A7" w:rsidP="00E16791">
            <w:pPr>
              <w:suppressAutoHyphens w:val="0"/>
              <w:spacing w:before="0" w:after="0" w:line="240" w:lineRule="auto"/>
              <w:jc w:val="right"/>
              <w:rPr>
                <w:rFonts w:ascii="Calibri" w:hAnsi="Calibri" w:cs="Calibri"/>
                <w:color w:val="000000"/>
              </w:rPr>
            </w:pPr>
            <w:r w:rsidRPr="00286B4C">
              <w:rPr>
                <w:rFonts w:ascii="Calibri" w:hAnsi="Calibri" w:cs="Calibri"/>
                <w:color w:val="000000"/>
              </w:rPr>
              <w:t>33,</w:t>
            </w:r>
            <w:r w:rsidR="00B40F52">
              <w:rPr>
                <w:rFonts w:ascii="Calibri" w:hAnsi="Calibri" w:cs="Calibri"/>
                <w:color w:val="000000"/>
              </w:rPr>
              <w:t>3</w:t>
            </w:r>
          </w:p>
        </w:tc>
        <w:tc>
          <w:tcPr>
            <w:tcW w:w="1134" w:type="dxa"/>
            <w:vAlign w:val="center"/>
          </w:tcPr>
          <w:p w14:paraId="757DC148" w14:textId="5C3730F0" w:rsidR="009B53A7" w:rsidRPr="00286B4C" w:rsidRDefault="00100368" w:rsidP="00E16791">
            <w:pPr>
              <w:suppressAutoHyphens w:val="0"/>
              <w:spacing w:before="0" w:after="0" w:line="240" w:lineRule="auto"/>
              <w:jc w:val="right"/>
              <w:rPr>
                <w:rFonts w:ascii="Calibri" w:hAnsi="Calibri" w:cs="Calibri"/>
                <w:color w:val="000000"/>
              </w:rPr>
            </w:pPr>
            <w:r w:rsidRPr="00286B4C">
              <w:rPr>
                <w:rFonts w:ascii="Calibri" w:hAnsi="Calibri" w:cs="Calibri"/>
                <w:color w:val="000000"/>
              </w:rPr>
              <w:t>36,6</w:t>
            </w:r>
          </w:p>
        </w:tc>
      </w:tr>
      <w:tr w:rsidR="009B53A7" w:rsidRPr="00E9288C" w14:paraId="01301770" w14:textId="77777777" w:rsidTr="00725326">
        <w:trPr>
          <w:trHeight w:val="290"/>
        </w:trPr>
        <w:tc>
          <w:tcPr>
            <w:tcW w:w="3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C8E73" w14:textId="257C3D7D" w:rsidR="009B53A7" w:rsidRPr="00E9288C" w:rsidRDefault="009B53A7" w:rsidP="00E16791">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neposrednoj potrošnji </w:t>
            </w:r>
            <w:r>
              <w:rPr>
                <w:rFonts w:ascii="Calibri" w:hAnsi="Calibri" w:cs="Calibri"/>
                <w:b/>
                <w:color w:val="000000"/>
              </w:rPr>
              <w:t xml:space="preserve">energije </w:t>
            </w:r>
            <w:r w:rsidRPr="00E9288C">
              <w:rPr>
                <w:rFonts w:ascii="Calibri" w:hAnsi="Calibri" w:cs="Calibri"/>
                <w:b/>
                <w:color w:val="000000"/>
              </w:rPr>
              <w:t>u prometu</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1870C" w14:textId="4C5D5FF9" w:rsidR="009B53A7" w:rsidRPr="00E9288C" w:rsidRDefault="00100368" w:rsidP="00E16791">
            <w:pPr>
              <w:suppressAutoHyphens w:val="0"/>
              <w:spacing w:before="0" w:after="0" w:line="240" w:lineRule="auto"/>
              <w:jc w:val="right"/>
              <w:rPr>
                <w:rFonts w:ascii="Calibri" w:hAnsi="Calibri" w:cs="Calibri"/>
                <w:color w:val="000000"/>
              </w:rPr>
            </w:pPr>
            <w:r>
              <w:rPr>
                <w:rFonts w:ascii="Calibri" w:hAnsi="Calibri" w:cs="Calibri"/>
                <w:color w:val="000000"/>
              </w:rPr>
              <w:t>5,2</w:t>
            </w:r>
          </w:p>
        </w:tc>
        <w:tc>
          <w:tcPr>
            <w:tcW w:w="1134" w:type="dxa"/>
            <w:tcBorders>
              <w:top w:val="single" w:sz="4" w:space="0" w:color="auto"/>
              <w:left w:val="single" w:sz="4" w:space="0" w:color="auto"/>
              <w:bottom w:val="single" w:sz="4" w:space="0" w:color="auto"/>
              <w:right w:val="single" w:sz="4" w:space="0" w:color="auto"/>
            </w:tcBorders>
            <w:vAlign w:val="center"/>
          </w:tcPr>
          <w:p w14:paraId="4D16DD2E" w14:textId="7A3438C1" w:rsidR="009B53A7" w:rsidRDefault="0034545D" w:rsidP="00E16791">
            <w:pPr>
              <w:suppressAutoHyphens w:val="0"/>
              <w:spacing w:before="0" w:after="0" w:line="240" w:lineRule="auto"/>
              <w:jc w:val="right"/>
              <w:rPr>
                <w:rFonts w:ascii="Calibri" w:hAnsi="Calibri" w:cs="Calibri"/>
                <w:color w:val="000000"/>
              </w:rPr>
            </w:pPr>
            <w:r>
              <w:rPr>
                <w:rFonts w:ascii="Calibri" w:hAnsi="Calibri" w:cs="Calibri"/>
                <w:color w:val="000000"/>
              </w:rPr>
              <w:t>13</w:t>
            </w:r>
            <w:r w:rsidR="009B53A7">
              <w:rPr>
                <w:rFonts w:ascii="Calibri" w:hAnsi="Calibri" w:cs="Calibri"/>
                <w:color w:val="000000"/>
              </w:rPr>
              <w:t>,</w:t>
            </w:r>
            <w:r>
              <w:rPr>
                <w:rFonts w:ascii="Calibri" w:hAnsi="Calibri" w:cs="Calibri"/>
                <w:color w:val="000000"/>
              </w:rPr>
              <w:t>2</w:t>
            </w:r>
          </w:p>
        </w:tc>
      </w:tr>
    </w:tbl>
    <w:p w14:paraId="2CFFE27B" w14:textId="77777777" w:rsidR="009B53A7" w:rsidRDefault="009B53A7" w:rsidP="009B53A7"/>
    <w:p w14:paraId="57741A56" w14:textId="425096CE" w:rsidR="00AC6075" w:rsidRDefault="009B53A7" w:rsidP="009B53A7">
      <w:r w:rsidRPr="00A74025">
        <w:t>Na sljedećoj slici prikazan</w:t>
      </w:r>
      <w:r w:rsidR="00E26167">
        <w:t>a</w:t>
      </w:r>
      <w:r w:rsidRPr="00A74025">
        <w:t xml:space="preserve"> </w:t>
      </w:r>
      <w:r w:rsidR="00E26167">
        <w:t>je</w:t>
      </w:r>
      <w:r w:rsidR="00E26167" w:rsidRPr="00A74025">
        <w:t xml:space="preserve"> putanj</w:t>
      </w:r>
      <w:r w:rsidR="00E26167">
        <w:t>a</w:t>
      </w:r>
      <w:r w:rsidR="00E26167" w:rsidRPr="00A74025">
        <w:t xml:space="preserve"> </w:t>
      </w:r>
      <w:r w:rsidRPr="00A74025">
        <w:t>udjel</w:t>
      </w:r>
      <w:r w:rsidR="00AB09A4">
        <w:t>a</w:t>
      </w:r>
      <w:r w:rsidRPr="00A74025">
        <w:t xml:space="preserve"> OIE</w:t>
      </w:r>
      <w:r w:rsidR="00AB09A4">
        <w:t xml:space="preserve"> u bruto neposrednoj potrošnji</w:t>
      </w:r>
      <w:r w:rsidR="00AC6075">
        <w:t>.</w:t>
      </w:r>
    </w:p>
    <w:p w14:paraId="6FA04466" w14:textId="4B8C2BA0" w:rsidR="009B53A7" w:rsidRPr="00A74025" w:rsidRDefault="00102AEE" w:rsidP="00725326">
      <w:pPr>
        <w:jc w:val="center"/>
      </w:pPr>
      <w:r w:rsidRPr="00102AEE">
        <w:rPr>
          <w:noProof/>
        </w:rPr>
        <w:drawing>
          <wp:inline distT="0" distB="0" distL="0" distR="0" wp14:anchorId="1C711560" wp14:editId="3D24CA92">
            <wp:extent cx="4447641" cy="3294645"/>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3655" cy="3321323"/>
                    </a:xfrm>
                    <a:prstGeom prst="rect">
                      <a:avLst/>
                    </a:prstGeom>
                    <a:noFill/>
                    <a:ln>
                      <a:noFill/>
                    </a:ln>
                  </pic:spPr>
                </pic:pic>
              </a:graphicData>
            </a:graphic>
          </wp:inline>
        </w:drawing>
      </w:r>
    </w:p>
    <w:p w14:paraId="52AA21C9" w14:textId="1F85220A" w:rsidR="009B53A7" w:rsidRDefault="009B53A7" w:rsidP="009B53A7">
      <w:pPr>
        <w:pStyle w:val="Caption"/>
      </w:pPr>
      <w:bookmarkStart w:id="224" w:name="_Ref11239458"/>
      <w:bookmarkStart w:id="225" w:name="_Toc27396141"/>
      <w:r w:rsidRPr="00976062">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1</w:t>
      </w:r>
      <w:r>
        <w:rPr>
          <w:noProof/>
        </w:rPr>
        <w:fldChar w:fldCharType="end"/>
      </w:r>
      <w:r w:rsidRPr="00976062">
        <w:t>.</w:t>
      </w:r>
      <w:bookmarkEnd w:id="224"/>
      <w:r w:rsidRPr="00976062">
        <w:t xml:space="preserve"> </w:t>
      </w:r>
      <w:r w:rsidR="00E26167" w:rsidRPr="00976062">
        <w:t>Indikativn</w:t>
      </w:r>
      <w:r w:rsidR="00E26167">
        <w:t>a</w:t>
      </w:r>
      <w:r w:rsidR="00E26167" w:rsidRPr="00976062">
        <w:t xml:space="preserve"> putanj</w:t>
      </w:r>
      <w:r w:rsidR="00E26167">
        <w:t>a</w:t>
      </w:r>
      <w:r w:rsidR="00E26167" w:rsidRPr="00976062">
        <w:t xml:space="preserve"> </w:t>
      </w:r>
      <w:r w:rsidRPr="00976062">
        <w:t>udjela OIE</w:t>
      </w:r>
      <w:r w:rsidR="00E26167">
        <w:t xml:space="preserve"> u bruto neposrednoj potrošnji energije</w:t>
      </w:r>
      <w:bookmarkEnd w:id="225"/>
    </w:p>
    <w:p w14:paraId="371546DA" w14:textId="77777777" w:rsidR="001B7382" w:rsidRPr="00AF5D1A" w:rsidRDefault="001B7382" w:rsidP="00840E2E">
      <w:pPr>
        <w:pStyle w:val="Heading3"/>
        <w:numPr>
          <w:ilvl w:val="0"/>
          <w:numId w:val="60"/>
        </w:numPr>
      </w:pPr>
      <w:r w:rsidRPr="00AF5D1A">
        <w:t xml:space="preserve">Procijenjene putanje za sektorski udio energije iz obnovljivih izvora u </w:t>
      </w:r>
      <w:r w:rsidRPr="00AF5D1A">
        <w:lastRenderedPageBreak/>
        <w:t>konačnoj potrošnji energije od 2021. do 2030. u elektroenergetskom sektoru, sektoru grijanja i hlađenja i prometnom sektoru</w:t>
      </w:r>
    </w:p>
    <w:p w14:paraId="0455C10F" w14:textId="0332F5C0" w:rsidR="007D4B17" w:rsidRDefault="007D4B17" w:rsidP="009B53A7">
      <w:r>
        <w:t xml:space="preserve">Iduća slike prikazuju indikativne udjele </w:t>
      </w:r>
      <w:r w:rsidRPr="00A74025">
        <w:t>OIE u električno</w:t>
      </w:r>
      <w:r>
        <w:t>j</w:t>
      </w:r>
      <w:r w:rsidRPr="00A74025">
        <w:t xml:space="preserve"> energiji</w:t>
      </w:r>
      <w:r>
        <w:t xml:space="preserve"> (</w:t>
      </w:r>
      <w:r>
        <w:fldChar w:fldCharType="begin"/>
      </w:r>
      <w:r>
        <w:instrText xml:space="preserve"> REF _Ref22297461 \h </w:instrText>
      </w:r>
      <w:r>
        <w:fldChar w:fldCharType="separate"/>
      </w:r>
      <w:r w:rsidR="00154150" w:rsidRPr="00976062">
        <w:t xml:space="preserve">Slika </w:t>
      </w:r>
      <w:r w:rsidR="00154150">
        <w:rPr>
          <w:noProof/>
        </w:rPr>
        <w:t>2</w:t>
      </w:r>
      <w:r w:rsidR="00154150">
        <w:noBreakHyphen/>
      </w:r>
      <w:r w:rsidR="00154150">
        <w:rPr>
          <w:noProof/>
        </w:rPr>
        <w:t>2</w:t>
      </w:r>
      <w:r>
        <w:fldChar w:fldCharType="end"/>
      </w:r>
      <w:r>
        <w:t>)</w:t>
      </w:r>
      <w:r w:rsidRPr="00A74025">
        <w:t xml:space="preserve">, u grijanju i hlađenju </w:t>
      </w:r>
      <w:r>
        <w:t>(</w:t>
      </w:r>
      <w:r>
        <w:fldChar w:fldCharType="begin"/>
      </w:r>
      <w:r>
        <w:instrText xml:space="preserve"> REF _Ref22297503 \h </w:instrText>
      </w:r>
      <w:r>
        <w:fldChar w:fldCharType="separate"/>
      </w:r>
      <w:r w:rsidR="00154150" w:rsidRPr="00976062">
        <w:t xml:space="preserve">Slika </w:t>
      </w:r>
      <w:r w:rsidR="00154150">
        <w:rPr>
          <w:noProof/>
        </w:rPr>
        <w:t>2</w:t>
      </w:r>
      <w:r w:rsidR="00154150">
        <w:noBreakHyphen/>
      </w:r>
      <w:r w:rsidR="00154150">
        <w:rPr>
          <w:noProof/>
        </w:rPr>
        <w:t>3</w:t>
      </w:r>
      <w:r>
        <w:fldChar w:fldCharType="end"/>
      </w:r>
      <w:r>
        <w:t>) te</w:t>
      </w:r>
      <w:r w:rsidRPr="00A74025">
        <w:t xml:space="preserve"> u prometu</w:t>
      </w:r>
      <w:r>
        <w:t xml:space="preserve"> (</w:t>
      </w:r>
      <w:r>
        <w:fldChar w:fldCharType="begin"/>
      </w:r>
      <w:r>
        <w:instrText xml:space="preserve"> REF _Ref22297515 \h </w:instrText>
      </w:r>
      <w:r>
        <w:fldChar w:fldCharType="separate"/>
      </w:r>
      <w:r w:rsidR="00154150" w:rsidRPr="00976062">
        <w:t xml:space="preserve">Slika </w:t>
      </w:r>
      <w:r w:rsidR="00154150">
        <w:rPr>
          <w:noProof/>
        </w:rPr>
        <w:t>2</w:t>
      </w:r>
      <w:r w:rsidR="00154150">
        <w:noBreakHyphen/>
      </w:r>
      <w:r w:rsidR="00154150">
        <w:rPr>
          <w:noProof/>
        </w:rPr>
        <w:t>4</w:t>
      </w:r>
      <w:r>
        <w:fldChar w:fldCharType="end"/>
      </w:r>
      <w:r>
        <w:t>)</w:t>
      </w:r>
      <w:r w:rsidRPr="00A74025">
        <w:t>.</w:t>
      </w:r>
    </w:p>
    <w:p w14:paraId="0B280474" w14:textId="769B834F" w:rsidR="004C6986" w:rsidRDefault="00B70DD9" w:rsidP="00725326">
      <w:pPr>
        <w:jc w:val="center"/>
      </w:pPr>
      <w:r w:rsidRPr="00B70DD9">
        <w:rPr>
          <w:noProof/>
        </w:rPr>
        <w:drawing>
          <wp:inline distT="0" distB="0" distL="0" distR="0" wp14:anchorId="5B0E4438" wp14:editId="71D8EADE">
            <wp:extent cx="4725619" cy="3500562"/>
            <wp:effectExtent l="0" t="0" r="0" b="508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44800" cy="3514771"/>
                    </a:xfrm>
                    <a:prstGeom prst="rect">
                      <a:avLst/>
                    </a:prstGeom>
                    <a:noFill/>
                    <a:ln>
                      <a:noFill/>
                    </a:ln>
                  </pic:spPr>
                </pic:pic>
              </a:graphicData>
            </a:graphic>
          </wp:inline>
        </w:drawing>
      </w:r>
    </w:p>
    <w:p w14:paraId="54625B14" w14:textId="6231DF51" w:rsidR="00BC0BDE" w:rsidRDefault="00BC0BDE" w:rsidP="00BC0BDE">
      <w:pPr>
        <w:pStyle w:val="Caption"/>
      </w:pPr>
      <w:bookmarkStart w:id="226" w:name="_Ref22297461"/>
      <w:bookmarkStart w:id="227" w:name="_Toc27396142"/>
      <w:r w:rsidRPr="00976062">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2</w:t>
      </w:r>
      <w:r>
        <w:rPr>
          <w:noProof/>
        </w:rPr>
        <w:fldChar w:fldCharType="end"/>
      </w:r>
      <w:bookmarkEnd w:id="226"/>
      <w:r w:rsidRPr="00976062">
        <w:t>. Indikativn</w:t>
      </w:r>
      <w:r>
        <w:t>e</w:t>
      </w:r>
      <w:r w:rsidRPr="00976062">
        <w:t xml:space="preserve"> putanj</w:t>
      </w:r>
      <w:r>
        <w:t>e</w:t>
      </w:r>
      <w:r w:rsidRPr="00976062">
        <w:t xml:space="preserve"> udjela OIE</w:t>
      </w:r>
      <w:r>
        <w:t xml:space="preserve"> u električnoj energiji</w:t>
      </w:r>
      <w:bookmarkEnd w:id="227"/>
    </w:p>
    <w:p w14:paraId="031193DE" w14:textId="77777777" w:rsidR="00BC0BDE" w:rsidRDefault="00BC0BDE" w:rsidP="00725326">
      <w:pPr>
        <w:jc w:val="center"/>
      </w:pPr>
    </w:p>
    <w:p w14:paraId="73F89BBB" w14:textId="56313DC8" w:rsidR="004C6986" w:rsidRDefault="007C79E6">
      <w:pPr>
        <w:jc w:val="center"/>
      </w:pPr>
      <w:r w:rsidRPr="007C79E6">
        <w:rPr>
          <w:noProof/>
        </w:rPr>
        <w:lastRenderedPageBreak/>
        <w:drawing>
          <wp:inline distT="0" distB="0" distL="0" distR="0" wp14:anchorId="21B695ED" wp14:editId="405A2FCE">
            <wp:extent cx="4718304" cy="3501849"/>
            <wp:effectExtent l="0" t="0" r="635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7141" cy="3508408"/>
                    </a:xfrm>
                    <a:prstGeom prst="rect">
                      <a:avLst/>
                    </a:prstGeom>
                    <a:noFill/>
                    <a:ln>
                      <a:noFill/>
                    </a:ln>
                  </pic:spPr>
                </pic:pic>
              </a:graphicData>
            </a:graphic>
          </wp:inline>
        </w:drawing>
      </w:r>
    </w:p>
    <w:p w14:paraId="43A35364" w14:textId="723C6E67" w:rsidR="004550B7" w:rsidRDefault="004550B7" w:rsidP="004550B7">
      <w:pPr>
        <w:pStyle w:val="Caption"/>
      </w:pPr>
      <w:bookmarkStart w:id="228" w:name="_Ref22297503"/>
      <w:bookmarkStart w:id="229" w:name="_Toc27396143"/>
      <w:r w:rsidRPr="00976062">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3</w:t>
      </w:r>
      <w:r>
        <w:rPr>
          <w:noProof/>
        </w:rPr>
        <w:fldChar w:fldCharType="end"/>
      </w:r>
      <w:bookmarkEnd w:id="228"/>
      <w:r w:rsidRPr="00976062">
        <w:t>. Indikativn</w:t>
      </w:r>
      <w:r>
        <w:t>e</w:t>
      </w:r>
      <w:r w:rsidRPr="00976062">
        <w:t xml:space="preserve"> putanj</w:t>
      </w:r>
      <w:r>
        <w:t>e</w:t>
      </w:r>
      <w:r w:rsidRPr="00976062">
        <w:t xml:space="preserve"> udjela OIE</w:t>
      </w:r>
      <w:r>
        <w:t xml:space="preserve"> u grijanju i hlađenju</w:t>
      </w:r>
      <w:bookmarkEnd w:id="229"/>
      <w:r>
        <w:t xml:space="preserve"> </w:t>
      </w:r>
    </w:p>
    <w:p w14:paraId="08C9E002" w14:textId="4C79688C" w:rsidR="004550B7" w:rsidRDefault="004056B8" w:rsidP="00840E2E">
      <w:r w:rsidRPr="004011FE">
        <w:t xml:space="preserve">Napori RH bit će usmjereni ka ostvarivanju cilja u pogledu udjela OIE u </w:t>
      </w:r>
      <w:r>
        <w:t>grijanju i hlađenju</w:t>
      </w:r>
      <w:r w:rsidRPr="004011FE">
        <w:t xml:space="preserve">, a može se očekivati kako će </w:t>
      </w:r>
      <w:r>
        <w:t xml:space="preserve">doprinosi pojedinih tehnologija </w:t>
      </w:r>
      <w:r w:rsidRPr="004011FE">
        <w:t xml:space="preserve">biti </w:t>
      </w:r>
      <w:r>
        <w:t xml:space="preserve">viši ili </w:t>
      </w:r>
      <w:r w:rsidRPr="004011FE">
        <w:t>niž</w:t>
      </w:r>
      <w:r>
        <w:t>i</w:t>
      </w:r>
      <w:r w:rsidRPr="004011FE">
        <w:t xml:space="preserve"> od projiciran</w:t>
      </w:r>
      <w:r>
        <w:t>ih.</w:t>
      </w:r>
    </w:p>
    <w:p w14:paraId="6E52CCFD" w14:textId="4F1C7938" w:rsidR="004C6986" w:rsidRDefault="006E381A" w:rsidP="00286B4C">
      <w:pPr>
        <w:jc w:val="center"/>
      </w:pPr>
      <w:r w:rsidRPr="006E381A">
        <w:rPr>
          <w:noProof/>
        </w:rPr>
        <w:drawing>
          <wp:inline distT="0" distB="0" distL="0" distR="0" wp14:anchorId="7E464E96" wp14:editId="36571797">
            <wp:extent cx="5071822" cy="3044212"/>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8009" cy="3047926"/>
                    </a:xfrm>
                    <a:prstGeom prst="rect">
                      <a:avLst/>
                    </a:prstGeom>
                    <a:noFill/>
                    <a:ln>
                      <a:noFill/>
                    </a:ln>
                  </pic:spPr>
                </pic:pic>
              </a:graphicData>
            </a:graphic>
          </wp:inline>
        </w:drawing>
      </w:r>
    </w:p>
    <w:p w14:paraId="56CE3F62" w14:textId="569B1864" w:rsidR="00F913E3" w:rsidRDefault="00F913E3" w:rsidP="00F913E3">
      <w:pPr>
        <w:pStyle w:val="Caption"/>
      </w:pPr>
      <w:bookmarkStart w:id="230" w:name="_Ref22297515"/>
      <w:bookmarkStart w:id="231" w:name="_Toc27396144"/>
      <w:bookmarkStart w:id="232" w:name="_Ref20903057"/>
      <w:r w:rsidRPr="00976062">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4</w:t>
      </w:r>
      <w:r>
        <w:rPr>
          <w:noProof/>
        </w:rPr>
        <w:fldChar w:fldCharType="end"/>
      </w:r>
      <w:bookmarkEnd w:id="230"/>
      <w:r w:rsidRPr="00976062">
        <w:t>. Indikativn</w:t>
      </w:r>
      <w:r>
        <w:t>e</w:t>
      </w:r>
      <w:r w:rsidRPr="00976062">
        <w:t xml:space="preserve"> putanj</w:t>
      </w:r>
      <w:r>
        <w:t>e</w:t>
      </w:r>
      <w:r w:rsidRPr="00976062">
        <w:t xml:space="preserve"> udjela OIE</w:t>
      </w:r>
      <w:r>
        <w:t xml:space="preserve"> u prometu</w:t>
      </w:r>
      <w:bookmarkEnd w:id="231"/>
    </w:p>
    <w:bookmarkEnd w:id="232"/>
    <w:p w14:paraId="33764DAB" w14:textId="77A759EA" w:rsidR="004C6986" w:rsidRDefault="0073201C" w:rsidP="009B53A7">
      <w:r>
        <w:t>U pogledu sudjelovanja OIE u prometu</w:t>
      </w:r>
      <w:r w:rsidR="00374737">
        <w:t xml:space="preserve">, </w:t>
      </w:r>
      <w:r w:rsidR="004440EB" w:rsidRPr="00984246">
        <w:t>prikazan</w:t>
      </w:r>
      <w:r w:rsidR="00495A96">
        <w:t>i su udjeli</w:t>
      </w:r>
      <w:r w:rsidR="00C8795E" w:rsidRPr="00875DC8">
        <w:t xml:space="preserve"> električne energije iz</w:t>
      </w:r>
      <w:r w:rsidR="004440EB" w:rsidRPr="00CC4869">
        <w:t xml:space="preserve"> </w:t>
      </w:r>
      <w:r w:rsidR="00374737" w:rsidRPr="00CC4869">
        <w:t>OIE</w:t>
      </w:r>
      <w:r w:rsidR="00C8795E">
        <w:t xml:space="preserve">, </w:t>
      </w:r>
      <w:r w:rsidR="00374737">
        <w:t xml:space="preserve">biogoriva </w:t>
      </w:r>
      <w:r w:rsidR="002A2A10" w:rsidRPr="00984246">
        <w:t xml:space="preserve">I i </w:t>
      </w:r>
      <w:r w:rsidR="00261566" w:rsidRPr="00261566">
        <w:t xml:space="preserve">naprednih biogoriva i bioplina proizvedenih iz sirovina navedenih u Prilogu IX. dijelu A </w:t>
      </w:r>
      <w:r w:rsidR="00CF089C">
        <w:t>Direktive</w:t>
      </w:r>
      <w:r w:rsidR="00CF089C" w:rsidRPr="00CF089C">
        <w:t xml:space="preserve"> (EU) 2018/2001</w:t>
      </w:r>
      <w:r w:rsidR="00F27F04">
        <w:t xml:space="preserve"> </w:t>
      </w:r>
      <w:r w:rsidR="00F27F04" w:rsidRPr="00F27F04">
        <w:t>o promicanju uporabe energije iz obnovljivih izvora</w:t>
      </w:r>
      <w:r w:rsidR="00CF089C" w:rsidRPr="00CF089C">
        <w:t xml:space="preserve"> </w:t>
      </w:r>
      <w:r w:rsidR="002A2A10" w:rsidRPr="00875DC8">
        <w:t>te otpadno</w:t>
      </w:r>
      <w:r w:rsidR="00C8795E" w:rsidRPr="00CC4869">
        <w:t>g</w:t>
      </w:r>
      <w:r w:rsidR="002A2A10" w:rsidRPr="00CC4869">
        <w:t xml:space="preserve"> </w:t>
      </w:r>
      <w:r w:rsidR="002A2A10" w:rsidRPr="00CC4869">
        <w:lastRenderedPageBreak/>
        <w:t>jestivo</w:t>
      </w:r>
      <w:r w:rsidR="00C8795E" w:rsidRPr="00CC4869">
        <w:t>g</w:t>
      </w:r>
      <w:r w:rsidR="002A2A10" w:rsidRPr="00CC4869">
        <w:t xml:space="preserve"> ulj</w:t>
      </w:r>
      <w:r w:rsidR="00C8795E" w:rsidRPr="00CC4869">
        <w:t>a</w:t>
      </w:r>
      <w:r w:rsidR="002A2A10" w:rsidRPr="00CC4869">
        <w:t>.</w:t>
      </w:r>
      <w:r w:rsidR="001B7C39" w:rsidRPr="00CC4869">
        <w:t xml:space="preserve"> </w:t>
      </w:r>
      <w:r w:rsidR="004011FE" w:rsidRPr="004011FE">
        <w:t>Potrebno je istaknuti kako su projiciran</w:t>
      </w:r>
      <w:r w:rsidR="004011FE">
        <w:t xml:space="preserve">i doprinosi </w:t>
      </w:r>
      <w:r w:rsidR="004011FE" w:rsidRPr="004011FE">
        <w:t xml:space="preserve">rezultat </w:t>
      </w:r>
      <w:r w:rsidR="00BD13F8">
        <w:t>simulacijskog</w:t>
      </w:r>
      <w:r w:rsidR="004011FE" w:rsidRPr="004011FE">
        <w:t xml:space="preserve"> modela i kako se u provedbi mogu očekivati odstupanja od izračunatih vrijednosti. Napori RH bit će usmjereni ka ostvarivanju cilja u pogledu udjela OIE u neposrednoj potrošnji</w:t>
      </w:r>
      <w:r w:rsidR="00A223C8">
        <w:t xml:space="preserve"> u prometu</w:t>
      </w:r>
      <w:r w:rsidR="004011FE" w:rsidRPr="004011FE">
        <w:t xml:space="preserve">, a može se očekivati kako će </w:t>
      </w:r>
      <w:r w:rsidR="00A223C8">
        <w:t xml:space="preserve">doprinosi pojedinih tehnologija </w:t>
      </w:r>
      <w:r w:rsidR="004011FE" w:rsidRPr="004011FE">
        <w:t xml:space="preserve">biti </w:t>
      </w:r>
      <w:r w:rsidR="00A223C8">
        <w:t xml:space="preserve">viši ili </w:t>
      </w:r>
      <w:r w:rsidR="004011FE" w:rsidRPr="004011FE">
        <w:t>niž</w:t>
      </w:r>
      <w:r w:rsidR="00A223C8">
        <w:t>i</w:t>
      </w:r>
      <w:r w:rsidR="004011FE" w:rsidRPr="004011FE">
        <w:t xml:space="preserve"> od</w:t>
      </w:r>
      <w:r w:rsidR="00FF50B5">
        <w:t xml:space="preserve"> ovdje</w:t>
      </w:r>
      <w:r w:rsidR="004011FE" w:rsidRPr="004011FE">
        <w:t xml:space="preserve"> </w:t>
      </w:r>
      <w:r w:rsidR="00FF50B5">
        <w:t>prikazanih</w:t>
      </w:r>
      <w:r w:rsidR="004011FE" w:rsidRPr="004011FE">
        <w:t>.</w:t>
      </w:r>
    </w:p>
    <w:p w14:paraId="19C91B48" w14:textId="77777777" w:rsidR="00344E94" w:rsidRDefault="00344E94" w:rsidP="009B53A7"/>
    <w:p w14:paraId="248DA9A1" w14:textId="08A3146D" w:rsidR="00E27080" w:rsidRPr="00D42EB3" w:rsidRDefault="00E27080" w:rsidP="00840E2E">
      <w:pPr>
        <w:pStyle w:val="Heading3"/>
        <w:numPr>
          <w:ilvl w:val="0"/>
          <w:numId w:val="60"/>
        </w:numPr>
      </w:pPr>
      <w:r w:rsidRPr="00A01CF0">
        <w:t>Procijenjene putanje tehnologija za dobivanje energije iz obnovljivih izvora, koju države članice planiraju upotrijebiti kako bi ostvarile ukupne i sektorske putanje za energiju iz obnovljivih izvora od 2021. do 2030., uključujući očekivanu konačnu bruto potrošnju energije po tehnologiji i sektoru izraženu u Mtoe i ukupni planirani instalirani kapacitet</w:t>
      </w:r>
    </w:p>
    <w:p w14:paraId="63DF0C69" w14:textId="4AEF8725" w:rsidR="009B53A7" w:rsidRDefault="009B53A7" w:rsidP="009B53A7">
      <w:r>
        <w:t>Ocijenjen</w:t>
      </w:r>
      <w:r w:rsidR="00D70DA3">
        <w:t>e</w:t>
      </w:r>
      <w:r>
        <w:t xml:space="preserve"> doprinos</w:t>
      </w:r>
      <w:r w:rsidR="00D70DA3">
        <w:t>e</w:t>
      </w:r>
      <w:r>
        <w:t xml:space="preserve"> tehnologija za dobivanje energije iz OIE prikazuje </w:t>
      </w:r>
      <w:r>
        <w:fldChar w:fldCharType="begin"/>
      </w:r>
      <w:r>
        <w:instrText xml:space="preserve"> REF _Ref533086970 \h </w:instrText>
      </w:r>
      <w:r>
        <w:fldChar w:fldCharType="separate"/>
      </w:r>
      <w:r w:rsidR="00154150" w:rsidRPr="00FD2CC3">
        <w:t xml:space="preserve">Slika </w:t>
      </w:r>
      <w:r w:rsidR="00154150">
        <w:rPr>
          <w:noProof/>
        </w:rPr>
        <w:t>2</w:t>
      </w:r>
      <w:r w:rsidR="00154150">
        <w:noBreakHyphen/>
      </w:r>
      <w:r w:rsidR="00154150">
        <w:rPr>
          <w:noProof/>
        </w:rPr>
        <w:t>5</w:t>
      </w:r>
      <w:r w:rsidR="00154150" w:rsidRPr="00FD2CC3">
        <w:t>.</w:t>
      </w:r>
      <w:r>
        <w:fldChar w:fldCharType="end"/>
      </w:r>
      <w:r>
        <w:t xml:space="preserve">, te tablice </w:t>
      </w:r>
      <w:r>
        <w:fldChar w:fldCharType="begin"/>
      </w:r>
      <w:r>
        <w:instrText xml:space="preserve"> REF tbl_S2_Udio_OIE_ukupni \h </w:instrText>
      </w:r>
      <w:r>
        <w:fldChar w:fldCharType="separate"/>
      </w:r>
      <w:r w:rsidR="00154150">
        <w:rPr>
          <w:noProof/>
        </w:rPr>
        <w:t>2</w:t>
      </w:r>
      <w:r w:rsidR="00154150">
        <w:t>–</w:t>
      </w:r>
      <w:r w:rsidR="00154150">
        <w:rPr>
          <w:noProof/>
        </w:rPr>
        <w:t>2</w:t>
      </w:r>
      <w:r w:rsidR="00154150">
        <w:t>.</w:t>
      </w:r>
      <w:r>
        <w:fldChar w:fldCharType="end"/>
      </w:r>
      <w:r>
        <w:t xml:space="preserve"> do </w:t>
      </w:r>
      <w:r>
        <w:fldChar w:fldCharType="begin"/>
      </w:r>
      <w:r>
        <w:instrText xml:space="preserve"> REF tbl_S2_Udio_OIE_promet \h </w:instrText>
      </w:r>
      <w:r>
        <w:fldChar w:fldCharType="separate"/>
      </w:r>
      <w:r w:rsidR="00154150">
        <w:rPr>
          <w:noProof/>
        </w:rPr>
        <w:t>2</w:t>
      </w:r>
      <w:r w:rsidR="00154150">
        <w:t>–</w:t>
      </w:r>
      <w:r w:rsidR="00154150">
        <w:rPr>
          <w:noProof/>
        </w:rPr>
        <w:t>5</w:t>
      </w:r>
      <w:r w:rsidR="00154150">
        <w:t>.</w:t>
      </w:r>
      <w:r>
        <w:fldChar w:fldCharType="end"/>
      </w:r>
    </w:p>
    <w:p w14:paraId="7EEC03AA" w14:textId="6A50C1C8" w:rsidR="009B53A7" w:rsidRDefault="009B53A7" w:rsidP="009B53A7">
      <w:pPr>
        <w:pStyle w:val="Caption"/>
        <w:keepNext/>
        <w:spacing w:after="0"/>
        <w:jc w:val="both"/>
      </w:pPr>
      <w:bookmarkStart w:id="233" w:name="_Toc27396206"/>
      <w:r>
        <w:t xml:space="preserve">Tablica </w:t>
      </w:r>
      <w:bookmarkStart w:id="234" w:name="tbl_S2_Udio_OIE_ukupni"/>
      <w:r w:rsidR="00A431A0">
        <w:fldChar w:fldCharType="begin"/>
      </w:r>
      <w:r w:rsidR="00A431A0">
        <w:instrText xml:space="preserve"> STYLEREF 1 \s </w:instrText>
      </w:r>
      <w:r w:rsidR="00A431A0">
        <w:fldChar w:fldCharType="separate"/>
      </w:r>
      <w:r w:rsidR="00154150">
        <w:rPr>
          <w:noProof/>
        </w:rPr>
        <w:t>2</w:t>
      </w:r>
      <w:r w:rsidR="00A431A0">
        <w:fldChar w:fldCharType="end"/>
      </w:r>
      <w:r w:rsidR="00562DF0">
        <w:t>–</w:t>
      </w:r>
      <w:fldSimple w:instr=" SEQ Tablica \* ARABIC \s 1 ">
        <w:r w:rsidR="00154150">
          <w:rPr>
            <w:noProof/>
          </w:rPr>
          <w:t>2</w:t>
        </w:r>
      </w:fldSimple>
      <w:r>
        <w:t>.</w:t>
      </w:r>
      <w:bookmarkEnd w:id="234"/>
      <w:r>
        <w:t xml:space="preserve"> Ocijenjeni doprinos tehnologija za OIE </w:t>
      </w:r>
      <w:r w:rsidR="006F4028">
        <w:t>u bruto neposrednoj potrošnji</w:t>
      </w:r>
      <w:bookmarkEnd w:id="233"/>
    </w:p>
    <w:p w14:paraId="3F5583B3" w14:textId="65E9EBCB" w:rsidR="009B53A7" w:rsidRDefault="004F023A" w:rsidP="009B53A7">
      <w:pPr>
        <w:spacing w:before="0"/>
      </w:pPr>
      <w:r>
        <w:rPr>
          <w:noProof/>
        </w:rPr>
        <w:drawing>
          <wp:inline distT="0" distB="0" distL="0" distR="0" wp14:anchorId="6386929A" wp14:editId="71307ABB">
            <wp:extent cx="5759450" cy="134048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1340485"/>
                    </a:xfrm>
                    <a:prstGeom prst="rect">
                      <a:avLst/>
                    </a:prstGeom>
                  </pic:spPr>
                </pic:pic>
              </a:graphicData>
            </a:graphic>
          </wp:inline>
        </w:drawing>
      </w:r>
    </w:p>
    <w:p w14:paraId="4EAA3614" w14:textId="0181194F" w:rsidR="009B53A7" w:rsidRDefault="009B53A7" w:rsidP="009B53A7">
      <w:pPr>
        <w:pStyle w:val="Caption"/>
        <w:keepNext/>
        <w:spacing w:after="0"/>
        <w:jc w:val="both"/>
      </w:pPr>
      <w:bookmarkStart w:id="235" w:name="_Toc27396207"/>
      <w:r>
        <w:t xml:space="preserve">Tablica </w:t>
      </w:r>
      <w:fldSimple w:instr=" STYLEREF 1 \s ">
        <w:r w:rsidR="00154150">
          <w:rPr>
            <w:noProof/>
          </w:rPr>
          <w:t>2</w:t>
        </w:r>
      </w:fldSimple>
      <w:r w:rsidR="00562DF0">
        <w:t>–</w:t>
      </w:r>
      <w:fldSimple w:instr=" SEQ Tablica \* ARABIC \s 1 ">
        <w:r w:rsidR="00154150">
          <w:rPr>
            <w:noProof/>
          </w:rPr>
          <w:t>3</w:t>
        </w:r>
      </w:fldSimple>
      <w:r>
        <w:t>. Ocijenjeni doprinos tehnologija za OIE u električnoj energiji</w:t>
      </w:r>
      <w:bookmarkEnd w:id="235"/>
      <w:r>
        <w:t xml:space="preserve"> </w:t>
      </w:r>
    </w:p>
    <w:p w14:paraId="72E9851D" w14:textId="7FE6D3E0" w:rsidR="009B53A7" w:rsidRDefault="00523194" w:rsidP="009B53A7">
      <w:pPr>
        <w:spacing w:before="0"/>
      </w:pPr>
      <w:r>
        <w:rPr>
          <w:noProof/>
        </w:rPr>
        <w:drawing>
          <wp:inline distT="0" distB="0" distL="0" distR="0" wp14:anchorId="0F0F6F07" wp14:editId="50F0E517">
            <wp:extent cx="5759450" cy="99187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991870"/>
                    </a:xfrm>
                    <a:prstGeom prst="rect">
                      <a:avLst/>
                    </a:prstGeom>
                  </pic:spPr>
                </pic:pic>
              </a:graphicData>
            </a:graphic>
          </wp:inline>
        </w:drawing>
      </w:r>
    </w:p>
    <w:p w14:paraId="03A4A04D" w14:textId="1B819BD7" w:rsidR="009B53A7" w:rsidRDefault="009B53A7" w:rsidP="009B53A7">
      <w:pPr>
        <w:pStyle w:val="Caption"/>
        <w:keepNext/>
        <w:spacing w:after="0"/>
        <w:jc w:val="both"/>
      </w:pPr>
      <w:bookmarkStart w:id="236" w:name="_Toc27396208"/>
      <w:r>
        <w:t xml:space="preserve">Tablica </w:t>
      </w:r>
      <w:fldSimple w:instr=" STYLEREF 1 \s ">
        <w:r w:rsidR="00154150">
          <w:rPr>
            <w:noProof/>
          </w:rPr>
          <w:t>2</w:t>
        </w:r>
      </w:fldSimple>
      <w:r w:rsidR="00562DF0">
        <w:t>–</w:t>
      </w:r>
      <w:fldSimple w:instr=" SEQ Tablica \* ARABIC \s 1 ">
        <w:r w:rsidR="00154150">
          <w:rPr>
            <w:noProof/>
          </w:rPr>
          <w:t>4</w:t>
        </w:r>
      </w:fldSimple>
      <w:r>
        <w:t>. Ocijenjeni doprinos tehnologija za OIE u grijanju i hlađenju</w:t>
      </w:r>
      <w:bookmarkEnd w:id="236"/>
      <w:r>
        <w:t xml:space="preserve"> </w:t>
      </w:r>
    </w:p>
    <w:p w14:paraId="5DA659B3" w14:textId="4F2DC672" w:rsidR="009B53A7" w:rsidRDefault="00C3400E" w:rsidP="009B53A7">
      <w:pPr>
        <w:spacing w:before="0"/>
      </w:pPr>
      <w:r>
        <w:rPr>
          <w:noProof/>
        </w:rPr>
        <w:drawing>
          <wp:inline distT="0" distB="0" distL="0" distR="0" wp14:anchorId="3B6564F7" wp14:editId="32F9D9A8">
            <wp:extent cx="5759450" cy="829310"/>
            <wp:effectExtent l="0" t="0" r="0" b="889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829310"/>
                    </a:xfrm>
                    <a:prstGeom prst="rect">
                      <a:avLst/>
                    </a:prstGeom>
                  </pic:spPr>
                </pic:pic>
              </a:graphicData>
            </a:graphic>
          </wp:inline>
        </w:drawing>
      </w:r>
    </w:p>
    <w:p w14:paraId="51CC1CEA" w14:textId="7A6CF30B" w:rsidR="009B53A7" w:rsidRDefault="009B53A7" w:rsidP="009B53A7">
      <w:pPr>
        <w:pStyle w:val="Caption"/>
        <w:keepNext/>
        <w:spacing w:after="0"/>
        <w:jc w:val="both"/>
      </w:pPr>
      <w:bookmarkStart w:id="237" w:name="_Toc27396209"/>
      <w:r>
        <w:t xml:space="preserve">Tablica </w:t>
      </w:r>
      <w:bookmarkStart w:id="238" w:name="tbl_S2_Udio_OIE_promet"/>
      <w:r w:rsidR="00A431A0">
        <w:fldChar w:fldCharType="begin"/>
      </w:r>
      <w:r w:rsidR="00A431A0">
        <w:instrText xml:space="preserve"> STYLEREF 1 \s </w:instrText>
      </w:r>
      <w:r w:rsidR="00A431A0">
        <w:fldChar w:fldCharType="separate"/>
      </w:r>
      <w:r w:rsidR="00154150">
        <w:rPr>
          <w:noProof/>
        </w:rPr>
        <w:t>2</w:t>
      </w:r>
      <w:r w:rsidR="00A431A0">
        <w:fldChar w:fldCharType="end"/>
      </w:r>
      <w:r w:rsidR="00562DF0">
        <w:t>–</w:t>
      </w:r>
      <w:fldSimple w:instr=" SEQ Tablica \* ARABIC \s 1 ">
        <w:r w:rsidR="00154150">
          <w:rPr>
            <w:noProof/>
          </w:rPr>
          <w:t>5</w:t>
        </w:r>
      </w:fldSimple>
      <w:r>
        <w:t>.</w:t>
      </w:r>
      <w:bookmarkEnd w:id="238"/>
      <w:r>
        <w:t xml:space="preserve"> Ocijenjeni doprinos tehnologija za OIE u prometu</w:t>
      </w:r>
      <w:bookmarkEnd w:id="237"/>
      <w:r>
        <w:t xml:space="preserve"> </w:t>
      </w:r>
    </w:p>
    <w:p w14:paraId="1E7E24A3" w14:textId="55BEBBED" w:rsidR="009B53A7" w:rsidRDefault="00401688" w:rsidP="009B53A7">
      <w:pPr>
        <w:spacing w:before="0"/>
      </w:pPr>
      <w:r>
        <w:rPr>
          <w:noProof/>
        </w:rPr>
        <w:drawing>
          <wp:inline distT="0" distB="0" distL="0" distR="0" wp14:anchorId="04447B94" wp14:editId="582368DF">
            <wp:extent cx="5759450" cy="6197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619760"/>
                    </a:xfrm>
                    <a:prstGeom prst="rect">
                      <a:avLst/>
                    </a:prstGeom>
                  </pic:spPr>
                </pic:pic>
              </a:graphicData>
            </a:graphic>
          </wp:inline>
        </w:drawing>
      </w:r>
    </w:p>
    <w:p w14:paraId="68503CB5" w14:textId="1E6C8188" w:rsidR="00954421" w:rsidRDefault="00954421">
      <w:pPr>
        <w:suppressAutoHyphens w:val="0"/>
        <w:spacing w:before="0" w:after="0" w:line="240" w:lineRule="auto"/>
        <w:jc w:val="left"/>
      </w:pPr>
      <w:r>
        <w:br w:type="page"/>
      </w:r>
    </w:p>
    <w:p w14:paraId="1E034744" w14:textId="41152AFE" w:rsidR="006400C3" w:rsidRDefault="008000F6" w:rsidP="00725326">
      <w:pPr>
        <w:spacing w:before="0"/>
        <w:jc w:val="center"/>
      </w:pPr>
      <w:r w:rsidRPr="008000F6">
        <w:rPr>
          <w:noProof/>
        </w:rPr>
        <w:lastRenderedPageBreak/>
        <w:drawing>
          <wp:inline distT="0" distB="0" distL="0" distR="0" wp14:anchorId="4BADAEC3" wp14:editId="0191E3D5">
            <wp:extent cx="3039041" cy="1909201"/>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5483" cy="1925812"/>
                    </a:xfrm>
                    <a:prstGeom prst="rect">
                      <a:avLst/>
                    </a:prstGeom>
                    <a:noFill/>
                    <a:ln>
                      <a:noFill/>
                    </a:ln>
                  </pic:spPr>
                </pic:pic>
              </a:graphicData>
            </a:graphic>
          </wp:inline>
        </w:drawing>
      </w:r>
      <w:r w:rsidR="00954421">
        <w:t xml:space="preserve"> </w:t>
      </w:r>
      <w:r w:rsidR="00B762C2" w:rsidRPr="00B762C2">
        <w:rPr>
          <w:noProof/>
        </w:rPr>
        <w:drawing>
          <wp:inline distT="0" distB="0" distL="0" distR="0" wp14:anchorId="70A57335" wp14:editId="5A527315">
            <wp:extent cx="2580644" cy="1910052"/>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8215" cy="1930458"/>
                    </a:xfrm>
                    <a:prstGeom prst="rect">
                      <a:avLst/>
                    </a:prstGeom>
                    <a:noFill/>
                    <a:ln>
                      <a:noFill/>
                    </a:ln>
                  </pic:spPr>
                </pic:pic>
              </a:graphicData>
            </a:graphic>
          </wp:inline>
        </w:drawing>
      </w:r>
    </w:p>
    <w:p w14:paraId="37D6EF93" w14:textId="1EFE46E4" w:rsidR="006400C3" w:rsidRDefault="001B426C" w:rsidP="00725326">
      <w:pPr>
        <w:spacing w:before="0"/>
        <w:jc w:val="center"/>
      </w:pPr>
      <w:r w:rsidRPr="001B426C">
        <w:rPr>
          <w:noProof/>
        </w:rPr>
        <w:drawing>
          <wp:inline distT="0" distB="0" distL="0" distR="0" wp14:anchorId="5B3B7227" wp14:editId="1A81FC17">
            <wp:extent cx="2962275" cy="192597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4492" cy="1953418"/>
                    </a:xfrm>
                    <a:prstGeom prst="rect">
                      <a:avLst/>
                    </a:prstGeom>
                    <a:noFill/>
                    <a:ln>
                      <a:noFill/>
                    </a:ln>
                  </pic:spPr>
                </pic:pic>
              </a:graphicData>
            </a:graphic>
          </wp:inline>
        </w:drawing>
      </w:r>
      <w:r w:rsidR="00954421">
        <w:t xml:space="preserve"> </w:t>
      </w:r>
      <w:r w:rsidR="00E14C5A" w:rsidRPr="00E14C5A">
        <w:rPr>
          <w:noProof/>
        </w:rPr>
        <w:drawing>
          <wp:inline distT="0" distB="0" distL="0" distR="0" wp14:anchorId="1DDC5A09" wp14:editId="0A7C37D1">
            <wp:extent cx="2714625" cy="18948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9056" cy="1918853"/>
                    </a:xfrm>
                    <a:prstGeom prst="rect">
                      <a:avLst/>
                    </a:prstGeom>
                    <a:noFill/>
                    <a:ln>
                      <a:noFill/>
                    </a:ln>
                  </pic:spPr>
                </pic:pic>
              </a:graphicData>
            </a:graphic>
          </wp:inline>
        </w:drawing>
      </w:r>
    </w:p>
    <w:p w14:paraId="244E4C1C" w14:textId="27F56261" w:rsidR="009B53A7" w:rsidRDefault="009B53A7" w:rsidP="009B53A7">
      <w:pPr>
        <w:pStyle w:val="Caption"/>
      </w:pPr>
      <w:bookmarkStart w:id="239" w:name="_Ref533086970"/>
      <w:bookmarkStart w:id="240" w:name="_Toc27396145"/>
      <w:r w:rsidRPr="00FD2CC3">
        <w:t xml:space="preserve">Slika </w:t>
      </w:r>
      <w:bookmarkStart w:id="241" w:name="sl_S2_Udio_OIE_sve_kategorije"/>
      <w:r w:rsidRPr="00FD2CC3">
        <w:fldChar w:fldCharType="begin"/>
      </w:r>
      <w:r w:rsidRPr="00FD2CC3">
        <w:instrText xml:space="preserve"> STYLEREF 1 \s </w:instrText>
      </w:r>
      <w:r w:rsidRPr="00FD2CC3">
        <w:fldChar w:fldCharType="separate"/>
      </w:r>
      <w:r w:rsidR="00154150">
        <w:rPr>
          <w:noProof/>
        </w:rPr>
        <w:t>2</w:t>
      </w:r>
      <w:r w:rsidRPr="00FD2CC3">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5</w:t>
      </w:r>
      <w:r>
        <w:rPr>
          <w:noProof/>
        </w:rPr>
        <w:fldChar w:fldCharType="end"/>
      </w:r>
      <w:r w:rsidRPr="00FD2CC3">
        <w:t>.</w:t>
      </w:r>
      <w:bookmarkEnd w:id="239"/>
      <w:bookmarkEnd w:id="241"/>
      <w:r w:rsidRPr="00FD2CC3">
        <w:t xml:space="preserve"> Ocijenjeni doprinosi OIE tehnologija po sektorima</w:t>
      </w:r>
      <w:bookmarkEnd w:id="240"/>
      <w:r>
        <w:t xml:space="preserve"> </w:t>
      </w:r>
    </w:p>
    <w:p w14:paraId="7164691F" w14:textId="69783BF3" w:rsidR="0039320E" w:rsidRPr="00223709" w:rsidRDefault="009B53A7" w:rsidP="00223709">
      <w:pPr>
        <w:pStyle w:val="Caption"/>
        <w:tabs>
          <w:tab w:val="clear" w:pos="1021"/>
        </w:tabs>
        <w:spacing w:before="240"/>
        <w:ind w:left="0" w:firstLine="0"/>
        <w:jc w:val="left"/>
        <w:rPr>
          <w:b w:val="0"/>
          <w:sz w:val="22"/>
          <w:szCs w:val="32"/>
        </w:rPr>
      </w:pPr>
      <w:r w:rsidRPr="00223709">
        <w:rPr>
          <w:b w:val="0"/>
          <w:sz w:val="22"/>
          <w:szCs w:val="32"/>
        </w:rPr>
        <w:t>Očekivan</w:t>
      </w:r>
      <w:r w:rsidR="00B73E94" w:rsidRPr="00223709">
        <w:rPr>
          <w:b w:val="0"/>
          <w:sz w:val="22"/>
          <w:szCs w:val="32"/>
        </w:rPr>
        <w:t>a</w:t>
      </w:r>
      <w:r w:rsidRPr="00223709">
        <w:rPr>
          <w:b w:val="0"/>
          <w:sz w:val="22"/>
          <w:szCs w:val="32"/>
        </w:rPr>
        <w:t xml:space="preserve"> struktur</w:t>
      </w:r>
      <w:r w:rsidR="00B73E94" w:rsidRPr="00223709">
        <w:rPr>
          <w:b w:val="0"/>
          <w:sz w:val="22"/>
          <w:szCs w:val="32"/>
        </w:rPr>
        <w:t xml:space="preserve">a kapaciteta za </w:t>
      </w:r>
      <w:r w:rsidRPr="00223709">
        <w:rPr>
          <w:b w:val="0"/>
          <w:sz w:val="22"/>
          <w:szCs w:val="32"/>
        </w:rPr>
        <w:t xml:space="preserve">proizvodnju električne energije </w:t>
      </w:r>
      <w:r w:rsidRPr="00223709">
        <w:rPr>
          <w:b w:val="0"/>
          <w:bCs/>
          <w:sz w:val="22"/>
          <w:szCs w:val="32"/>
        </w:rPr>
        <w:t>prikaz</w:t>
      </w:r>
      <w:r w:rsidR="00B3255A" w:rsidRPr="00223709">
        <w:rPr>
          <w:b w:val="0"/>
          <w:bCs/>
          <w:sz w:val="22"/>
          <w:szCs w:val="32"/>
        </w:rPr>
        <w:t>uje</w:t>
      </w:r>
      <w:r w:rsidR="00B73E94" w:rsidRPr="00223709">
        <w:rPr>
          <w:b w:val="0"/>
          <w:sz w:val="22"/>
          <w:szCs w:val="32"/>
        </w:rPr>
        <w:t xml:space="preserve"> </w:t>
      </w:r>
      <w:r w:rsidR="00D002D5">
        <w:rPr>
          <w:b w:val="0"/>
          <w:bCs/>
          <w:sz w:val="22"/>
          <w:szCs w:val="32"/>
        </w:rPr>
        <w:fldChar w:fldCharType="begin"/>
      </w:r>
      <w:r w:rsidR="00D002D5">
        <w:rPr>
          <w:b w:val="0"/>
          <w:sz w:val="22"/>
          <w:szCs w:val="32"/>
        </w:rPr>
        <w:instrText xml:space="preserve"> REF _Ref20467526 \h </w:instrText>
      </w:r>
      <w:r w:rsidR="00D002D5">
        <w:rPr>
          <w:b w:val="0"/>
          <w:bCs/>
          <w:sz w:val="22"/>
          <w:szCs w:val="32"/>
        </w:rPr>
      </w:r>
      <w:r w:rsidR="00D002D5">
        <w:rPr>
          <w:b w:val="0"/>
          <w:bCs/>
          <w:sz w:val="22"/>
          <w:szCs w:val="32"/>
        </w:rPr>
        <w:fldChar w:fldCharType="separate"/>
      </w:r>
      <w:r w:rsidR="00154150">
        <w:t xml:space="preserve">Tablica </w:t>
      </w:r>
      <w:r w:rsidR="00154150">
        <w:rPr>
          <w:noProof/>
        </w:rPr>
        <w:t>2</w:t>
      </w:r>
      <w:r w:rsidR="00154150">
        <w:t>–</w:t>
      </w:r>
      <w:r w:rsidR="00154150">
        <w:rPr>
          <w:noProof/>
        </w:rPr>
        <w:t>6</w:t>
      </w:r>
      <w:r w:rsidR="00D002D5">
        <w:rPr>
          <w:b w:val="0"/>
          <w:bCs/>
          <w:sz w:val="22"/>
          <w:szCs w:val="32"/>
        </w:rPr>
        <w:fldChar w:fldCharType="end"/>
      </w:r>
      <w:r>
        <w:rPr>
          <w:b w:val="0"/>
          <w:bCs/>
          <w:sz w:val="22"/>
          <w:szCs w:val="32"/>
        </w:rPr>
        <w:t xml:space="preserve"> </w:t>
      </w:r>
      <w:r w:rsidRPr="00223709">
        <w:rPr>
          <w:b w:val="0"/>
          <w:sz w:val="22"/>
          <w:szCs w:val="32"/>
        </w:rPr>
        <w:t xml:space="preserve">i </w:t>
      </w:r>
      <w:r w:rsidR="00B3255A" w:rsidRPr="00223709">
        <w:rPr>
          <w:b w:val="0"/>
          <w:bCs/>
          <w:sz w:val="22"/>
          <w:szCs w:val="32"/>
        </w:rPr>
        <w:t>također je prikazana</w:t>
      </w:r>
      <w:r w:rsidRPr="00223709">
        <w:rPr>
          <w:b w:val="0"/>
          <w:bCs/>
          <w:sz w:val="22"/>
          <w:szCs w:val="32"/>
        </w:rPr>
        <w:t xml:space="preserve"> </w:t>
      </w:r>
      <w:r w:rsidR="00630566" w:rsidRPr="00223709">
        <w:rPr>
          <w:b w:val="0"/>
          <w:sz w:val="22"/>
          <w:szCs w:val="32"/>
        </w:rPr>
        <w:t>na Slici 3.3</w:t>
      </w:r>
      <w:r w:rsidR="00523472" w:rsidRPr="00286B4C">
        <w:rPr>
          <w:rStyle w:val="FootnoteReference"/>
        </w:rPr>
        <w:footnoteReference w:id="11"/>
      </w:r>
      <w:r w:rsidR="0039320E" w:rsidRPr="00223709">
        <w:rPr>
          <w:b w:val="0"/>
          <w:sz w:val="22"/>
          <w:szCs w:val="32"/>
        </w:rPr>
        <w:t>.</w:t>
      </w:r>
    </w:p>
    <w:p w14:paraId="2B12D2A6" w14:textId="0ED1CA85" w:rsidR="009B53A7" w:rsidRDefault="009B53A7" w:rsidP="00010A88">
      <w:pPr>
        <w:pStyle w:val="Caption"/>
        <w:keepNext/>
      </w:pPr>
      <w:bookmarkStart w:id="242" w:name="_Ref20467526"/>
      <w:bookmarkStart w:id="243" w:name="_Ref532199857"/>
      <w:bookmarkStart w:id="244" w:name="_Toc27396210"/>
      <w:r>
        <w:t xml:space="preserve">Tablica </w:t>
      </w:r>
      <w:bookmarkStart w:id="245" w:name="tbl_S2_Snaga_elektrana"/>
      <w:r w:rsidR="00A431A0">
        <w:fldChar w:fldCharType="begin"/>
      </w:r>
      <w:r w:rsidR="00A431A0">
        <w:instrText xml:space="preserve"> STYLEREF 1 \s </w:instrText>
      </w:r>
      <w:r w:rsidR="00A431A0">
        <w:fldChar w:fldCharType="separate"/>
      </w:r>
      <w:r w:rsidR="00154150">
        <w:rPr>
          <w:noProof/>
        </w:rPr>
        <w:t>2</w:t>
      </w:r>
      <w:r w:rsidR="00A431A0">
        <w:fldChar w:fldCharType="end"/>
      </w:r>
      <w:r w:rsidR="00562DF0">
        <w:t>–</w:t>
      </w:r>
      <w:fldSimple w:instr=" SEQ Tablica \* ARABIC \s 1 ">
        <w:r w:rsidR="00154150">
          <w:rPr>
            <w:noProof/>
          </w:rPr>
          <w:t>6</w:t>
        </w:r>
      </w:fldSimple>
      <w:bookmarkEnd w:id="242"/>
      <w:r>
        <w:t>. Očekivana snaga elektrana</w:t>
      </w:r>
      <w:bookmarkEnd w:id="243"/>
      <w:bookmarkEnd w:id="244"/>
      <w:bookmarkEnd w:id="245"/>
      <w:r>
        <w:t xml:space="preserve"> </w:t>
      </w:r>
    </w:p>
    <w:tbl>
      <w:tblPr>
        <w:tblStyle w:val="TableGrid"/>
        <w:tblW w:w="0" w:type="auto"/>
        <w:tblLayout w:type="fixed"/>
        <w:tblLook w:val="04A0" w:firstRow="1" w:lastRow="0" w:firstColumn="1" w:lastColumn="0" w:noHBand="0" w:noVBand="1"/>
      </w:tblPr>
      <w:tblGrid>
        <w:gridCol w:w="704"/>
        <w:gridCol w:w="709"/>
        <w:gridCol w:w="709"/>
        <w:gridCol w:w="850"/>
        <w:gridCol w:w="723"/>
        <w:gridCol w:w="963"/>
        <w:gridCol w:w="859"/>
        <w:gridCol w:w="1159"/>
        <w:gridCol w:w="690"/>
        <w:gridCol w:w="635"/>
        <w:gridCol w:w="791"/>
      </w:tblGrid>
      <w:tr w:rsidR="00F621CE" w:rsidRPr="00246CC1" w14:paraId="4E412B45" w14:textId="77777777" w:rsidTr="00223709">
        <w:tc>
          <w:tcPr>
            <w:tcW w:w="704" w:type="dxa"/>
            <w:shd w:val="clear" w:color="auto" w:fill="DEEAF6" w:themeFill="accent1" w:themeFillTint="33"/>
          </w:tcPr>
          <w:p w14:paraId="0C27F815"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MW</w:t>
            </w:r>
          </w:p>
        </w:tc>
        <w:tc>
          <w:tcPr>
            <w:tcW w:w="709" w:type="dxa"/>
            <w:shd w:val="clear" w:color="auto" w:fill="DEEAF6" w:themeFill="accent1" w:themeFillTint="33"/>
          </w:tcPr>
          <w:p w14:paraId="746505EF"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Hidro</w:t>
            </w:r>
          </w:p>
        </w:tc>
        <w:tc>
          <w:tcPr>
            <w:tcW w:w="709" w:type="dxa"/>
            <w:shd w:val="clear" w:color="auto" w:fill="DEEAF6" w:themeFill="accent1" w:themeFillTint="33"/>
          </w:tcPr>
          <w:p w14:paraId="62A18687" w14:textId="0892A10E"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Plin</w:t>
            </w:r>
            <w:r w:rsidR="000325B1">
              <w:rPr>
                <w:rStyle w:val="FootnoteReference"/>
                <w:rFonts w:cs="Arial"/>
                <w:b/>
                <w:szCs w:val="16"/>
              </w:rPr>
              <w:footnoteReference w:id="12"/>
            </w:r>
          </w:p>
        </w:tc>
        <w:tc>
          <w:tcPr>
            <w:tcW w:w="850" w:type="dxa"/>
            <w:shd w:val="clear" w:color="auto" w:fill="DEEAF6" w:themeFill="accent1" w:themeFillTint="33"/>
          </w:tcPr>
          <w:p w14:paraId="69B2C7AD" w14:textId="62002880"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Lož ulje</w:t>
            </w:r>
            <w:r w:rsidR="00284E4B" w:rsidRPr="00286B4C">
              <w:rPr>
                <w:rStyle w:val="FootnoteReference"/>
              </w:rPr>
              <w:footnoteReference w:id="13"/>
            </w:r>
          </w:p>
        </w:tc>
        <w:tc>
          <w:tcPr>
            <w:tcW w:w="723" w:type="dxa"/>
            <w:shd w:val="clear" w:color="auto" w:fill="DEEAF6" w:themeFill="accent1" w:themeFillTint="33"/>
          </w:tcPr>
          <w:p w14:paraId="0AA32180"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Ugljen</w:t>
            </w:r>
          </w:p>
        </w:tc>
        <w:tc>
          <w:tcPr>
            <w:tcW w:w="963" w:type="dxa"/>
            <w:shd w:val="clear" w:color="auto" w:fill="DEEAF6" w:themeFill="accent1" w:themeFillTint="33"/>
          </w:tcPr>
          <w:p w14:paraId="2F48E353"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Nuklearna</w:t>
            </w:r>
          </w:p>
        </w:tc>
        <w:tc>
          <w:tcPr>
            <w:tcW w:w="859" w:type="dxa"/>
            <w:shd w:val="clear" w:color="auto" w:fill="DEEAF6" w:themeFill="accent1" w:themeFillTint="33"/>
          </w:tcPr>
          <w:p w14:paraId="1A45A6FE"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Biomasa</w:t>
            </w:r>
          </w:p>
        </w:tc>
        <w:tc>
          <w:tcPr>
            <w:tcW w:w="1159" w:type="dxa"/>
            <w:shd w:val="clear" w:color="auto" w:fill="DEEAF6" w:themeFill="accent1" w:themeFillTint="33"/>
          </w:tcPr>
          <w:p w14:paraId="7D242ED1"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Geotermalna</w:t>
            </w:r>
          </w:p>
        </w:tc>
        <w:tc>
          <w:tcPr>
            <w:tcW w:w="690" w:type="dxa"/>
            <w:shd w:val="clear" w:color="auto" w:fill="DEEAF6" w:themeFill="accent1" w:themeFillTint="33"/>
          </w:tcPr>
          <w:p w14:paraId="7025123E"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Vjetar</w:t>
            </w:r>
          </w:p>
        </w:tc>
        <w:tc>
          <w:tcPr>
            <w:tcW w:w="635" w:type="dxa"/>
            <w:shd w:val="clear" w:color="auto" w:fill="DEEAF6" w:themeFill="accent1" w:themeFillTint="33"/>
          </w:tcPr>
          <w:p w14:paraId="5939BA5A"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Sunce</w:t>
            </w:r>
          </w:p>
        </w:tc>
        <w:tc>
          <w:tcPr>
            <w:tcW w:w="791" w:type="dxa"/>
            <w:shd w:val="clear" w:color="auto" w:fill="DEEAF6" w:themeFill="accent1" w:themeFillTint="33"/>
          </w:tcPr>
          <w:p w14:paraId="16AEE2D8" w14:textId="77777777" w:rsidR="009B53A7" w:rsidRPr="00223709" w:rsidRDefault="009B53A7" w:rsidP="00010A88">
            <w:pPr>
              <w:keepNext/>
              <w:rPr>
                <w:rFonts w:asciiTheme="minorHAnsi" w:hAnsiTheme="minorHAnsi" w:cs="Arial"/>
                <w:b/>
                <w:sz w:val="16"/>
                <w:szCs w:val="16"/>
              </w:rPr>
            </w:pPr>
            <w:r w:rsidRPr="00223709">
              <w:rPr>
                <w:rFonts w:asciiTheme="minorHAnsi" w:hAnsiTheme="minorHAnsi" w:cs="Arial"/>
                <w:b/>
                <w:sz w:val="16"/>
                <w:szCs w:val="16"/>
              </w:rPr>
              <w:t>Ukupno</w:t>
            </w:r>
          </w:p>
        </w:tc>
      </w:tr>
      <w:tr w:rsidR="00987EEE" w:rsidRPr="00246CC1" w14:paraId="70CC7F08" w14:textId="77777777" w:rsidTr="00223709">
        <w:tc>
          <w:tcPr>
            <w:tcW w:w="704" w:type="dxa"/>
            <w:shd w:val="clear" w:color="auto" w:fill="auto"/>
          </w:tcPr>
          <w:p w14:paraId="3525D5C0" w14:textId="647DAADF" w:rsidR="00987EEE" w:rsidRPr="00AF1356" w:rsidRDefault="00987EEE" w:rsidP="00010A88">
            <w:pPr>
              <w:keepNext/>
              <w:rPr>
                <w:rFonts w:asciiTheme="minorHAnsi" w:hAnsiTheme="minorHAnsi" w:cs="Arial"/>
                <w:sz w:val="20"/>
                <w:szCs w:val="20"/>
              </w:rPr>
            </w:pPr>
            <w:r w:rsidRPr="00AF1356">
              <w:rPr>
                <w:rFonts w:asciiTheme="minorHAnsi" w:hAnsiTheme="minorHAnsi" w:cs="Arial"/>
                <w:sz w:val="20"/>
                <w:szCs w:val="20"/>
              </w:rPr>
              <w:t>2020</w:t>
            </w:r>
          </w:p>
        </w:tc>
        <w:tc>
          <w:tcPr>
            <w:tcW w:w="709" w:type="dxa"/>
            <w:shd w:val="clear" w:color="auto" w:fill="auto"/>
            <w:vAlign w:val="top"/>
          </w:tcPr>
          <w:p w14:paraId="0785FEDF" w14:textId="07B51B44"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2.125</w:t>
            </w:r>
          </w:p>
        </w:tc>
        <w:tc>
          <w:tcPr>
            <w:tcW w:w="709" w:type="dxa"/>
            <w:shd w:val="clear" w:color="auto" w:fill="auto"/>
            <w:vAlign w:val="top"/>
          </w:tcPr>
          <w:p w14:paraId="3A8F5581" w14:textId="3D02188B"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997</w:t>
            </w:r>
          </w:p>
        </w:tc>
        <w:tc>
          <w:tcPr>
            <w:tcW w:w="850" w:type="dxa"/>
            <w:shd w:val="clear" w:color="auto" w:fill="auto"/>
            <w:vAlign w:val="top"/>
          </w:tcPr>
          <w:p w14:paraId="27CFFAF3" w14:textId="4DEBE0EB"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303</w:t>
            </w:r>
          </w:p>
        </w:tc>
        <w:tc>
          <w:tcPr>
            <w:tcW w:w="723" w:type="dxa"/>
            <w:shd w:val="clear" w:color="auto" w:fill="auto"/>
            <w:vAlign w:val="top"/>
          </w:tcPr>
          <w:p w14:paraId="70DB01E2" w14:textId="101FBC3E"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1CE4317E" w14:textId="2C85474E"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794B61F2" w14:textId="6636C2CF"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154</w:t>
            </w:r>
          </w:p>
        </w:tc>
        <w:tc>
          <w:tcPr>
            <w:tcW w:w="1159" w:type="dxa"/>
            <w:shd w:val="clear" w:color="auto" w:fill="auto"/>
            <w:vAlign w:val="top"/>
          </w:tcPr>
          <w:p w14:paraId="5BF98370" w14:textId="6B4D6F69"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10</w:t>
            </w:r>
          </w:p>
        </w:tc>
        <w:tc>
          <w:tcPr>
            <w:tcW w:w="690" w:type="dxa"/>
            <w:shd w:val="clear" w:color="auto" w:fill="auto"/>
            <w:vAlign w:val="top"/>
          </w:tcPr>
          <w:p w14:paraId="0E3449B7" w14:textId="740C3CD5"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734</w:t>
            </w:r>
          </w:p>
        </w:tc>
        <w:tc>
          <w:tcPr>
            <w:tcW w:w="635" w:type="dxa"/>
            <w:shd w:val="clear" w:color="auto" w:fill="auto"/>
            <w:vAlign w:val="top"/>
          </w:tcPr>
          <w:p w14:paraId="06FCA5C9" w14:textId="0DCAD1A3"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96</w:t>
            </w:r>
          </w:p>
        </w:tc>
        <w:tc>
          <w:tcPr>
            <w:tcW w:w="791" w:type="dxa"/>
            <w:shd w:val="clear" w:color="auto" w:fill="auto"/>
            <w:vAlign w:val="top"/>
          </w:tcPr>
          <w:p w14:paraId="2570BB41" w14:textId="7B22A322"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4.959</w:t>
            </w:r>
          </w:p>
        </w:tc>
      </w:tr>
      <w:tr w:rsidR="00987EEE" w:rsidRPr="00246CC1" w14:paraId="59BDFB27" w14:textId="77777777" w:rsidTr="00223709">
        <w:tc>
          <w:tcPr>
            <w:tcW w:w="704" w:type="dxa"/>
            <w:shd w:val="clear" w:color="auto" w:fill="auto"/>
          </w:tcPr>
          <w:p w14:paraId="70324E9D" w14:textId="7AD93C25" w:rsidR="00987EEE" w:rsidRPr="00AF1356" w:rsidRDefault="00987EEE" w:rsidP="00010A88">
            <w:pPr>
              <w:keepNext/>
              <w:rPr>
                <w:rFonts w:asciiTheme="minorHAnsi" w:hAnsiTheme="minorHAnsi" w:cs="Arial"/>
                <w:sz w:val="20"/>
                <w:szCs w:val="20"/>
              </w:rPr>
            </w:pPr>
            <w:r w:rsidRPr="00AF1356">
              <w:rPr>
                <w:rFonts w:asciiTheme="minorHAnsi" w:hAnsiTheme="minorHAnsi" w:cs="Arial"/>
                <w:sz w:val="20"/>
                <w:szCs w:val="20"/>
              </w:rPr>
              <w:t>2021</w:t>
            </w:r>
          </w:p>
        </w:tc>
        <w:tc>
          <w:tcPr>
            <w:tcW w:w="709" w:type="dxa"/>
            <w:shd w:val="clear" w:color="auto" w:fill="auto"/>
            <w:vAlign w:val="top"/>
          </w:tcPr>
          <w:p w14:paraId="54FECEDA" w14:textId="666A74CD"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2.125</w:t>
            </w:r>
          </w:p>
        </w:tc>
        <w:tc>
          <w:tcPr>
            <w:tcW w:w="709" w:type="dxa"/>
            <w:shd w:val="clear" w:color="auto" w:fill="auto"/>
            <w:vAlign w:val="top"/>
          </w:tcPr>
          <w:p w14:paraId="4E5257BD" w14:textId="0197ECCC"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997</w:t>
            </w:r>
          </w:p>
        </w:tc>
        <w:tc>
          <w:tcPr>
            <w:tcW w:w="850" w:type="dxa"/>
            <w:shd w:val="clear" w:color="auto" w:fill="auto"/>
            <w:vAlign w:val="top"/>
          </w:tcPr>
          <w:p w14:paraId="47FCBFA2" w14:textId="607BAD3F"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303</w:t>
            </w:r>
          </w:p>
        </w:tc>
        <w:tc>
          <w:tcPr>
            <w:tcW w:w="723" w:type="dxa"/>
            <w:shd w:val="clear" w:color="auto" w:fill="auto"/>
            <w:vAlign w:val="top"/>
          </w:tcPr>
          <w:p w14:paraId="465078C0" w14:textId="658CD72B"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183541DB" w14:textId="6727857A"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4E2C3BCF" w14:textId="00525C43"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171</w:t>
            </w:r>
          </w:p>
        </w:tc>
        <w:tc>
          <w:tcPr>
            <w:tcW w:w="1159" w:type="dxa"/>
            <w:shd w:val="clear" w:color="auto" w:fill="auto"/>
            <w:vAlign w:val="top"/>
          </w:tcPr>
          <w:p w14:paraId="11FF5875" w14:textId="039799AD"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10</w:t>
            </w:r>
          </w:p>
        </w:tc>
        <w:tc>
          <w:tcPr>
            <w:tcW w:w="690" w:type="dxa"/>
            <w:shd w:val="clear" w:color="auto" w:fill="auto"/>
            <w:vAlign w:val="top"/>
          </w:tcPr>
          <w:p w14:paraId="0BF13555" w14:textId="163CE117"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769</w:t>
            </w:r>
          </w:p>
        </w:tc>
        <w:tc>
          <w:tcPr>
            <w:tcW w:w="635" w:type="dxa"/>
            <w:shd w:val="clear" w:color="auto" w:fill="auto"/>
            <w:vAlign w:val="top"/>
          </w:tcPr>
          <w:p w14:paraId="3F97B387" w14:textId="1D29CEC7"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134</w:t>
            </w:r>
          </w:p>
        </w:tc>
        <w:tc>
          <w:tcPr>
            <w:tcW w:w="791" w:type="dxa"/>
            <w:shd w:val="clear" w:color="auto" w:fill="auto"/>
            <w:vAlign w:val="top"/>
          </w:tcPr>
          <w:p w14:paraId="39CF1DFB" w14:textId="3EEA1EBD"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5.049</w:t>
            </w:r>
          </w:p>
        </w:tc>
      </w:tr>
      <w:tr w:rsidR="00987EEE" w:rsidRPr="00246CC1" w14:paraId="53D20B63" w14:textId="77777777" w:rsidTr="00223709">
        <w:tc>
          <w:tcPr>
            <w:tcW w:w="704" w:type="dxa"/>
            <w:shd w:val="clear" w:color="auto" w:fill="auto"/>
          </w:tcPr>
          <w:p w14:paraId="6858E041" w14:textId="36AA0935" w:rsidR="00987EEE" w:rsidRPr="00AF1356" w:rsidRDefault="00987EEE" w:rsidP="00010A88">
            <w:pPr>
              <w:keepNext/>
              <w:rPr>
                <w:rFonts w:asciiTheme="minorHAnsi" w:hAnsiTheme="minorHAnsi" w:cs="Arial"/>
                <w:sz w:val="20"/>
                <w:szCs w:val="20"/>
              </w:rPr>
            </w:pPr>
            <w:r w:rsidRPr="00AF1356">
              <w:rPr>
                <w:rFonts w:asciiTheme="minorHAnsi" w:hAnsiTheme="minorHAnsi" w:cs="Arial"/>
                <w:sz w:val="20"/>
                <w:szCs w:val="20"/>
              </w:rPr>
              <w:t>2022</w:t>
            </w:r>
          </w:p>
        </w:tc>
        <w:tc>
          <w:tcPr>
            <w:tcW w:w="709" w:type="dxa"/>
            <w:shd w:val="clear" w:color="auto" w:fill="auto"/>
            <w:vAlign w:val="top"/>
          </w:tcPr>
          <w:p w14:paraId="34A01CB1" w14:textId="6C7CBEF4"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2.125</w:t>
            </w:r>
          </w:p>
        </w:tc>
        <w:tc>
          <w:tcPr>
            <w:tcW w:w="709" w:type="dxa"/>
            <w:shd w:val="clear" w:color="auto" w:fill="auto"/>
            <w:vAlign w:val="top"/>
          </w:tcPr>
          <w:p w14:paraId="7D798E89" w14:textId="5FDCAD2E"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997</w:t>
            </w:r>
          </w:p>
        </w:tc>
        <w:tc>
          <w:tcPr>
            <w:tcW w:w="850" w:type="dxa"/>
            <w:shd w:val="clear" w:color="auto" w:fill="auto"/>
            <w:vAlign w:val="top"/>
          </w:tcPr>
          <w:p w14:paraId="3B5E0E9D" w14:textId="2447D955"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303</w:t>
            </w:r>
          </w:p>
        </w:tc>
        <w:tc>
          <w:tcPr>
            <w:tcW w:w="723" w:type="dxa"/>
            <w:shd w:val="clear" w:color="auto" w:fill="auto"/>
            <w:vAlign w:val="top"/>
          </w:tcPr>
          <w:p w14:paraId="226365CB" w14:textId="2DCF2998"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5A44DE88" w14:textId="7F7B878E"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1F19F3AE" w14:textId="0D7B279E"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170</w:t>
            </w:r>
          </w:p>
        </w:tc>
        <w:tc>
          <w:tcPr>
            <w:tcW w:w="1159" w:type="dxa"/>
            <w:shd w:val="clear" w:color="auto" w:fill="auto"/>
            <w:vAlign w:val="top"/>
          </w:tcPr>
          <w:p w14:paraId="41A61FBF" w14:textId="799A711A"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10</w:t>
            </w:r>
          </w:p>
        </w:tc>
        <w:tc>
          <w:tcPr>
            <w:tcW w:w="690" w:type="dxa"/>
            <w:shd w:val="clear" w:color="auto" w:fill="auto"/>
            <w:vAlign w:val="top"/>
          </w:tcPr>
          <w:p w14:paraId="1D1CAB72" w14:textId="407B018A"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804</w:t>
            </w:r>
          </w:p>
        </w:tc>
        <w:tc>
          <w:tcPr>
            <w:tcW w:w="635" w:type="dxa"/>
            <w:shd w:val="clear" w:color="auto" w:fill="auto"/>
            <w:vAlign w:val="top"/>
          </w:tcPr>
          <w:p w14:paraId="6FE9EBB5" w14:textId="1D793020"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174</w:t>
            </w:r>
          </w:p>
        </w:tc>
        <w:tc>
          <w:tcPr>
            <w:tcW w:w="791" w:type="dxa"/>
            <w:shd w:val="clear" w:color="auto" w:fill="auto"/>
            <w:vAlign w:val="top"/>
          </w:tcPr>
          <w:p w14:paraId="7C0480E7" w14:textId="793243B4"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5.122</w:t>
            </w:r>
          </w:p>
        </w:tc>
      </w:tr>
      <w:tr w:rsidR="00987EEE" w:rsidRPr="00246CC1" w14:paraId="4F5BA0AC" w14:textId="77777777" w:rsidTr="00223709">
        <w:tc>
          <w:tcPr>
            <w:tcW w:w="704" w:type="dxa"/>
            <w:shd w:val="clear" w:color="auto" w:fill="auto"/>
          </w:tcPr>
          <w:p w14:paraId="3C0BBD57" w14:textId="185C53D1" w:rsidR="00987EEE" w:rsidRPr="00AF1356" w:rsidRDefault="00987EEE" w:rsidP="00010A88">
            <w:pPr>
              <w:keepNext/>
              <w:rPr>
                <w:rFonts w:asciiTheme="minorHAnsi" w:hAnsiTheme="minorHAnsi" w:cs="Arial"/>
                <w:sz w:val="20"/>
                <w:szCs w:val="20"/>
              </w:rPr>
            </w:pPr>
            <w:r w:rsidRPr="00AF1356">
              <w:rPr>
                <w:rFonts w:asciiTheme="minorHAnsi" w:hAnsiTheme="minorHAnsi" w:cs="Arial"/>
                <w:sz w:val="20"/>
                <w:szCs w:val="20"/>
              </w:rPr>
              <w:t>2023</w:t>
            </w:r>
          </w:p>
        </w:tc>
        <w:tc>
          <w:tcPr>
            <w:tcW w:w="709" w:type="dxa"/>
            <w:shd w:val="clear" w:color="auto" w:fill="auto"/>
            <w:vAlign w:val="top"/>
          </w:tcPr>
          <w:p w14:paraId="296B8D6C" w14:textId="6697DB11"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2.125</w:t>
            </w:r>
          </w:p>
        </w:tc>
        <w:tc>
          <w:tcPr>
            <w:tcW w:w="709" w:type="dxa"/>
            <w:shd w:val="clear" w:color="auto" w:fill="auto"/>
            <w:vAlign w:val="top"/>
          </w:tcPr>
          <w:p w14:paraId="1E1D2168" w14:textId="4BC11D70"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1.147</w:t>
            </w:r>
          </w:p>
        </w:tc>
        <w:tc>
          <w:tcPr>
            <w:tcW w:w="850" w:type="dxa"/>
            <w:shd w:val="clear" w:color="auto" w:fill="auto"/>
            <w:vAlign w:val="top"/>
          </w:tcPr>
          <w:p w14:paraId="5E975CF5" w14:textId="0C2D3DE1"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303</w:t>
            </w:r>
          </w:p>
        </w:tc>
        <w:tc>
          <w:tcPr>
            <w:tcW w:w="723" w:type="dxa"/>
            <w:shd w:val="clear" w:color="auto" w:fill="auto"/>
            <w:vAlign w:val="top"/>
          </w:tcPr>
          <w:p w14:paraId="6FD61C76" w14:textId="5A3912EE"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040EC592" w14:textId="5A982D65"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45BE1854" w14:textId="2A5F48F5"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166</w:t>
            </w:r>
          </w:p>
        </w:tc>
        <w:tc>
          <w:tcPr>
            <w:tcW w:w="1159" w:type="dxa"/>
            <w:shd w:val="clear" w:color="auto" w:fill="auto"/>
            <w:vAlign w:val="top"/>
          </w:tcPr>
          <w:p w14:paraId="28B82163" w14:textId="2B1618B2"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10</w:t>
            </w:r>
          </w:p>
        </w:tc>
        <w:tc>
          <w:tcPr>
            <w:tcW w:w="690" w:type="dxa"/>
            <w:shd w:val="clear" w:color="auto" w:fill="auto"/>
            <w:vAlign w:val="top"/>
          </w:tcPr>
          <w:p w14:paraId="3AE5A8C2" w14:textId="60EF7DDD"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839</w:t>
            </w:r>
          </w:p>
        </w:tc>
        <w:tc>
          <w:tcPr>
            <w:tcW w:w="635" w:type="dxa"/>
            <w:shd w:val="clear" w:color="auto" w:fill="auto"/>
            <w:vAlign w:val="top"/>
          </w:tcPr>
          <w:p w14:paraId="1787F37F" w14:textId="7E1A40F2"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215</w:t>
            </w:r>
          </w:p>
        </w:tc>
        <w:tc>
          <w:tcPr>
            <w:tcW w:w="791" w:type="dxa"/>
            <w:shd w:val="clear" w:color="auto" w:fill="auto"/>
            <w:vAlign w:val="top"/>
          </w:tcPr>
          <w:p w14:paraId="5594FA85" w14:textId="6F89890A"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5.345</w:t>
            </w:r>
          </w:p>
        </w:tc>
      </w:tr>
      <w:tr w:rsidR="00987EEE" w:rsidRPr="00246CC1" w14:paraId="2E14DCB5" w14:textId="77777777" w:rsidTr="00223709">
        <w:tc>
          <w:tcPr>
            <w:tcW w:w="704" w:type="dxa"/>
            <w:shd w:val="clear" w:color="auto" w:fill="auto"/>
          </w:tcPr>
          <w:p w14:paraId="092FD6F5" w14:textId="0A5B3E05" w:rsidR="00987EEE" w:rsidRPr="00AF1356" w:rsidRDefault="00987EEE" w:rsidP="00010A88">
            <w:pPr>
              <w:keepNext/>
              <w:rPr>
                <w:rFonts w:asciiTheme="minorHAnsi" w:hAnsiTheme="minorHAnsi" w:cs="Arial"/>
                <w:sz w:val="20"/>
                <w:szCs w:val="20"/>
              </w:rPr>
            </w:pPr>
            <w:r w:rsidRPr="00AF1356">
              <w:rPr>
                <w:rFonts w:asciiTheme="minorHAnsi" w:hAnsiTheme="minorHAnsi" w:cs="Arial"/>
                <w:sz w:val="20"/>
                <w:szCs w:val="20"/>
              </w:rPr>
              <w:t>2024</w:t>
            </w:r>
          </w:p>
        </w:tc>
        <w:tc>
          <w:tcPr>
            <w:tcW w:w="709" w:type="dxa"/>
            <w:shd w:val="clear" w:color="auto" w:fill="auto"/>
            <w:vAlign w:val="top"/>
          </w:tcPr>
          <w:p w14:paraId="0B561AC5" w14:textId="6FFE4153"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2.158</w:t>
            </w:r>
          </w:p>
        </w:tc>
        <w:tc>
          <w:tcPr>
            <w:tcW w:w="709" w:type="dxa"/>
            <w:shd w:val="clear" w:color="auto" w:fill="auto"/>
            <w:vAlign w:val="top"/>
          </w:tcPr>
          <w:p w14:paraId="014DC007" w14:textId="5D820EA2" w:rsidR="00987EEE" w:rsidRPr="00254B98" w:rsidRDefault="00E62147" w:rsidP="00010A88">
            <w:pPr>
              <w:keepNext/>
              <w:rPr>
                <w:rFonts w:asciiTheme="minorHAnsi" w:hAnsiTheme="minorHAnsi" w:cstheme="minorHAnsi"/>
                <w:sz w:val="20"/>
                <w:szCs w:val="20"/>
                <w:highlight w:val="yellow"/>
              </w:rPr>
            </w:pPr>
            <w:r w:rsidRPr="00223709">
              <w:rPr>
                <w:rFonts w:asciiTheme="minorHAnsi" w:hAnsiTheme="minorHAnsi" w:cstheme="minorHAnsi"/>
                <w:sz w:val="20"/>
                <w:szCs w:val="20"/>
              </w:rPr>
              <w:t>1.147</w:t>
            </w:r>
          </w:p>
        </w:tc>
        <w:tc>
          <w:tcPr>
            <w:tcW w:w="850" w:type="dxa"/>
            <w:shd w:val="clear" w:color="auto" w:fill="auto"/>
            <w:vAlign w:val="top"/>
          </w:tcPr>
          <w:p w14:paraId="1ECC7276" w14:textId="601864F5"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303</w:t>
            </w:r>
          </w:p>
        </w:tc>
        <w:tc>
          <w:tcPr>
            <w:tcW w:w="723" w:type="dxa"/>
            <w:shd w:val="clear" w:color="auto" w:fill="auto"/>
            <w:vAlign w:val="top"/>
          </w:tcPr>
          <w:p w14:paraId="244FC8E6" w14:textId="6A1E51E7"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23DAEF18" w14:textId="2839050E"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21132B26" w14:textId="0AADAA13"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161</w:t>
            </w:r>
          </w:p>
        </w:tc>
        <w:tc>
          <w:tcPr>
            <w:tcW w:w="1159" w:type="dxa"/>
            <w:shd w:val="clear" w:color="auto" w:fill="auto"/>
            <w:vAlign w:val="top"/>
          </w:tcPr>
          <w:p w14:paraId="776B0E35" w14:textId="2CDBB71F"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10</w:t>
            </w:r>
          </w:p>
        </w:tc>
        <w:tc>
          <w:tcPr>
            <w:tcW w:w="690" w:type="dxa"/>
            <w:shd w:val="clear" w:color="auto" w:fill="auto"/>
            <w:vAlign w:val="top"/>
          </w:tcPr>
          <w:p w14:paraId="610CEEB1" w14:textId="7BF881C2"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874</w:t>
            </w:r>
          </w:p>
        </w:tc>
        <w:tc>
          <w:tcPr>
            <w:tcW w:w="635" w:type="dxa"/>
            <w:shd w:val="clear" w:color="auto" w:fill="auto"/>
            <w:vAlign w:val="top"/>
          </w:tcPr>
          <w:p w14:paraId="482DE008" w14:textId="44AF355F" w:rsidR="00987EEE" w:rsidRPr="00223709" w:rsidRDefault="00E62147" w:rsidP="00010A88">
            <w:pPr>
              <w:keepNext/>
              <w:rPr>
                <w:rFonts w:asciiTheme="minorHAnsi" w:hAnsiTheme="minorHAnsi" w:cstheme="minorHAnsi"/>
                <w:sz w:val="20"/>
                <w:szCs w:val="20"/>
              </w:rPr>
            </w:pPr>
            <w:r w:rsidRPr="00F4356A">
              <w:rPr>
                <w:rFonts w:asciiTheme="minorHAnsi" w:hAnsiTheme="minorHAnsi" w:cstheme="minorHAnsi"/>
                <w:sz w:val="20"/>
                <w:szCs w:val="20"/>
              </w:rPr>
              <w:t>266</w:t>
            </w:r>
          </w:p>
        </w:tc>
        <w:tc>
          <w:tcPr>
            <w:tcW w:w="791" w:type="dxa"/>
            <w:shd w:val="clear" w:color="auto" w:fill="auto"/>
            <w:vAlign w:val="top"/>
          </w:tcPr>
          <w:p w14:paraId="22F863AE" w14:textId="4C0687F2" w:rsidR="00987EEE" w:rsidRPr="00223709" w:rsidRDefault="00E62147" w:rsidP="00010A88">
            <w:pPr>
              <w:keepNext/>
              <w:rPr>
                <w:rFonts w:asciiTheme="minorHAnsi" w:hAnsiTheme="minorHAnsi" w:cstheme="minorHAnsi"/>
                <w:sz w:val="20"/>
                <w:szCs w:val="20"/>
              </w:rPr>
            </w:pPr>
            <w:r w:rsidRPr="00223709">
              <w:rPr>
                <w:rFonts w:asciiTheme="minorHAnsi" w:hAnsiTheme="minorHAnsi" w:cstheme="minorHAnsi"/>
                <w:sz w:val="20"/>
                <w:szCs w:val="20"/>
              </w:rPr>
              <w:t>5.459</w:t>
            </w:r>
          </w:p>
        </w:tc>
      </w:tr>
      <w:tr w:rsidR="00987EEE" w:rsidRPr="00246CC1" w14:paraId="62B13DFA" w14:textId="77777777" w:rsidTr="00223709">
        <w:tc>
          <w:tcPr>
            <w:tcW w:w="704" w:type="dxa"/>
            <w:shd w:val="clear" w:color="auto" w:fill="auto"/>
          </w:tcPr>
          <w:p w14:paraId="7163E511" w14:textId="319A2156" w:rsidR="00987EEE" w:rsidRPr="00AF1356" w:rsidRDefault="00987EEE" w:rsidP="00987EEE">
            <w:pPr>
              <w:rPr>
                <w:rFonts w:asciiTheme="minorHAnsi" w:hAnsiTheme="minorHAnsi" w:cs="Arial"/>
                <w:sz w:val="20"/>
                <w:szCs w:val="20"/>
              </w:rPr>
            </w:pPr>
            <w:r w:rsidRPr="00AF1356">
              <w:rPr>
                <w:rFonts w:asciiTheme="minorHAnsi" w:hAnsiTheme="minorHAnsi" w:cs="Arial"/>
                <w:sz w:val="20"/>
                <w:szCs w:val="20"/>
              </w:rPr>
              <w:t>2025</w:t>
            </w:r>
          </w:p>
        </w:tc>
        <w:tc>
          <w:tcPr>
            <w:tcW w:w="709" w:type="dxa"/>
            <w:shd w:val="clear" w:color="auto" w:fill="auto"/>
            <w:vAlign w:val="top"/>
          </w:tcPr>
          <w:p w14:paraId="2057AACC" w14:textId="1A96CB4D" w:rsidR="00987EEE" w:rsidRPr="00254B98" w:rsidRDefault="00E62147" w:rsidP="00987EEE">
            <w:pPr>
              <w:rPr>
                <w:rFonts w:asciiTheme="minorHAnsi" w:hAnsiTheme="minorHAnsi" w:cstheme="minorHAnsi"/>
                <w:sz w:val="20"/>
                <w:szCs w:val="20"/>
                <w:highlight w:val="yellow"/>
              </w:rPr>
            </w:pPr>
            <w:r w:rsidRPr="00223709">
              <w:rPr>
                <w:rFonts w:asciiTheme="minorHAnsi" w:hAnsiTheme="minorHAnsi" w:cstheme="minorHAnsi"/>
                <w:sz w:val="20"/>
                <w:szCs w:val="20"/>
              </w:rPr>
              <w:t>2.158</w:t>
            </w:r>
          </w:p>
        </w:tc>
        <w:tc>
          <w:tcPr>
            <w:tcW w:w="709" w:type="dxa"/>
            <w:shd w:val="clear" w:color="auto" w:fill="auto"/>
            <w:vAlign w:val="top"/>
          </w:tcPr>
          <w:p w14:paraId="5E40240E" w14:textId="355CC818" w:rsidR="00987EEE" w:rsidRPr="00254B98" w:rsidRDefault="00E62147" w:rsidP="00987EEE">
            <w:pPr>
              <w:rPr>
                <w:rFonts w:asciiTheme="minorHAnsi" w:hAnsiTheme="minorHAnsi" w:cstheme="minorHAnsi"/>
                <w:sz w:val="20"/>
                <w:szCs w:val="20"/>
                <w:highlight w:val="yellow"/>
              </w:rPr>
            </w:pPr>
            <w:r w:rsidRPr="00223709">
              <w:rPr>
                <w:rFonts w:asciiTheme="minorHAnsi" w:hAnsiTheme="minorHAnsi" w:cstheme="minorHAnsi"/>
                <w:sz w:val="20"/>
                <w:szCs w:val="20"/>
              </w:rPr>
              <w:t>1.147</w:t>
            </w:r>
          </w:p>
        </w:tc>
        <w:tc>
          <w:tcPr>
            <w:tcW w:w="850" w:type="dxa"/>
            <w:shd w:val="clear" w:color="auto" w:fill="auto"/>
            <w:vAlign w:val="top"/>
          </w:tcPr>
          <w:p w14:paraId="5DB42605" w14:textId="7ADB4BF9"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303</w:t>
            </w:r>
          </w:p>
        </w:tc>
        <w:tc>
          <w:tcPr>
            <w:tcW w:w="723" w:type="dxa"/>
            <w:shd w:val="clear" w:color="auto" w:fill="auto"/>
            <w:vAlign w:val="top"/>
          </w:tcPr>
          <w:p w14:paraId="63236E19" w14:textId="43F44E13"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61439E94" w14:textId="0E63F5CA"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7A278A60" w14:textId="3CFF09B7"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156</w:t>
            </w:r>
          </w:p>
        </w:tc>
        <w:tc>
          <w:tcPr>
            <w:tcW w:w="1159" w:type="dxa"/>
            <w:shd w:val="clear" w:color="auto" w:fill="auto"/>
            <w:vAlign w:val="top"/>
          </w:tcPr>
          <w:p w14:paraId="59F47351" w14:textId="594F0B75"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17</w:t>
            </w:r>
          </w:p>
        </w:tc>
        <w:tc>
          <w:tcPr>
            <w:tcW w:w="690" w:type="dxa"/>
            <w:shd w:val="clear" w:color="auto" w:fill="auto"/>
            <w:vAlign w:val="top"/>
          </w:tcPr>
          <w:p w14:paraId="11F8E0BE" w14:textId="29E65BB9"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909</w:t>
            </w:r>
          </w:p>
        </w:tc>
        <w:tc>
          <w:tcPr>
            <w:tcW w:w="635" w:type="dxa"/>
            <w:shd w:val="clear" w:color="auto" w:fill="auto"/>
            <w:vAlign w:val="top"/>
          </w:tcPr>
          <w:p w14:paraId="13D2853C" w14:textId="5A937911"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316</w:t>
            </w:r>
          </w:p>
        </w:tc>
        <w:tc>
          <w:tcPr>
            <w:tcW w:w="791" w:type="dxa"/>
            <w:shd w:val="clear" w:color="auto" w:fill="auto"/>
            <w:vAlign w:val="top"/>
          </w:tcPr>
          <w:p w14:paraId="0E4E08B8" w14:textId="7D084435"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5.546</w:t>
            </w:r>
          </w:p>
        </w:tc>
      </w:tr>
      <w:tr w:rsidR="00987EEE" w:rsidRPr="00246CC1" w14:paraId="7DAAC77F" w14:textId="77777777" w:rsidTr="00223709">
        <w:tc>
          <w:tcPr>
            <w:tcW w:w="704" w:type="dxa"/>
            <w:shd w:val="clear" w:color="auto" w:fill="auto"/>
          </w:tcPr>
          <w:p w14:paraId="44A3966F" w14:textId="412DB38B" w:rsidR="00987EEE" w:rsidRPr="00AF1356" w:rsidRDefault="00987EEE" w:rsidP="00987EEE">
            <w:pPr>
              <w:rPr>
                <w:rFonts w:asciiTheme="minorHAnsi" w:hAnsiTheme="minorHAnsi" w:cs="Arial"/>
                <w:sz w:val="20"/>
                <w:szCs w:val="20"/>
              </w:rPr>
            </w:pPr>
            <w:r w:rsidRPr="00AF1356">
              <w:rPr>
                <w:rFonts w:asciiTheme="minorHAnsi" w:hAnsiTheme="minorHAnsi" w:cs="Arial"/>
                <w:sz w:val="20"/>
                <w:szCs w:val="20"/>
              </w:rPr>
              <w:t>2026</w:t>
            </w:r>
          </w:p>
        </w:tc>
        <w:tc>
          <w:tcPr>
            <w:tcW w:w="709" w:type="dxa"/>
            <w:shd w:val="clear" w:color="auto" w:fill="auto"/>
            <w:vAlign w:val="top"/>
          </w:tcPr>
          <w:p w14:paraId="52CEE868" w14:textId="7B152EE5" w:rsidR="00987EEE" w:rsidRPr="00254B98" w:rsidRDefault="00E62147" w:rsidP="00987EEE">
            <w:pPr>
              <w:rPr>
                <w:rFonts w:asciiTheme="minorHAnsi" w:hAnsiTheme="minorHAnsi" w:cstheme="minorHAnsi"/>
                <w:sz w:val="20"/>
                <w:szCs w:val="20"/>
                <w:highlight w:val="yellow"/>
              </w:rPr>
            </w:pPr>
            <w:r w:rsidRPr="00223709">
              <w:rPr>
                <w:rFonts w:asciiTheme="minorHAnsi" w:hAnsiTheme="minorHAnsi" w:cstheme="minorHAnsi"/>
                <w:sz w:val="20"/>
                <w:szCs w:val="20"/>
              </w:rPr>
              <w:t>2.536</w:t>
            </w:r>
          </w:p>
        </w:tc>
        <w:tc>
          <w:tcPr>
            <w:tcW w:w="709" w:type="dxa"/>
            <w:shd w:val="clear" w:color="auto" w:fill="auto"/>
            <w:vAlign w:val="top"/>
          </w:tcPr>
          <w:p w14:paraId="66B6AD94" w14:textId="1662E80D" w:rsidR="00987EEE" w:rsidRPr="00254B98" w:rsidRDefault="00E62147" w:rsidP="00987EEE">
            <w:pPr>
              <w:rPr>
                <w:rFonts w:asciiTheme="minorHAnsi" w:hAnsiTheme="minorHAnsi" w:cstheme="minorHAnsi"/>
                <w:sz w:val="20"/>
                <w:szCs w:val="20"/>
                <w:highlight w:val="yellow"/>
              </w:rPr>
            </w:pPr>
            <w:r w:rsidRPr="00223709">
              <w:rPr>
                <w:rFonts w:asciiTheme="minorHAnsi" w:hAnsiTheme="minorHAnsi" w:cstheme="minorHAnsi"/>
                <w:sz w:val="20"/>
                <w:szCs w:val="20"/>
              </w:rPr>
              <w:t>899</w:t>
            </w:r>
          </w:p>
        </w:tc>
        <w:tc>
          <w:tcPr>
            <w:tcW w:w="850" w:type="dxa"/>
            <w:shd w:val="clear" w:color="auto" w:fill="auto"/>
            <w:vAlign w:val="top"/>
          </w:tcPr>
          <w:p w14:paraId="092DF1C4" w14:textId="4C6B32AA"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0</w:t>
            </w:r>
          </w:p>
        </w:tc>
        <w:tc>
          <w:tcPr>
            <w:tcW w:w="723" w:type="dxa"/>
            <w:shd w:val="clear" w:color="auto" w:fill="auto"/>
            <w:vAlign w:val="top"/>
          </w:tcPr>
          <w:p w14:paraId="42A0AE5D" w14:textId="1C871076"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294E0E89" w14:textId="048F3AE4"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32907510" w14:textId="05713382"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156</w:t>
            </w:r>
          </w:p>
        </w:tc>
        <w:tc>
          <w:tcPr>
            <w:tcW w:w="1159" w:type="dxa"/>
            <w:shd w:val="clear" w:color="auto" w:fill="auto"/>
            <w:vAlign w:val="top"/>
          </w:tcPr>
          <w:p w14:paraId="6AE7B1BD" w14:textId="211DB89C"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17</w:t>
            </w:r>
          </w:p>
        </w:tc>
        <w:tc>
          <w:tcPr>
            <w:tcW w:w="690" w:type="dxa"/>
            <w:shd w:val="clear" w:color="auto" w:fill="auto"/>
            <w:vAlign w:val="top"/>
          </w:tcPr>
          <w:p w14:paraId="559A9213" w14:textId="0DAC0473"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962</w:t>
            </w:r>
          </w:p>
        </w:tc>
        <w:tc>
          <w:tcPr>
            <w:tcW w:w="635" w:type="dxa"/>
            <w:shd w:val="clear" w:color="auto" w:fill="auto"/>
            <w:vAlign w:val="top"/>
          </w:tcPr>
          <w:p w14:paraId="25E2CAD4" w14:textId="208A02B9"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369</w:t>
            </w:r>
          </w:p>
        </w:tc>
        <w:tc>
          <w:tcPr>
            <w:tcW w:w="791" w:type="dxa"/>
            <w:shd w:val="clear" w:color="auto" w:fill="auto"/>
            <w:vAlign w:val="top"/>
          </w:tcPr>
          <w:p w14:paraId="088BFE63" w14:textId="69461BA1"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5.478</w:t>
            </w:r>
          </w:p>
        </w:tc>
      </w:tr>
      <w:tr w:rsidR="00987EEE" w:rsidRPr="00246CC1" w14:paraId="3B4D33BE" w14:textId="77777777" w:rsidTr="00223709">
        <w:tc>
          <w:tcPr>
            <w:tcW w:w="704" w:type="dxa"/>
            <w:shd w:val="clear" w:color="auto" w:fill="auto"/>
          </w:tcPr>
          <w:p w14:paraId="1BB4416F" w14:textId="419ED83D" w:rsidR="00987EEE" w:rsidRPr="00AF1356" w:rsidRDefault="00987EEE" w:rsidP="00987EEE">
            <w:pPr>
              <w:rPr>
                <w:rFonts w:asciiTheme="minorHAnsi" w:hAnsiTheme="minorHAnsi" w:cs="Arial"/>
                <w:sz w:val="20"/>
                <w:szCs w:val="20"/>
              </w:rPr>
            </w:pPr>
            <w:r w:rsidRPr="00AF1356">
              <w:rPr>
                <w:rFonts w:asciiTheme="minorHAnsi" w:hAnsiTheme="minorHAnsi" w:cs="Arial"/>
                <w:sz w:val="20"/>
                <w:szCs w:val="20"/>
              </w:rPr>
              <w:t>2027</w:t>
            </w:r>
          </w:p>
        </w:tc>
        <w:tc>
          <w:tcPr>
            <w:tcW w:w="709" w:type="dxa"/>
            <w:shd w:val="clear" w:color="auto" w:fill="auto"/>
            <w:vAlign w:val="top"/>
          </w:tcPr>
          <w:p w14:paraId="6D3F012F" w14:textId="1C1F2298" w:rsidR="00987EEE" w:rsidRPr="00254B98" w:rsidRDefault="00E62147" w:rsidP="00987EEE">
            <w:pPr>
              <w:rPr>
                <w:rFonts w:asciiTheme="minorHAnsi" w:hAnsiTheme="minorHAnsi" w:cstheme="minorHAnsi"/>
                <w:sz w:val="20"/>
                <w:szCs w:val="20"/>
                <w:highlight w:val="yellow"/>
              </w:rPr>
            </w:pPr>
            <w:r w:rsidRPr="00223709">
              <w:rPr>
                <w:rFonts w:asciiTheme="minorHAnsi" w:hAnsiTheme="minorHAnsi" w:cstheme="minorHAnsi"/>
                <w:sz w:val="20"/>
                <w:szCs w:val="20"/>
              </w:rPr>
              <w:t>2.536</w:t>
            </w:r>
          </w:p>
        </w:tc>
        <w:tc>
          <w:tcPr>
            <w:tcW w:w="709" w:type="dxa"/>
            <w:shd w:val="clear" w:color="auto" w:fill="auto"/>
            <w:vAlign w:val="top"/>
          </w:tcPr>
          <w:p w14:paraId="251D5B51" w14:textId="2BCC0A27" w:rsidR="00987EEE" w:rsidRPr="00254B98" w:rsidRDefault="00E62147" w:rsidP="00987EEE">
            <w:pPr>
              <w:rPr>
                <w:rFonts w:asciiTheme="minorHAnsi" w:hAnsiTheme="minorHAnsi" w:cstheme="minorHAnsi"/>
                <w:sz w:val="20"/>
                <w:szCs w:val="20"/>
                <w:highlight w:val="yellow"/>
              </w:rPr>
            </w:pPr>
            <w:r w:rsidRPr="00223709">
              <w:rPr>
                <w:rFonts w:asciiTheme="minorHAnsi" w:hAnsiTheme="minorHAnsi" w:cstheme="minorHAnsi"/>
                <w:sz w:val="20"/>
                <w:szCs w:val="20"/>
              </w:rPr>
              <w:t>899</w:t>
            </w:r>
          </w:p>
        </w:tc>
        <w:tc>
          <w:tcPr>
            <w:tcW w:w="850" w:type="dxa"/>
            <w:shd w:val="clear" w:color="auto" w:fill="auto"/>
            <w:vAlign w:val="top"/>
          </w:tcPr>
          <w:p w14:paraId="7244F3FC" w14:textId="3349E8DE"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0</w:t>
            </w:r>
          </w:p>
        </w:tc>
        <w:tc>
          <w:tcPr>
            <w:tcW w:w="723" w:type="dxa"/>
            <w:shd w:val="clear" w:color="auto" w:fill="auto"/>
            <w:vAlign w:val="top"/>
          </w:tcPr>
          <w:p w14:paraId="5A510846" w14:textId="3CF4C580"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71B75DD6" w14:textId="1549A1E2"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2297D6FA" w14:textId="191754B9"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155</w:t>
            </w:r>
          </w:p>
        </w:tc>
        <w:tc>
          <w:tcPr>
            <w:tcW w:w="1159" w:type="dxa"/>
            <w:shd w:val="clear" w:color="auto" w:fill="auto"/>
            <w:vAlign w:val="top"/>
          </w:tcPr>
          <w:p w14:paraId="361EEE97" w14:textId="101C67CB"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17</w:t>
            </w:r>
          </w:p>
        </w:tc>
        <w:tc>
          <w:tcPr>
            <w:tcW w:w="690" w:type="dxa"/>
            <w:shd w:val="clear" w:color="auto" w:fill="auto"/>
            <w:vAlign w:val="top"/>
          </w:tcPr>
          <w:p w14:paraId="5BB3F26B" w14:textId="5A0A4359"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1.014</w:t>
            </w:r>
          </w:p>
        </w:tc>
        <w:tc>
          <w:tcPr>
            <w:tcW w:w="635" w:type="dxa"/>
            <w:shd w:val="clear" w:color="auto" w:fill="auto"/>
            <w:vAlign w:val="top"/>
          </w:tcPr>
          <w:p w14:paraId="2167CB5D" w14:textId="1C52F118"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421</w:t>
            </w:r>
          </w:p>
        </w:tc>
        <w:tc>
          <w:tcPr>
            <w:tcW w:w="791" w:type="dxa"/>
            <w:shd w:val="clear" w:color="auto" w:fill="auto"/>
            <w:vAlign w:val="top"/>
          </w:tcPr>
          <w:p w14:paraId="25F1761E" w14:textId="25E66739"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5.582</w:t>
            </w:r>
          </w:p>
        </w:tc>
      </w:tr>
      <w:tr w:rsidR="00987EEE" w:rsidRPr="00246CC1" w14:paraId="3FA8BCD7" w14:textId="77777777" w:rsidTr="00223709">
        <w:tc>
          <w:tcPr>
            <w:tcW w:w="704" w:type="dxa"/>
            <w:shd w:val="clear" w:color="auto" w:fill="auto"/>
          </w:tcPr>
          <w:p w14:paraId="1BC6C782" w14:textId="1312B819" w:rsidR="00987EEE" w:rsidRPr="00AF1356" w:rsidRDefault="00987EEE" w:rsidP="00987EEE">
            <w:pPr>
              <w:rPr>
                <w:rFonts w:asciiTheme="minorHAnsi" w:hAnsiTheme="minorHAnsi" w:cs="Arial"/>
                <w:sz w:val="20"/>
                <w:szCs w:val="20"/>
              </w:rPr>
            </w:pPr>
            <w:r w:rsidRPr="00AF1356">
              <w:rPr>
                <w:rFonts w:asciiTheme="minorHAnsi" w:hAnsiTheme="minorHAnsi" w:cs="Arial"/>
                <w:sz w:val="20"/>
                <w:szCs w:val="20"/>
              </w:rPr>
              <w:t>2028</w:t>
            </w:r>
          </w:p>
        </w:tc>
        <w:tc>
          <w:tcPr>
            <w:tcW w:w="709" w:type="dxa"/>
            <w:shd w:val="clear" w:color="auto" w:fill="auto"/>
            <w:vAlign w:val="top"/>
          </w:tcPr>
          <w:p w14:paraId="33E084A5" w14:textId="7FC699DD"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2.686</w:t>
            </w:r>
          </w:p>
        </w:tc>
        <w:tc>
          <w:tcPr>
            <w:tcW w:w="709" w:type="dxa"/>
            <w:shd w:val="clear" w:color="auto" w:fill="auto"/>
            <w:vAlign w:val="top"/>
          </w:tcPr>
          <w:p w14:paraId="474D6D2E" w14:textId="6E53FBD7"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1.199</w:t>
            </w:r>
          </w:p>
        </w:tc>
        <w:tc>
          <w:tcPr>
            <w:tcW w:w="850" w:type="dxa"/>
            <w:shd w:val="clear" w:color="auto" w:fill="auto"/>
            <w:vAlign w:val="top"/>
          </w:tcPr>
          <w:p w14:paraId="0062633E" w14:textId="15EFC098"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0</w:t>
            </w:r>
          </w:p>
        </w:tc>
        <w:tc>
          <w:tcPr>
            <w:tcW w:w="723" w:type="dxa"/>
            <w:shd w:val="clear" w:color="auto" w:fill="auto"/>
            <w:vAlign w:val="top"/>
          </w:tcPr>
          <w:p w14:paraId="5985F9B8" w14:textId="373298AC"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03C9EA88" w14:textId="2B17BEA0"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7437075E" w14:textId="0AD7CC8C"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151</w:t>
            </w:r>
          </w:p>
        </w:tc>
        <w:tc>
          <w:tcPr>
            <w:tcW w:w="1159" w:type="dxa"/>
            <w:shd w:val="clear" w:color="auto" w:fill="auto"/>
            <w:vAlign w:val="top"/>
          </w:tcPr>
          <w:p w14:paraId="7E22A88A" w14:textId="0134BFE6"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17</w:t>
            </w:r>
          </w:p>
        </w:tc>
        <w:tc>
          <w:tcPr>
            <w:tcW w:w="690" w:type="dxa"/>
            <w:shd w:val="clear" w:color="auto" w:fill="auto"/>
            <w:vAlign w:val="top"/>
          </w:tcPr>
          <w:p w14:paraId="12A8BF08" w14:textId="5F3C235F"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1.084</w:t>
            </w:r>
          </w:p>
        </w:tc>
        <w:tc>
          <w:tcPr>
            <w:tcW w:w="635" w:type="dxa"/>
            <w:shd w:val="clear" w:color="auto" w:fill="auto"/>
            <w:vAlign w:val="top"/>
          </w:tcPr>
          <w:p w14:paraId="6EB543FC" w14:textId="45AAC02E"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474</w:t>
            </w:r>
          </w:p>
        </w:tc>
        <w:tc>
          <w:tcPr>
            <w:tcW w:w="791" w:type="dxa"/>
            <w:shd w:val="clear" w:color="auto" w:fill="auto"/>
            <w:vAlign w:val="top"/>
          </w:tcPr>
          <w:p w14:paraId="3AFE0F96" w14:textId="64D97BCB"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6.150</w:t>
            </w:r>
          </w:p>
        </w:tc>
      </w:tr>
      <w:tr w:rsidR="00987EEE" w:rsidRPr="00246CC1" w14:paraId="05CB59F0" w14:textId="77777777" w:rsidTr="00223709">
        <w:tc>
          <w:tcPr>
            <w:tcW w:w="704" w:type="dxa"/>
            <w:shd w:val="clear" w:color="auto" w:fill="auto"/>
          </w:tcPr>
          <w:p w14:paraId="47616BA8" w14:textId="77777777" w:rsidR="00987EEE" w:rsidRPr="00246CC1" w:rsidRDefault="00987EEE" w:rsidP="00987EEE">
            <w:pPr>
              <w:rPr>
                <w:rFonts w:asciiTheme="minorHAnsi" w:hAnsiTheme="minorHAnsi" w:cstheme="minorHAnsi"/>
                <w:sz w:val="20"/>
                <w:szCs w:val="20"/>
              </w:rPr>
            </w:pPr>
            <w:r w:rsidRPr="00246CC1">
              <w:rPr>
                <w:rFonts w:asciiTheme="minorHAnsi" w:hAnsiTheme="minorHAnsi" w:cstheme="minorHAnsi"/>
                <w:sz w:val="20"/>
                <w:szCs w:val="20"/>
              </w:rPr>
              <w:t>2029.</w:t>
            </w:r>
          </w:p>
        </w:tc>
        <w:tc>
          <w:tcPr>
            <w:tcW w:w="709" w:type="dxa"/>
            <w:shd w:val="clear" w:color="auto" w:fill="auto"/>
            <w:vAlign w:val="top"/>
          </w:tcPr>
          <w:p w14:paraId="7F6BE6EA" w14:textId="34AEA4D6"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2.686</w:t>
            </w:r>
          </w:p>
        </w:tc>
        <w:tc>
          <w:tcPr>
            <w:tcW w:w="709" w:type="dxa"/>
            <w:shd w:val="clear" w:color="auto" w:fill="auto"/>
            <w:vAlign w:val="top"/>
          </w:tcPr>
          <w:p w14:paraId="6986ABDF" w14:textId="4C52D6C4"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1.199</w:t>
            </w:r>
          </w:p>
        </w:tc>
        <w:tc>
          <w:tcPr>
            <w:tcW w:w="850" w:type="dxa"/>
            <w:shd w:val="clear" w:color="auto" w:fill="auto"/>
            <w:vAlign w:val="top"/>
          </w:tcPr>
          <w:p w14:paraId="6E7C766E" w14:textId="00474B9E"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0</w:t>
            </w:r>
          </w:p>
        </w:tc>
        <w:tc>
          <w:tcPr>
            <w:tcW w:w="723" w:type="dxa"/>
            <w:shd w:val="clear" w:color="auto" w:fill="auto"/>
            <w:vAlign w:val="top"/>
          </w:tcPr>
          <w:p w14:paraId="37D853CC" w14:textId="2A63440E"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01137A14" w14:textId="3D368B80"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633EF0E2" w14:textId="422231F9"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151</w:t>
            </w:r>
          </w:p>
        </w:tc>
        <w:tc>
          <w:tcPr>
            <w:tcW w:w="1159" w:type="dxa"/>
            <w:shd w:val="clear" w:color="auto" w:fill="auto"/>
            <w:vAlign w:val="top"/>
          </w:tcPr>
          <w:p w14:paraId="00AC00F9" w14:textId="294AE802"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17</w:t>
            </w:r>
          </w:p>
        </w:tc>
        <w:tc>
          <w:tcPr>
            <w:tcW w:w="690" w:type="dxa"/>
            <w:shd w:val="clear" w:color="auto" w:fill="auto"/>
            <w:vAlign w:val="top"/>
          </w:tcPr>
          <w:p w14:paraId="61ADFA7D" w14:textId="2E8C7D10"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1.154</w:t>
            </w:r>
          </w:p>
        </w:tc>
        <w:tc>
          <w:tcPr>
            <w:tcW w:w="635" w:type="dxa"/>
            <w:shd w:val="clear" w:color="auto" w:fill="auto"/>
            <w:vAlign w:val="top"/>
          </w:tcPr>
          <w:p w14:paraId="6A6F89CA" w14:textId="393C7061"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526</w:t>
            </w:r>
          </w:p>
        </w:tc>
        <w:tc>
          <w:tcPr>
            <w:tcW w:w="791" w:type="dxa"/>
            <w:shd w:val="clear" w:color="auto" w:fill="auto"/>
            <w:vAlign w:val="top"/>
          </w:tcPr>
          <w:p w14:paraId="540603C4" w14:textId="1FDF25B9"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6.273</w:t>
            </w:r>
          </w:p>
        </w:tc>
      </w:tr>
      <w:tr w:rsidR="00987EEE" w:rsidRPr="00976062" w14:paraId="5B21C274" w14:textId="77777777" w:rsidTr="00223709">
        <w:tc>
          <w:tcPr>
            <w:tcW w:w="704" w:type="dxa"/>
            <w:shd w:val="clear" w:color="auto" w:fill="auto"/>
          </w:tcPr>
          <w:p w14:paraId="6545F698" w14:textId="77777777" w:rsidR="00987EEE" w:rsidRPr="0087537E" w:rsidRDefault="00987EEE" w:rsidP="00987EEE">
            <w:pPr>
              <w:rPr>
                <w:rFonts w:asciiTheme="minorHAnsi" w:hAnsiTheme="minorHAnsi" w:cstheme="minorHAnsi"/>
                <w:sz w:val="20"/>
                <w:szCs w:val="20"/>
              </w:rPr>
            </w:pPr>
            <w:r w:rsidRPr="0087537E">
              <w:rPr>
                <w:rFonts w:asciiTheme="minorHAnsi" w:hAnsiTheme="minorHAnsi" w:cstheme="minorHAnsi"/>
                <w:sz w:val="20"/>
                <w:szCs w:val="20"/>
              </w:rPr>
              <w:t>2030.</w:t>
            </w:r>
          </w:p>
        </w:tc>
        <w:tc>
          <w:tcPr>
            <w:tcW w:w="709" w:type="dxa"/>
            <w:shd w:val="clear" w:color="auto" w:fill="auto"/>
            <w:vAlign w:val="top"/>
          </w:tcPr>
          <w:p w14:paraId="48121E14" w14:textId="67D71D66"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2.686</w:t>
            </w:r>
          </w:p>
        </w:tc>
        <w:tc>
          <w:tcPr>
            <w:tcW w:w="709" w:type="dxa"/>
            <w:shd w:val="clear" w:color="auto" w:fill="auto"/>
            <w:vAlign w:val="top"/>
          </w:tcPr>
          <w:p w14:paraId="7A18BE94" w14:textId="21376E86"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1.048</w:t>
            </w:r>
          </w:p>
        </w:tc>
        <w:tc>
          <w:tcPr>
            <w:tcW w:w="850" w:type="dxa"/>
            <w:shd w:val="clear" w:color="auto" w:fill="auto"/>
            <w:vAlign w:val="top"/>
          </w:tcPr>
          <w:p w14:paraId="22542163" w14:textId="685DDF92"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0</w:t>
            </w:r>
          </w:p>
        </w:tc>
        <w:tc>
          <w:tcPr>
            <w:tcW w:w="723" w:type="dxa"/>
            <w:shd w:val="clear" w:color="auto" w:fill="auto"/>
            <w:vAlign w:val="top"/>
          </w:tcPr>
          <w:p w14:paraId="1091A2EB" w14:textId="3FD605DE"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192</w:t>
            </w:r>
          </w:p>
        </w:tc>
        <w:tc>
          <w:tcPr>
            <w:tcW w:w="963" w:type="dxa"/>
            <w:shd w:val="clear" w:color="auto" w:fill="auto"/>
            <w:vAlign w:val="top"/>
          </w:tcPr>
          <w:p w14:paraId="3E23BD94" w14:textId="10ABDF02"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348</w:t>
            </w:r>
          </w:p>
        </w:tc>
        <w:tc>
          <w:tcPr>
            <w:tcW w:w="859" w:type="dxa"/>
            <w:shd w:val="clear" w:color="auto" w:fill="auto"/>
            <w:vAlign w:val="top"/>
          </w:tcPr>
          <w:p w14:paraId="7C2CB70C" w14:textId="3762DF13"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148</w:t>
            </w:r>
          </w:p>
        </w:tc>
        <w:tc>
          <w:tcPr>
            <w:tcW w:w="1159" w:type="dxa"/>
            <w:shd w:val="clear" w:color="auto" w:fill="auto"/>
            <w:vAlign w:val="top"/>
          </w:tcPr>
          <w:p w14:paraId="5A7730DB" w14:textId="1DF50992"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17</w:t>
            </w:r>
          </w:p>
        </w:tc>
        <w:tc>
          <w:tcPr>
            <w:tcW w:w="690" w:type="dxa"/>
            <w:shd w:val="clear" w:color="auto" w:fill="auto"/>
            <w:vAlign w:val="top"/>
          </w:tcPr>
          <w:p w14:paraId="299A382C" w14:textId="414ED979"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1.364</w:t>
            </w:r>
          </w:p>
        </w:tc>
        <w:tc>
          <w:tcPr>
            <w:tcW w:w="635" w:type="dxa"/>
            <w:shd w:val="clear" w:color="auto" w:fill="auto"/>
            <w:vAlign w:val="top"/>
          </w:tcPr>
          <w:p w14:paraId="1C69B811" w14:textId="71DD5E83" w:rsidR="00987EEE" w:rsidRPr="00223709" w:rsidRDefault="00E62147" w:rsidP="00987EEE">
            <w:pPr>
              <w:rPr>
                <w:rFonts w:asciiTheme="minorHAnsi" w:hAnsiTheme="minorHAnsi" w:cstheme="minorHAnsi"/>
                <w:sz w:val="20"/>
                <w:szCs w:val="20"/>
              </w:rPr>
            </w:pPr>
            <w:r w:rsidRPr="00F4356A">
              <w:rPr>
                <w:rFonts w:asciiTheme="minorHAnsi" w:hAnsiTheme="minorHAnsi" w:cstheme="minorHAnsi"/>
                <w:sz w:val="20"/>
                <w:szCs w:val="20"/>
              </w:rPr>
              <w:t>768</w:t>
            </w:r>
          </w:p>
        </w:tc>
        <w:tc>
          <w:tcPr>
            <w:tcW w:w="791" w:type="dxa"/>
            <w:shd w:val="clear" w:color="auto" w:fill="auto"/>
            <w:vAlign w:val="top"/>
          </w:tcPr>
          <w:p w14:paraId="1EC733FA" w14:textId="4493AEE8" w:rsidR="00987EEE" w:rsidRPr="00223709" w:rsidRDefault="00E62147" w:rsidP="00987EEE">
            <w:pPr>
              <w:rPr>
                <w:rFonts w:asciiTheme="minorHAnsi" w:hAnsiTheme="minorHAnsi" w:cstheme="minorHAnsi"/>
                <w:sz w:val="20"/>
                <w:szCs w:val="20"/>
              </w:rPr>
            </w:pPr>
            <w:r w:rsidRPr="00223709">
              <w:rPr>
                <w:rFonts w:asciiTheme="minorHAnsi" w:hAnsiTheme="minorHAnsi" w:cstheme="minorHAnsi"/>
                <w:sz w:val="20"/>
                <w:szCs w:val="20"/>
              </w:rPr>
              <w:t>6.570</w:t>
            </w:r>
          </w:p>
        </w:tc>
      </w:tr>
    </w:tbl>
    <w:p w14:paraId="14F996BF" w14:textId="1C7F0A16" w:rsidR="00B73E94" w:rsidRDefault="00B73E94" w:rsidP="009B53A7">
      <w:pPr>
        <w:pStyle w:val="Caption"/>
      </w:pPr>
      <w:bookmarkStart w:id="246" w:name="_Ref532199915"/>
      <w:r>
        <w:rPr>
          <w:noProof/>
        </w:rPr>
        <w:lastRenderedPageBreak/>
        <w:drawing>
          <wp:inline distT="0" distB="0" distL="0" distR="0" wp14:anchorId="43AF21B5" wp14:editId="36FD0868">
            <wp:extent cx="5349520" cy="307721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0752" cy="3077919"/>
                    </a:xfrm>
                    <a:prstGeom prst="rect">
                      <a:avLst/>
                    </a:prstGeom>
                    <a:noFill/>
                  </pic:spPr>
                </pic:pic>
              </a:graphicData>
            </a:graphic>
          </wp:inline>
        </w:drawing>
      </w:r>
    </w:p>
    <w:p w14:paraId="2BDE9682" w14:textId="358DEC29" w:rsidR="009B53A7" w:rsidRDefault="009B53A7" w:rsidP="009B53A7">
      <w:pPr>
        <w:pStyle w:val="Caption"/>
      </w:pPr>
      <w:bookmarkStart w:id="247" w:name="_Toc27396146"/>
      <w:r w:rsidRPr="0087537E">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rsidR="00C3092A">
        <w:noBreakHyphen/>
      </w:r>
      <w:fldSimple w:instr=" SEQ Slika \* ARABIC \s 1 ">
        <w:r w:rsidR="00154150">
          <w:rPr>
            <w:noProof/>
          </w:rPr>
          <w:t>6</w:t>
        </w:r>
      </w:fldSimple>
      <w:bookmarkEnd w:id="246"/>
      <w:r w:rsidRPr="0087537E">
        <w:t xml:space="preserve"> Očekivana snaga elektrana</w:t>
      </w:r>
      <w:bookmarkEnd w:id="247"/>
    </w:p>
    <w:p w14:paraId="29197EE7" w14:textId="7A70BFE4" w:rsidR="00A47F06" w:rsidRDefault="00F23526" w:rsidP="00223709">
      <w:pPr>
        <w:suppressAutoHyphens w:val="0"/>
      </w:pPr>
      <w:bookmarkStart w:id="248" w:name="_Hlk19871195"/>
      <w:r>
        <w:t>Ukupna snaga hidroelektrana u Hrvatskoj iznosi približno 2.200 MW</w:t>
      </w:r>
      <w:r w:rsidR="00A47F06">
        <w:rPr>
          <w:rStyle w:val="FootnoteReference"/>
        </w:rPr>
        <w:footnoteReference w:id="14"/>
      </w:r>
      <w:r>
        <w:t>. Od toga je 9 akumulacijskih ukupne snage 1.509 MW, 7 protočnih ukupne snage 407 MW</w:t>
      </w:r>
      <w:r w:rsidR="003C05B7">
        <w:t>, 36</w:t>
      </w:r>
      <w:r w:rsidR="00506FEB" w:rsidRPr="00506FEB">
        <w:t xml:space="preserve"> malih hidroelektrana ukupne snage 45</w:t>
      </w:r>
      <w:r w:rsidR="00506FEB">
        <w:t xml:space="preserve"> </w:t>
      </w:r>
      <w:r w:rsidR="00506FEB" w:rsidRPr="00506FEB">
        <w:t>MW</w:t>
      </w:r>
      <w:r>
        <w:t xml:space="preserve"> te jedna crpna hidroelektrana snage 276 MW u turbinskom radu odnosno 240 MW u generatorskom radu. </w:t>
      </w:r>
    </w:p>
    <w:p w14:paraId="6144A2C3" w14:textId="2A0F4B92" w:rsidR="00246785" w:rsidRDefault="005F0C62" w:rsidP="00223709">
      <w:pPr>
        <w:suppressAutoHyphens w:val="0"/>
        <w:spacing w:after="160" w:line="259" w:lineRule="auto"/>
        <w:contextualSpacing/>
      </w:pPr>
      <w:r>
        <w:t>D</w:t>
      </w:r>
      <w:r w:rsidR="00F23526">
        <w:t>o 2030. godine očekuje se izgradnja</w:t>
      </w:r>
      <w:r w:rsidR="005E0CDE">
        <w:t xml:space="preserve"> dvije do</w:t>
      </w:r>
      <w:r w:rsidR="00F23526">
        <w:t xml:space="preserve"> </w:t>
      </w:r>
      <w:r>
        <w:t>tri velike hidroelektrane</w:t>
      </w:r>
      <w:r w:rsidR="00F23526">
        <w:t xml:space="preserve">, nekoliko </w:t>
      </w:r>
      <w:r>
        <w:t xml:space="preserve">hidroelektrana </w:t>
      </w:r>
      <w:r w:rsidR="00F23526">
        <w:t>malih snaga</w:t>
      </w:r>
      <w:r w:rsidR="008A6A37">
        <w:t xml:space="preserve"> </w:t>
      </w:r>
      <w:r w:rsidR="008A6A37" w:rsidRPr="008A6A37">
        <w:t>(na vodotocima i u vodoopskrbnim sustavima)</w:t>
      </w:r>
      <w:r>
        <w:t xml:space="preserve"> te jedna crpna hidroelektrana. </w:t>
      </w:r>
      <w:r w:rsidR="00885A6B">
        <w:t>Revitalizacijom</w:t>
      </w:r>
      <w:r w:rsidR="008B5DF7">
        <w:t xml:space="preserve"> postojeći</w:t>
      </w:r>
      <w:r w:rsidR="00885A6B">
        <w:t>h</w:t>
      </w:r>
      <w:r w:rsidR="008B5DF7">
        <w:t xml:space="preserve"> postrojenja</w:t>
      </w:r>
      <w:r w:rsidR="00885A6B">
        <w:t xml:space="preserve"> </w:t>
      </w:r>
      <w:r w:rsidR="008B5DF7">
        <w:t>očekuje</w:t>
      </w:r>
      <w:r w:rsidR="00885A6B">
        <w:t xml:space="preserve"> se produljenje njihovog životnog vijeka</w:t>
      </w:r>
      <w:r w:rsidR="003C05B7">
        <w:t xml:space="preserve"> uz </w:t>
      </w:r>
      <w:r w:rsidR="00073EFE">
        <w:t>neznatno</w:t>
      </w:r>
      <w:r w:rsidR="008B5DF7">
        <w:t xml:space="preserve"> poveća</w:t>
      </w:r>
      <w:r w:rsidR="003C05B7">
        <w:t xml:space="preserve">nje </w:t>
      </w:r>
      <w:r w:rsidR="008B5DF7">
        <w:t>snag</w:t>
      </w:r>
      <w:r w:rsidR="003C05B7">
        <w:t>e</w:t>
      </w:r>
      <w:r w:rsidR="00ED1F3C">
        <w:t xml:space="preserve"> hidroelektrana</w:t>
      </w:r>
      <w:r w:rsidR="008B5DF7">
        <w:t>.</w:t>
      </w:r>
    </w:p>
    <w:bookmarkEnd w:id="248"/>
    <w:p w14:paraId="6432CCD1" w14:textId="7F0785B3" w:rsidR="002D2839" w:rsidRPr="00000A05" w:rsidRDefault="00544F2E" w:rsidP="00223709">
      <w:pPr>
        <w:pStyle w:val="Caption"/>
        <w:tabs>
          <w:tab w:val="clear" w:pos="1021"/>
        </w:tabs>
        <w:spacing w:before="240"/>
        <w:ind w:left="0" w:firstLine="0"/>
        <w:jc w:val="both"/>
        <w:rPr>
          <w:szCs w:val="32"/>
        </w:rPr>
      </w:pPr>
      <w:r w:rsidRPr="00223709">
        <w:rPr>
          <w:b w:val="0"/>
          <w:sz w:val="22"/>
          <w:szCs w:val="32"/>
        </w:rPr>
        <w:t xml:space="preserve">Potrebno je istaknuti kako su </w:t>
      </w:r>
      <w:r w:rsidR="00857183" w:rsidRPr="00223709">
        <w:rPr>
          <w:b w:val="0"/>
          <w:sz w:val="22"/>
          <w:szCs w:val="32"/>
        </w:rPr>
        <w:t>projicirane</w:t>
      </w:r>
      <w:r w:rsidR="00246785" w:rsidRPr="00223709">
        <w:rPr>
          <w:b w:val="0"/>
          <w:sz w:val="22"/>
          <w:szCs w:val="32"/>
        </w:rPr>
        <w:t xml:space="preserve"> instalirane</w:t>
      </w:r>
      <w:r w:rsidR="00857183" w:rsidRPr="00223709">
        <w:rPr>
          <w:b w:val="0"/>
          <w:sz w:val="22"/>
          <w:szCs w:val="32"/>
        </w:rPr>
        <w:t xml:space="preserve"> snage rezultat </w:t>
      </w:r>
      <w:r w:rsidR="0050663D">
        <w:rPr>
          <w:b w:val="0"/>
          <w:sz w:val="22"/>
          <w:szCs w:val="32"/>
        </w:rPr>
        <w:t xml:space="preserve">simulacijskog </w:t>
      </w:r>
      <w:r w:rsidR="00857183" w:rsidRPr="00223709">
        <w:rPr>
          <w:b w:val="0"/>
          <w:sz w:val="22"/>
          <w:szCs w:val="32"/>
        </w:rPr>
        <w:t xml:space="preserve">modela i kako se u provedbi </w:t>
      </w:r>
      <w:r w:rsidR="008F5DD6" w:rsidRPr="00223709">
        <w:rPr>
          <w:b w:val="0"/>
          <w:sz w:val="22"/>
          <w:szCs w:val="32"/>
        </w:rPr>
        <w:t xml:space="preserve">mogu očekivati odstupanja od izračunatih </w:t>
      </w:r>
      <w:r w:rsidR="00246785" w:rsidRPr="00223709">
        <w:rPr>
          <w:b w:val="0"/>
          <w:sz w:val="22"/>
          <w:szCs w:val="32"/>
        </w:rPr>
        <w:t xml:space="preserve">vrijednosti. </w:t>
      </w:r>
      <w:r w:rsidR="001C1508" w:rsidRPr="00223709">
        <w:rPr>
          <w:b w:val="0"/>
          <w:sz w:val="22"/>
          <w:szCs w:val="32"/>
        </w:rPr>
        <w:t xml:space="preserve">Napori RH bit će usmjereni ka ostvarivanju cilja u pogledu udjela OIE u bruto neposrednoj potrošnji, </w:t>
      </w:r>
      <w:r w:rsidR="00350E4D" w:rsidRPr="00223709">
        <w:rPr>
          <w:b w:val="0"/>
          <w:sz w:val="22"/>
          <w:szCs w:val="32"/>
        </w:rPr>
        <w:t xml:space="preserve">a može se očekivati kako će </w:t>
      </w:r>
      <w:r w:rsidR="00AC4338" w:rsidRPr="00223709">
        <w:rPr>
          <w:b w:val="0"/>
          <w:sz w:val="22"/>
          <w:szCs w:val="32"/>
        </w:rPr>
        <w:t>instalirana snaga u nekim teh</w:t>
      </w:r>
      <w:r w:rsidR="000465F6">
        <w:rPr>
          <w:b w:val="0"/>
          <w:sz w:val="22"/>
          <w:szCs w:val="32"/>
        </w:rPr>
        <w:t>n</w:t>
      </w:r>
      <w:r w:rsidR="00AC4338" w:rsidRPr="00223709">
        <w:rPr>
          <w:b w:val="0"/>
          <w:sz w:val="22"/>
          <w:szCs w:val="32"/>
        </w:rPr>
        <w:t>ologijama biti niža od projicirane, a u nekima viša.</w:t>
      </w:r>
      <w:r w:rsidR="00A66B82" w:rsidRPr="00223709">
        <w:rPr>
          <w:b w:val="0"/>
          <w:sz w:val="22"/>
          <w:szCs w:val="32"/>
        </w:rPr>
        <w:t xml:space="preserve"> </w:t>
      </w:r>
    </w:p>
    <w:p w14:paraId="455660B7" w14:textId="7353425B" w:rsidR="00E65053" w:rsidRPr="00BE1ECD" w:rsidRDefault="00E65053" w:rsidP="00840E2E">
      <w:pPr>
        <w:pStyle w:val="Heading3"/>
        <w:numPr>
          <w:ilvl w:val="0"/>
          <w:numId w:val="60"/>
        </w:numPr>
      </w:pPr>
      <w:r w:rsidRPr="00BE1ECD">
        <w:t>Procijenjene putanje potražnje za energijom biomase, raščlanjene na toplinsku i električnu energiju te promet, i putanje opskrbe biomasom po sirovini i podrijetlu (razlikovanje između domaće proizvodnje i uvoza). Za šumsku biomasu, ocjena njezina izvora i utjecaja na ponor u LULUCF</w:t>
      </w:r>
    </w:p>
    <w:p w14:paraId="420D2C98" w14:textId="622085B5" w:rsidR="00EF4BC6" w:rsidRDefault="00A13583" w:rsidP="00286B4C">
      <w:pPr>
        <w:pStyle w:val="Caption"/>
        <w:tabs>
          <w:tab w:val="clear" w:pos="1021"/>
        </w:tabs>
        <w:spacing w:before="240"/>
        <w:ind w:left="0" w:firstLine="0"/>
        <w:jc w:val="both"/>
      </w:pPr>
      <w:r w:rsidRPr="00223709">
        <w:rPr>
          <w:b w:val="0"/>
          <w:sz w:val="22"/>
          <w:szCs w:val="32"/>
        </w:rPr>
        <w:t xml:space="preserve">Procijenjenu putanju potražnje za </w:t>
      </w:r>
      <w:r w:rsidR="00A37A0C" w:rsidRPr="00223709">
        <w:rPr>
          <w:b w:val="0"/>
          <w:sz w:val="22"/>
          <w:szCs w:val="32"/>
        </w:rPr>
        <w:t>energijom biomase</w:t>
      </w:r>
      <w:r w:rsidRPr="00223709">
        <w:rPr>
          <w:b w:val="0"/>
          <w:sz w:val="22"/>
          <w:szCs w:val="32"/>
        </w:rPr>
        <w:t xml:space="preserve"> raščlanjen</w:t>
      </w:r>
      <w:r w:rsidR="00EF4BC6" w:rsidRPr="00223709">
        <w:rPr>
          <w:b w:val="0"/>
          <w:sz w:val="22"/>
          <w:szCs w:val="32"/>
        </w:rPr>
        <w:t xml:space="preserve">u na toplinsku i električnu energiju te na promet prikazuje </w:t>
      </w:r>
      <w:r w:rsidR="00277EFB" w:rsidRPr="00223709">
        <w:rPr>
          <w:b w:val="0"/>
          <w:szCs w:val="32"/>
        </w:rPr>
        <w:fldChar w:fldCharType="begin"/>
      </w:r>
      <w:r w:rsidR="00277EFB" w:rsidRPr="00223709">
        <w:rPr>
          <w:b w:val="0"/>
          <w:sz w:val="22"/>
          <w:szCs w:val="32"/>
        </w:rPr>
        <w:instrText xml:space="preserve"> REF _Ref11411223 \h </w:instrText>
      </w:r>
      <w:r w:rsidR="00347580" w:rsidRPr="00223709">
        <w:rPr>
          <w:b w:val="0"/>
          <w:sz w:val="22"/>
          <w:szCs w:val="32"/>
        </w:rPr>
        <w:instrText xml:space="preserve"> \* MERGEFORMAT </w:instrText>
      </w:r>
      <w:r w:rsidR="00277EFB" w:rsidRPr="00223709">
        <w:rPr>
          <w:b w:val="0"/>
          <w:szCs w:val="32"/>
        </w:rPr>
      </w:r>
      <w:r w:rsidR="00277EFB" w:rsidRPr="00223709">
        <w:rPr>
          <w:b w:val="0"/>
          <w:szCs w:val="32"/>
        </w:rPr>
        <w:fldChar w:fldCharType="separate"/>
      </w:r>
      <w:r w:rsidR="00154150" w:rsidRPr="00154150">
        <w:rPr>
          <w:b w:val="0"/>
          <w:sz w:val="22"/>
          <w:szCs w:val="32"/>
        </w:rPr>
        <w:t>Slika 2</w:t>
      </w:r>
      <w:r w:rsidR="00154150" w:rsidRPr="00154150">
        <w:rPr>
          <w:b w:val="0"/>
          <w:sz w:val="22"/>
          <w:szCs w:val="32"/>
        </w:rPr>
        <w:noBreakHyphen/>
        <w:t>7</w:t>
      </w:r>
      <w:r w:rsidR="00277EFB" w:rsidRPr="00223709">
        <w:rPr>
          <w:b w:val="0"/>
          <w:szCs w:val="32"/>
        </w:rPr>
        <w:fldChar w:fldCharType="end"/>
      </w:r>
      <w:r w:rsidR="00EF4BC6" w:rsidRPr="00223709">
        <w:rPr>
          <w:b w:val="0"/>
          <w:sz w:val="22"/>
          <w:szCs w:val="32"/>
        </w:rPr>
        <w:t>.</w:t>
      </w:r>
    </w:p>
    <w:p w14:paraId="522B2921" w14:textId="3D5206BD" w:rsidR="00EF4BC6" w:rsidRDefault="009263D3" w:rsidP="00725326">
      <w:pPr>
        <w:suppressAutoHyphens w:val="0"/>
        <w:spacing w:after="160" w:line="259" w:lineRule="auto"/>
        <w:contextualSpacing/>
        <w:jc w:val="center"/>
      </w:pPr>
      <w:r w:rsidRPr="009263D3">
        <w:rPr>
          <w:noProof/>
        </w:rPr>
        <w:lastRenderedPageBreak/>
        <w:drawing>
          <wp:inline distT="0" distB="0" distL="0" distR="0" wp14:anchorId="59E2E7E1" wp14:editId="7362F6A9">
            <wp:extent cx="4959705" cy="2771857"/>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0457" cy="2777866"/>
                    </a:xfrm>
                    <a:prstGeom prst="rect">
                      <a:avLst/>
                    </a:prstGeom>
                    <a:noFill/>
                    <a:ln>
                      <a:noFill/>
                    </a:ln>
                  </pic:spPr>
                </pic:pic>
              </a:graphicData>
            </a:graphic>
          </wp:inline>
        </w:drawing>
      </w:r>
    </w:p>
    <w:p w14:paraId="51335543" w14:textId="084ACDD6" w:rsidR="00EF4BC6" w:rsidRDefault="00EF4BC6" w:rsidP="00EF4BC6">
      <w:pPr>
        <w:pStyle w:val="Caption"/>
      </w:pPr>
      <w:bookmarkStart w:id="250" w:name="_Ref11411223"/>
      <w:bookmarkStart w:id="251" w:name="_Toc27396147"/>
      <w:r w:rsidRPr="0087537E">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rsidR="00C3092A">
        <w:noBreakHyphen/>
      </w:r>
      <w:fldSimple w:instr=" SEQ Slika \* ARABIC \s 1 ">
        <w:r w:rsidR="00154150">
          <w:rPr>
            <w:noProof/>
          </w:rPr>
          <w:t>7</w:t>
        </w:r>
      </w:fldSimple>
      <w:bookmarkEnd w:id="250"/>
      <w:r w:rsidRPr="0087537E">
        <w:t xml:space="preserve"> </w:t>
      </w:r>
      <w:r>
        <w:t xml:space="preserve">Procijenjena putanja potražnje za </w:t>
      </w:r>
      <w:r w:rsidR="00A37A0C">
        <w:t>energijom biomase</w:t>
      </w:r>
      <w:bookmarkEnd w:id="251"/>
    </w:p>
    <w:p w14:paraId="39F8E07A" w14:textId="1A348368" w:rsidR="00EF4BC6" w:rsidRPr="00000A05" w:rsidRDefault="00995CA9" w:rsidP="00223709">
      <w:pPr>
        <w:pStyle w:val="Caption"/>
        <w:tabs>
          <w:tab w:val="clear" w:pos="1021"/>
        </w:tabs>
        <w:spacing w:before="240"/>
        <w:ind w:left="0" w:firstLine="0"/>
        <w:jc w:val="both"/>
        <w:rPr>
          <w:szCs w:val="32"/>
        </w:rPr>
      </w:pPr>
      <w:r w:rsidRPr="00223709">
        <w:rPr>
          <w:b w:val="0"/>
          <w:sz w:val="22"/>
          <w:szCs w:val="32"/>
        </w:rPr>
        <w:t>Trenutno je u izradi studija „Analiza svih podataka i postojeće bilance biomase te davanja mišljenja sa svrhom unapređenja istih“, u okviru koje se provodi detaljna analiza potrošnje biomase i njenog porijekla. Fokus analize je na proizvodnji i korištenju biomase</w:t>
      </w:r>
      <w:r w:rsidR="00E53352">
        <w:rPr>
          <w:b w:val="0"/>
          <w:sz w:val="22"/>
          <w:szCs w:val="32"/>
        </w:rPr>
        <w:t xml:space="preserve"> za proizvodnju energije</w:t>
      </w:r>
      <w:r w:rsidRPr="00223709">
        <w:rPr>
          <w:b w:val="0"/>
          <w:sz w:val="22"/>
          <w:szCs w:val="32"/>
        </w:rPr>
        <w:t>. Rezultati se očekuju krajem 2019.</w:t>
      </w:r>
      <w:r w:rsidR="00CA4463" w:rsidRPr="00223709">
        <w:rPr>
          <w:b w:val="0"/>
          <w:sz w:val="22"/>
          <w:szCs w:val="32"/>
        </w:rPr>
        <w:t xml:space="preserve"> godine.</w:t>
      </w:r>
    </w:p>
    <w:p w14:paraId="70729B6C" w14:textId="77777777" w:rsidR="00DA21CA" w:rsidRPr="00BE1ECD" w:rsidRDefault="00DA21CA" w:rsidP="00840E2E">
      <w:pPr>
        <w:pStyle w:val="Heading3"/>
        <w:numPr>
          <w:ilvl w:val="0"/>
          <w:numId w:val="60"/>
        </w:numPr>
      </w:pPr>
      <w:r w:rsidRPr="00BE1ECD">
        <w:t>Ako je primjenjivo, druge nacionalne putanje i ciljeve, uključujući dugoročne i sektorske (npr. udio obnovljive energije u centraliziranom grijanju, upotreba obnovljive energije u zgradama, obnovljiva energija koju su proizveli gradovi, zajednice obnovljive energije i potrošači vlastite obnovljive energije, energija dobivena iz mulja dobivenog obradom otpadnih voda)</w:t>
      </w:r>
    </w:p>
    <w:p w14:paraId="688AA11C" w14:textId="65626F7D" w:rsidR="008F0F53" w:rsidRPr="0049697F" w:rsidRDefault="00CF78D9" w:rsidP="00223709">
      <w:pPr>
        <w:pStyle w:val="Caption"/>
        <w:tabs>
          <w:tab w:val="clear" w:pos="1021"/>
        </w:tabs>
        <w:spacing w:before="240"/>
        <w:ind w:left="0" w:firstLine="0"/>
        <w:jc w:val="both"/>
        <w:rPr>
          <w:b w:val="0"/>
          <w:bCs/>
          <w:sz w:val="22"/>
          <w:szCs w:val="22"/>
        </w:rPr>
      </w:pPr>
      <w:r w:rsidRPr="0049697F">
        <w:rPr>
          <w:b w:val="0"/>
          <w:bCs/>
          <w:sz w:val="22"/>
          <w:szCs w:val="22"/>
        </w:rPr>
        <w:t>Prema novoj Direktivi o promicanju uporabe energije iz obnovljivih izvora 2018/2001 od 11. prosinca 2018., sve države članice se obvezuju povećati udio OIE za grijanje i hlađenje za 1,3 postotna boda godišnje</w:t>
      </w:r>
      <w:r w:rsidR="002B68B2" w:rsidRPr="0049697F">
        <w:rPr>
          <w:b w:val="0"/>
          <w:bCs/>
          <w:sz w:val="22"/>
          <w:szCs w:val="22"/>
        </w:rPr>
        <w:t>, odnosno 1,1 postotna boda godišnje ako se</w:t>
      </w:r>
      <w:r w:rsidR="0049024F" w:rsidRPr="0049697F">
        <w:rPr>
          <w:b w:val="0"/>
          <w:bCs/>
          <w:sz w:val="22"/>
          <w:szCs w:val="22"/>
        </w:rPr>
        <w:t xml:space="preserve"> ne koristi otpadna toplina,</w:t>
      </w:r>
      <w:r w:rsidRPr="0049697F">
        <w:rPr>
          <w:b w:val="0"/>
          <w:bCs/>
          <w:sz w:val="22"/>
          <w:szCs w:val="22"/>
        </w:rPr>
        <w:t xml:space="preserve"> </w:t>
      </w:r>
      <w:r w:rsidR="00184BC3" w:rsidRPr="0049697F">
        <w:rPr>
          <w:b w:val="0"/>
          <w:bCs/>
          <w:sz w:val="22"/>
          <w:szCs w:val="22"/>
        </w:rPr>
        <w:t xml:space="preserve">kao godišnji prosjek </w:t>
      </w:r>
      <w:r w:rsidR="002B22FF" w:rsidRPr="0049697F">
        <w:rPr>
          <w:b w:val="0"/>
          <w:bCs/>
          <w:sz w:val="22"/>
          <w:szCs w:val="22"/>
        </w:rPr>
        <w:t xml:space="preserve">za razdoblje </w:t>
      </w:r>
      <w:r w:rsidRPr="0049697F">
        <w:rPr>
          <w:b w:val="0"/>
          <w:bCs/>
          <w:sz w:val="22"/>
          <w:szCs w:val="22"/>
        </w:rPr>
        <w:t xml:space="preserve">od 2021. do 2025. godine i </w:t>
      </w:r>
      <w:r w:rsidR="002B22FF" w:rsidRPr="0049697F">
        <w:rPr>
          <w:b w:val="0"/>
          <w:bCs/>
          <w:sz w:val="22"/>
          <w:szCs w:val="22"/>
        </w:rPr>
        <w:t xml:space="preserve">razdoblje </w:t>
      </w:r>
      <w:r w:rsidRPr="0049697F">
        <w:rPr>
          <w:b w:val="0"/>
          <w:bCs/>
          <w:sz w:val="22"/>
          <w:szCs w:val="22"/>
        </w:rPr>
        <w:t>od 2026. do 2030. godine, u odnosu na ovaj udio u 2020. godini, izraženo kao udio finalne potrošnje a prema metodologiji propisanoj u istom dokumentu.</w:t>
      </w:r>
    </w:p>
    <w:p w14:paraId="28BBF848" w14:textId="6D40DB64" w:rsidR="00CF78D9" w:rsidRPr="0049697F" w:rsidRDefault="00CF78D9" w:rsidP="00223709">
      <w:pPr>
        <w:pStyle w:val="Caption"/>
        <w:tabs>
          <w:tab w:val="clear" w:pos="1021"/>
        </w:tabs>
        <w:spacing w:before="240"/>
        <w:ind w:left="0" w:firstLine="0"/>
        <w:jc w:val="both"/>
        <w:rPr>
          <w:b w:val="0"/>
          <w:bCs/>
          <w:sz w:val="22"/>
          <w:szCs w:val="22"/>
        </w:rPr>
      </w:pPr>
      <w:r w:rsidRPr="0049697F">
        <w:rPr>
          <w:b w:val="0"/>
          <w:bCs/>
          <w:sz w:val="22"/>
          <w:szCs w:val="22"/>
        </w:rPr>
        <w:t>Fokusirajući se na sektor daljinskog grijanja i hlađenja, povećanje udjela OIE se zaht</w:t>
      </w:r>
      <w:r w:rsidR="006D385E">
        <w:rPr>
          <w:b w:val="0"/>
          <w:bCs/>
          <w:sz w:val="22"/>
          <w:szCs w:val="22"/>
        </w:rPr>
        <w:t>i</w:t>
      </w:r>
      <w:r w:rsidRPr="0049697F">
        <w:rPr>
          <w:b w:val="0"/>
          <w:bCs/>
          <w:sz w:val="22"/>
          <w:szCs w:val="22"/>
        </w:rPr>
        <w:t xml:space="preserve">jeva na razini od 1,0 postotna boda godišnje u </w:t>
      </w:r>
      <w:r w:rsidR="00A560B9">
        <w:rPr>
          <w:b w:val="0"/>
          <w:bCs/>
          <w:sz w:val="22"/>
          <w:szCs w:val="22"/>
        </w:rPr>
        <w:t>razdoblj</w:t>
      </w:r>
      <w:r w:rsidRPr="0049697F">
        <w:rPr>
          <w:b w:val="0"/>
          <w:bCs/>
          <w:sz w:val="22"/>
          <w:szCs w:val="22"/>
        </w:rPr>
        <w:t xml:space="preserve">u od 2021. do 2025. godine i u </w:t>
      </w:r>
      <w:r w:rsidR="00A560B9">
        <w:rPr>
          <w:b w:val="0"/>
          <w:bCs/>
          <w:sz w:val="22"/>
          <w:szCs w:val="22"/>
        </w:rPr>
        <w:t>razdoblj</w:t>
      </w:r>
      <w:r w:rsidRPr="0049697F">
        <w:rPr>
          <w:b w:val="0"/>
          <w:bCs/>
          <w:sz w:val="22"/>
          <w:szCs w:val="22"/>
        </w:rPr>
        <w:t xml:space="preserve">u od 2026. do 2030. godine, u odnosu na ovaj udio u 2020. godini, izraženo kao udio finalne potrošnje a prema metodologiji propisanoj u istom dokumentu. Ali, </w:t>
      </w:r>
      <w:r w:rsidR="007B6A99" w:rsidRPr="0049697F">
        <w:rPr>
          <w:b w:val="0"/>
          <w:bCs/>
          <w:sz w:val="22"/>
          <w:szCs w:val="22"/>
        </w:rPr>
        <w:t xml:space="preserve">ovaj uvjet se smatra ispunjenim </w:t>
      </w:r>
      <w:r w:rsidR="007B6A99">
        <w:rPr>
          <w:b w:val="0"/>
          <w:bCs/>
          <w:sz w:val="22"/>
          <w:szCs w:val="22"/>
        </w:rPr>
        <w:t>i ako</w:t>
      </w:r>
      <w:r w:rsidRPr="0049697F">
        <w:rPr>
          <w:b w:val="0"/>
          <w:bCs/>
          <w:sz w:val="22"/>
          <w:szCs w:val="22"/>
        </w:rPr>
        <w:t xml:space="preserve"> proizvodnja toplinske energije u kogeneracijskoj proizvodnji </w:t>
      </w:r>
      <w:r w:rsidR="007B6A99">
        <w:rPr>
          <w:b w:val="0"/>
          <w:bCs/>
          <w:sz w:val="22"/>
          <w:szCs w:val="22"/>
        </w:rPr>
        <w:t>iznosi više</w:t>
      </w:r>
      <w:r w:rsidRPr="0049697F">
        <w:rPr>
          <w:b w:val="0"/>
          <w:bCs/>
          <w:sz w:val="22"/>
          <w:szCs w:val="22"/>
        </w:rPr>
        <w:t xml:space="preserve"> od 60%. </w:t>
      </w:r>
      <w:r w:rsidR="000E550C">
        <w:rPr>
          <w:b w:val="0"/>
          <w:bCs/>
          <w:sz w:val="22"/>
          <w:szCs w:val="22"/>
        </w:rPr>
        <w:t xml:space="preserve">Kako </w:t>
      </w:r>
      <w:r w:rsidRPr="0049697F">
        <w:rPr>
          <w:b w:val="0"/>
          <w:bCs/>
          <w:sz w:val="22"/>
          <w:szCs w:val="22"/>
        </w:rPr>
        <w:t>projicirani udio kogeneracijske proizvodnje u hrvatskim sustavima daljinskog grijanja i hlađenja iznosi 79%, Hrvatska ispunjava uvjet iz članka 24. Direktive o promicanju uporabe energije iz obnovljivih izvora.</w:t>
      </w:r>
    </w:p>
    <w:p w14:paraId="59DAF681" w14:textId="51CFFC33" w:rsidR="00884F6F" w:rsidRPr="00000A05" w:rsidRDefault="00CF78D9" w:rsidP="00223709">
      <w:pPr>
        <w:pStyle w:val="Caption"/>
        <w:tabs>
          <w:tab w:val="clear" w:pos="1021"/>
        </w:tabs>
        <w:spacing w:before="240"/>
        <w:ind w:left="0" w:firstLine="0"/>
        <w:jc w:val="both"/>
        <w:rPr>
          <w:szCs w:val="32"/>
        </w:rPr>
      </w:pPr>
      <w:r w:rsidRPr="0049697F">
        <w:rPr>
          <w:b w:val="0"/>
          <w:bCs/>
          <w:sz w:val="22"/>
          <w:szCs w:val="22"/>
        </w:rPr>
        <w:lastRenderedPageBreak/>
        <w:t xml:space="preserve">Također, povećanje energetske učinkovitosti u sustavima daljinskog grijanja i hlađenja se već provodi u razdoblju do 2020. godine u sklopu Programa dodjele državnih potpora za povećanje učinkovitosti centraliziranih toplinskih sustava, a u okviru Operativnog programa „Konkurentnost i kohezija 2014.-2020.“, prioritetne osi 4 „Promicanje energetske učinkovitosti </w:t>
      </w:r>
      <w:r w:rsidRPr="00223709">
        <w:rPr>
          <w:b w:val="0"/>
          <w:sz w:val="22"/>
          <w:szCs w:val="32"/>
        </w:rPr>
        <w:t xml:space="preserve">i obnovljivih izvora energije“, specifičnog cilja 4c3 „Povećanje učinkovitosti sustava toplinarstva“ kroz mehanizam Integralnih teritorijalnih ulaganja. Očekivani učinci su smanjenje gubitaka u distribucijskim sustavima za relativna 4% boda na razini čitave Hrvatske do kraja 2023. godine, te ušteda primarne energije od 1 PJ u istom razdoblju. </w:t>
      </w:r>
      <w:r w:rsidR="000E550C">
        <w:rPr>
          <w:b w:val="0"/>
          <w:sz w:val="22"/>
          <w:szCs w:val="32"/>
        </w:rPr>
        <w:t xml:space="preserve">Kako </w:t>
      </w:r>
      <w:r w:rsidRPr="00223709">
        <w:rPr>
          <w:b w:val="0"/>
          <w:sz w:val="22"/>
          <w:szCs w:val="32"/>
        </w:rPr>
        <w:t>je planirano razdoblje nakon 2020. godine, ove uštede će biti relevantne s obzirom na zahtjeve Direktivi o promicanju uporabe energije iz obnovljivih izvora, a očekuje se kako će se na smanjenju gubitaka u sustavima daljinskog grijanja i hlađenja, uz pomoć ESI fondova, nastaviti raditi i u razdoblju do 2030. godine.</w:t>
      </w:r>
    </w:p>
    <w:p w14:paraId="50B07FD2" w14:textId="33878306" w:rsidR="00C25DE3" w:rsidRDefault="00C25DE3" w:rsidP="00223709">
      <w:pPr>
        <w:pStyle w:val="Caption"/>
        <w:tabs>
          <w:tab w:val="clear" w:pos="1021"/>
        </w:tabs>
        <w:spacing w:before="240"/>
        <w:ind w:left="0" w:firstLine="0"/>
        <w:jc w:val="both"/>
        <w:rPr>
          <w:b w:val="0"/>
          <w:sz w:val="22"/>
          <w:szCs w:val="32"/>
        </w:rPr>
      </w:pPr>
      <w:r w:rsidRPr="00223709">
        <w:rPr>
          <w:b w:val="0"/>
          <w:sz w:val="22"/>
          <w:szCs w:val="32"/>
        </w:rPr>
        <w:t xml:space="preserve">U pogledu proizvodnje električne energije za vlastite potrebe, najveći doprinos se očekuje od fotonaponskih sustava integriranih na građevinama. </w:t>
      </w:r>
      <w:r w:rsidR="00BE590E" w:rsidRPr="00223709">
        <w:rPr>
          <w:b w:val="0"/>
          <w:sz w:val="22"/>
          <w:szCs w:val="32"/>
        </w:rPr>
        <w:t xml:space="preserve">Prema projekcijama, očekuje se da će </w:t>
      </w:r>
      <w:r w:rsidRPr="00223709">
        <w:rPr>
          <w:b w:val="0"/>
          <w:sz w:val="22"/>
          <w:szCs w:val="32"/>
        </w:rPr>
        <w:t>2030</w:t>
      </w:r>
      <w:r w:rsidR="00BE590E" w:rsidRPr="00223709">
        <w:rPr>
          <w:b w:val="0"/>
          <w:sz w:val="22"/>
          <w:szCs w:val="32"/>
        </w:rPr>
        <w:t xml:space="preserve">. godine instalirana snaga takvih sustava iznositi </w:t>
      </w:r>
      <w:r w:rsidR="0013467F" w:rsidRPr="00223709">
        <w:rPr>
          <w:b w:val="0"/>
          <w:sz w:val="22"/>
          <w:szCs w:val="32"/>
        </w:rPr>
        <w:t>oko 300 MW.</w:t>
      </w:r>
    </w:p>
    <w:p w14:paraId="500373E8" w14:textId="77777777" w:rsidR="00BE2714" w:rsidRDefault="00FF26DF" w:rsidP="00FF26DF">
      <w:r>
        <w:t>U kontekstu niskougljične tranzicije bit će posebno važno voditi računa o pravednoj energetskoj tranziciji kao i potrebi regionalne dodane vrijednosti u sklopu te tranzicije, posebice kad se radi o specifičnim područjima, poput otoka. Na otocima proizvodnja električne energije na mjestu potrošnje, i to iz OIE, znači manja ulaganja u infrastrukturu i veću sigurnost sustava, dok istovremeno pomaže u ostvarivanju nacionalnih ciljeva vezanih uz udio obnovljivih izvora energije u cjelokupnoj proizvodnji. Temelj ovih nastojanja predstavlja Deklaracija o čistoj energiji na EU otocima koja je prepoznala važnost europskih otoka na putu k dekarbonizaciji gospodarstva i ulozi koju bi mogli odigrati sukladno Pariškom sporazumu. Hrvatska je, kao potpisnica ovog dokumenta omogućila usmjerenost na proces dekarbonizacije na otocima.</w:t>
      </w:r>
    </w:p>
    <w:p w14:paraId="70BA4CD3" w14:textId="51B22E84" w:rsidR="00B77924" w:rsidRDefault="00B77924" w:rsidP="00FF26DF">
      <w:r w:rsidRPr="00B77924">
        <w:t>Hrvatska je preuzela ulogu u istraživanju opcija za nastavak rada na Deklaraciji tijekom predsjedavanja EU-om u prvoj polovici 2020. Glavni cilj će biti upravo definiranje potreba vezanih uz energetsku tranziciju i prelazak na čistu energiju vodeći pri tom računa da se na otocima promovira samoopskrba (kako kod pojedinaca, tako i kod većih projekata) kao i rješenja koja neće dodatno opterećivati sustav prijenosa i koji će osigurati opskrbu električnom energiju u svakoj situaciji. Osim toga, na otocima treba dodatno promovirati i čisti prijevoz, a povezano s tim i brodske linije koje će omogućiti bolju povezanost otoka i kopna uz smanjenje emisija CO</w:t>
      </w:r>
      <w:r w:rsidRPr="00286B4C">
        <w:rPr>
          <w:vertAlign w:val="subscript"/>
        </w:rPr>
        <w:t>2</w:t>
      </w:r>
      <w:r w:rsidRPr="00B77924">
        <w:t xml:space="preserve"> vezanih uz brodski prijevoz.</w:t>
      </w:r>
    </w:p>
    <w:p w14:paraId="3BAF59BE" w14:textId="199D36F6" w:rsidR="006218A6" w:rsidRDefault="006218A6" w:rsidP="00FF26DF">
      <w:r w:rsidRPr="006218A6">
        <w:t xml:space="preserve">Zbog toga je važno da se mjere predložene planom posebno podrede otocima i potrebama koje otoci imaju po pitanju proizvodnje električne energije, energetske učinkovitosti i dekarbonizacije. Ovo je iznimno važno jer se na taj način potiče samoopskrba i stvaranje </w:t>
      </w:r>
      <w:r w:rsidR="004E63F9">
        <w:t xml:space="preserve">zajednica obnovljive energije i </w:t>
      </w:r>
      <w:r w:rsidRPr="006218A6">
        <w:t>energetskih zajednica u sredinama koje su geografski odvojene od ostatka zemlje, a ujedno se rješava problem povećanj</w:t>
      </w:r>
      <w:r w:rsidR="002A649A">
        <w:t>a</w:t>
      </w:r>
      <w:r w:rsidRPr="006218A6">
        <w:t xml:space="preserve"> potrošnje električne energije tijekom ljetnih mjeseci. No, najvažnije je da se promoviranjem mjera na otocima smanjuje </w:t>
      </w:r>
      <w:r w:rsidR="003C5EAE">
        <w:t>pritisak</w:t>
      </w:r>
      <w:r w:rsidRPr="006218A6">
        <w:t xml:space="preserve"> na sustav prijenosa energije, a ujedno se stvaraju pilot projekti koji se nakon toga mogu primjenjivati i na druge dijelove Republike Hrvatske. Također, osim navedenih mjera, koje će posebnu pozornost staviti upravo na otoke, potrebno je za potrebe stvaranja čiste energije na </w:t>
      </w:r>
      <w:r w:rsidRPr="006218A6">
        <w:lastRenderedPageBreak/>
        <w:t xml:space="preserve">otocima i njihove dekarbonizacije </w:t>
      </w:r>
      <w:r w:rsidR="00754BA5">
        <w:t>pronaći</w:t>
      </w:r>
      <w:r w:rsidRPr="006218A6">
        <w:t xml:space="preserve"> dodatn</w:t>
      </w:r>
      <w:r w:rsidR="00754BA5">
        <w:t>e</w:t>
      </w:r>
      <w:r w:rsidRPr="006218A6">
        <w:t xml:space="preserve"> izvor</w:t>
      </w:r>
      <w:r w:rsidR="00754BA5">
        <w:t>e</w:t>
      </w:r>
      <w:r w:rsidRPr="006218A6">
        <w:t xml:space="preserve"> financiranja koji će olakšati tranziciju otoka ka čistoj energiji i ubrzati njihovu dekarbonizaciju vodeći računa pri tome o stanovnicima.</w:t>
      </w:r>
    </w:p>
    <w:p w14:paraId="0BF2ACD9" w14:textId="6CC9C185" w:rsidR="00FF0CF3" w:rsidRDefault="004E40FF" w:rsidP="00FF0CF3">
      <w:pPr>
        <w:pStyle w:val="Heading2"/>
      </w:pPr>
      <w:bookmarkStart w:id="252" w:name="_Toc531935141"/>
      <w:bookmarkStart w:id="253" w:name="_Toc531945091"/>
      <w:bookmarkStart w:id="254" w:name="_Toc6302348"/>
      <w:bookmarkStart w:id="255" w:name="_Toc27396104"/>
      <w:r>
        <w:t>2.2</w:t>
      </w:r>
      <w:r>
        <w:tab/>
      </w:r>
      <w:r w:rsidR="00FF0CF3">
        <w:t>Dimenzija: energetska učinkovitost</w:t>
      </w:r>
      <w:bookmarkEnd w:id="252"/>
      <w:bookmarkEnd w:id="253"/>
      <w:bookmarkEnd w:id="254"/>
      <w:bookmarkEnd w:id="255"/>
      <w:r w:rsidR="00FF0CF3">
        <w:t xml:space="preserve"> </w:t>
      </w:r>
    </w:p>
    <w:p w14:paraId="79EEE505" w14:textId="77777777" w:rsidR="00441BDE" w:rsidRPr="00D42EB3" w:rsidRDefault="00441BDE" w:rsidP="00840E2E">
      <w:pPr>
        <w:pStyle w:val="Heading3"/>
        <w:numPr>
          <w:ilvl w:val="0"/>
          <w:numId w:val="61"/>
        </w:numPr>
      </w:pPr>
      <w:r w:rsidRPr="00D42EB3">
        <w:t xml:space="preserve">Elementi iz članka 4. točke (b) </w:t>
      </w:r>
    </w:p>
    <w:p w14:paraId="352653E7" w14:textId="77777777" w:rsidR="00FF0CF3" w:rsidRPr="00215760" w:rsidRDefault="00FF0CF3" w:rsidP="00725326">
      <w:pPr>
        <w:shd w:val="clear" w:color="auto" w:fill="DEEAF6" w:themeFill="accent1" w:themeFillTint="33"/>
        <w:rPr>
          <w:i/>
          <w:highlight w:val="yellow"/>
        </w:rPr>
      </w:pPr>
      <w:r w:rsidRPr="00215760">
        <w:rPr>
          <w:i/>
        </w:rPr>
        <w:t xml:space="preserve">Okvirni nacionalni cilj povećanja energetske učinkovitosti </w:t>
      </w:r>
      <w:r w:rsidRPr="00215760">
        <w:rPr>
          <w:b/>
          <w:i/>
          <w:u w:val="single"/>
        </w:rPr>
        <w:t>do 2030. godine</w:t>
      </w:r>
      <w:r w:rsidRPr="00215760">
        <w:rPr>
          <w:i/>
        </w:rPr>
        <w:t xml:space="preserve"> prema </w:t>
      </w:r>
      <w:r w:rsidRPr="007528BF">
        <w:rPr>
          <w:i/>
        </w:rPr>
        <w:t>Članku 3. Direktive 2012/27/EU [novelacija Direktive]</w:t>
      </w:r>
    </w:p>
    <w:p w14:paraId="11C2663B" w14:textId="5AFFE0E8" w:rsidR="009E7700" w:rsidRDefault="00627611" w:rsidP="00627611">
      <w:r>
        <w:t>Nacionaln</w:t>
      </w:r>
      <w:r w:rsidR="007B1BD9">
        <w:t>e</w:t>
      </w:r>
      <w:r>
        <w:t xml:space="preserve"> ciljev</w:t>
      </w:r>
      <w:r w:rsidR="00BB714D">
        <w:t>e</w:t>
      </w:r>
      <w:r>
        <w:t xml:space="preserve"> povećanja energetske učinkovitosti do 2030. godine </w:t>
      </w:r>
      <w:r w:rsidR="009E7700">
        <w:t xml:space="preserve">prikazuje </w:t>
      </w:r>
      <w:r w:rsidR="009E7700">
        <w:fldChar w:fldCharType="begin"/>
      </w:r>
      <w:r w:rsidR="009E7700">
        <w:instrText xml:space="preserve"> REF _Ref531090111 \h </w:instrText>
      </w:r>
      <w:r w:rsidR="009E7700">
        <w:fldChar w:fldCharType="separate"/>
      </w:r>
      <w:r w:rsidR="00154150">
        <w:t xml:space="preserve">Tablica </w:t>
      </w:r>
      <w:r w:rsidR="00154150">
        <w:rPr>
          <w:noProof/>
        </w:rPr>
        <w:t>2</w:t>
      </w:r>
      <w:r w:rsidR="00154150">
        <w:t>–</w:t>
      </w:r>
      <w:r w:rsidR="00154150">
        <w:rPr>
          <w:noProof/>
        </w:rPr>
        <w:t>7</w:t>
      </w:r>
      <w:r w:rsidR="009E7700">
        <w:fldChar w:fldCharType="end"/>
      </w:r>
      <w:r w:rsidR="009E7700">
        <w:t>.</w:t>
      </w:r>
    </w:p>
    <w:p w14:paraId="436684F1" w14:textId="3D5CAA56" w:rsidR="00483668" w:rsidRDefault="00483668" w:rsidP="00F874C2">
      <w:pPr>
        <w:pStyle w:val="Caption"/>
      </w:pPr>
      <w:bookmarkStart w:id="256" w:name="_Ref531090111"/>
      <w:bookmarkStart w:id="257" w:name="_Toc27396211"/>
      <w:r>
        <w:t xml:space="preserve">Tablica </w:t>
      </w:r>
      <w:fldSimple w:instr=" STYLEREF 1 \s ">
        <w:r w:rsidR="00154150">
          <w:rPr>
            <w:noProof/>
          </w:rPr>
          <w:t>2</w:t>
        </w:r>
      </w:fldSimple>
      <w:r w:rsidR="00562DF0">
        <w:t>–</w:t>
      </w:r>
      <w:fldSimple w:instr=" SEQ Tablica \* ARABIC \s 1 ">
        <w:r w:rsidR="00154150">
          <w:rPr>
            <w:noProof/>
          </w:rPr>
          <w:t>7</w:t>
        </w:r>
      </w:fldSimple>
      <w:bookmarkEnd w:id="256"/>
      <w:r>
        <w:t xml:space="preserve">: </w:t>
      </w:r>
      <w:r w:rsidR="00861C49">
        <w:t xml:space="preserve">Okvirni nacionalni ciljevi energetske učinkovitosti </w:t>
      </w:r>
      <w:r w:rsidR="0074740C">
        <w:t>u 2030. godini</w:t>
      </w:r>
      <w:bookmarkEnd w:id="257"/>
    </w:p>
    <w:tbl>
      <w:tblPr>
        <w:tblStyle w:val="Svijetlatablicareetke11"/>
        <w:tblW w:w="5000" w:type="pct"/>
        <w:tblLook w:val="04A0" w:firstRow="1" w:lastRow="0" w:firstColumn="1" w:lastColumn="0" w:noHBand="0" w:noVBand="1"/>
      </w:tblPr>
      <w:tblGrid>
        <w:gridCol w:w="3848"/>
        <w:gridCol w:w="2722"/>
        <w:gridCol w:w="2490"/>
      </w:tblGrid>
      <w:tr w:rsidR="00FD6B3A" w:rsidRPr="00F874C2" w14:paraId="75CF1404" w14:textId="5BAE4A40"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174E290B" w14:textId="256547CF" w:rsidR="00FD6B3A" w:rsidRPr="00EF2873" w:rsidRDefault="00FD6B3A" w:rsidP="00F874C2">
            <w:pPr>
              <w:spacing w:before="0" w:after="0" w:line="240" w:lineRule="auto"/>
              <w:rPr>
                <w:rFonts w:cstheme="minorHAnsi"/>
                <w:sz w:val="20"/>
                <w:szCs w:val="20"/>
              </w:rPr>
            </w:pPr>
            <w:r w:rsidRPr="00EF2873">
              <w:rPr>
                <w:rFonts w:cstheme="minorHAnsi"/>
                <w:sz w:val="20"/>
                <w:szCs w:val="20"/>
              </w:rPr>
              <w:t>Ciljevi 2030.</w:t>
            </w:r>
          </w:p>
        </w:tc>
        <w:tc>
          <w:tcPr>
            <w:tcW w:w="0" w:type="pct"/>
            <w:shd w:val="clear" w:color="auto" w:fill="DEEAF6" w:themeFill="accent1" w:themeFillTint="33"/>
          </w:tcPr>
          <w:p w14:paraId="4C739A9A" w14:textId="6480A28A" w:rsidR="0082221E" w:rsidRPr="00F2078C" w:rsidRDefault="0082221E" w:rsidP="00F207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2078C">
              <w:rPr>
                <w:rFonts w:cstheme="minorHAnsi"/>
                <w:sz w:val="20"/>
                <w:szCs w:val="20"/>
              </w:rPr>
              <w:t>PJ</w:t>
            </w:r>
          </w:p>
        </w:tc>
        <w:tc>
          <w:tcPr>
            <w:tcW w:w="0" w:type="pct"/>
            <w:shd w:val="clear" w:color="auto" w:fill="DEEAF6" w:themeFill="accent1" w:themeFillTint="33"/>
          </w:tcPr>
          <w:p w14:paraId="48635782" w14:textId="1C109FCF" w:rsidR="00FD6B3A" w:rsidRPr="00EF2873" w:rsidRDefault="0082221E" w:rsidP="00F2078C">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F2078C">
              <w:rPr>
                <w:rFonts w:cstheme="minorHAnsi"/>
                <w:sz w:val="20"/>
                <w:szCs w:val="20"/>
              </w:rPr>
              <w:t>Mten</w:t>
            </w:r>
          </w:p>
        </w:tc>
      </w:tr>
      <w:tr w:rsidR="00485E0E" w:rsidRPr="00F874C2" w14:paraId="609FAE9C" w14:textId="77D6F1C1" w:rsidTr="0082221E">
        <w:tc>
          <w:tcPr>
            <w:cnfStyle w:val="001000000000" w:firstRow="0" w:lastRow="0" w:firstColumn="1" w:lastColumn="0" w:oddVBand="0" w:evenVBand="0" w:oddHBand="0" w:evenHBand="0" w:firstRowFirstColumn="0" w:firstRowLastColumn="0" w:lastRowFirstColumn="0" w:lastRowLastColumn="0"/>
            <w:tcW w:w="2124" w:type="pct"/>
          </w:tcPr>
          <w:p w14:paraId="243FCB73" w14:textId="691AD32A" w:rsidR="00485E0E" w:rsidRPr="00EF2873" w:rsidRDefault="008A2956" w:rsidP="00485E0E">
            <w:pPr>
              <w:spacing w:before="0" w:after="0" w:line="240" w:lineRule="auto"/>
              <w:rPr>
                <w:rFonts w:cstheme="minorHAnsi"/>
                <w:sz w:val="20"/>
                <w:szCs w:val="20"/>
              </w:rPr>
            </w:pPr>
            <w:r>
              <w:rPr>
                <w:sz w:val="20"/>
                <w:szCs w:val="20"/>
              </w:rPr>
              <w:t>Potrošnja primarne energije</w:t>
            </w:r>
            <w:r w:rsidR="00D17AD4">
              <w:rPr>
                <w:rStyle w:val="FootnoteReference"/>
                <w:szCs w:val="20"/>
              </w:rPr>
              <w:footnoteReference w:id="15"/>
            </w:r>
          </w:p>
        </w:tc>
        <w:tc>
          <w:tcPr>
            <w:tcW w:w="1502" w:type="pct"/>
          </w:tcPr>
          <w:p w14:paraId="6E201A59" w14:textId="455B2A3A" w:rsidR="00485E0E" w:rsidRPr="00EF2873" w:rsidRDefault="00485E0E" w:rsidP="00485E0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25326">
              <w:rPr>
                <w:sz w:val="20"/>
                <w:szCs w:val="20"/>
              </w:rPr>
              <w:t>344,</w:t>
            </w:r>
            <w:r w:rsidR="003546C9">
              <w:rPr>
                <w:sz w:val="20"/>
                <w:szCs w:val="20"/>
              </w:rPr>
              <w:t>38</w:t>
            </w:r>
          </w:p>
        </w:tc>
        <w:tc>
          <w:tcPr>
            <w:tcW w:w="1374" w:type="pct"/>
          </w:tcPr>
          <w:p w14:paraId="0C0563F7" w14:textId="556FBFB9" w:rsidR="00485E0E" w:rsidRPr="00EF2873" w:rsidRDefault="002F3B94" w:rsidP="00485E0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F3B94">
              <w:rPr>
                <w:rFonts w:cstheme="minorHAnsi"/>
                <w:sz w:val="20"/>
                <w:szCs w:val="20"/>
              </w:rPr>
              <w:t>8</w:t>
            </w:r>
            <w:r>
              <w:rPr>
                <w:rFonts w:cstheme="minorHAnsi"/>
                <w:sz w:val="20"/>
                <w:szCs w:val="20"/>
              </w:rPr>
              <w:t>,</w:t>
            </w:r>
            <w:r w:rsidR="006246F5" w:rsidRPr="002F3B94">
              <w:rPr>
                <w:rFonts w:cstheme="minorHAnsi"/>
                <w:sz w:val="20"/>
                <w:szCs w:val="20"/>
              </w:rPr>
              <w:t>2</w:t>
            </w:r>
            <w:r w:rsidR="006246F5">
              <w:rPr>
                <w:rFonts w:cstheme="minorHAnsi"/>
                <w:sz w:val="20"/>
                <w:szCs w:val="20"/>
              </w:rPr>
              <w:t>3</w:t>
            </w:r>
          </w:p>
        </w:tc>
      </w:tr>
      <w:tr w:rsidR="00FD6B3A" w:rsidRPr="00F874C2" w14:paraId="07FF6014" w14:textId="536A6C2D" w:rsidTr="0082221E">
        <w:tc>
          <w:tcPr>
            <w:cnfStyle w:val="001000000000" w:firstRow="0" w:lastRow="0" w:firstColumn="1" w:lastColumn="0" w:oddVBand="0" w:evenVBand="0" w:oddHBand="0" w:evenHBand="0" w:firstRowFirstColumn="0" w:firstRowLastColumn="0" w:lastRowFirstColumn="0" w:lastRowLastColumn="0"/>
            <w:tcW w:w="2124" w:type="pct"/>
          </w:tcPr>
          <w:p w14:paraId="68FA6E43" w14:textId="3DB95716" w:rsidR="00FD6B3A" w:rsidRPr="00EF2873" w:rsidRDefault="00FD6B3A" w:rsidP="00C64E27">
            <w:pPr>
              <w:spacing w:before="0" w:after="0" w:line="240" w:lineRule="auto"/>
              <w:rPr>
                <w:rFonts w:cstheme="minorHAnsi"/>
                <w:sz w:val="20"/>
                <w:szCs w:val="20"/>
              </w:rPr>
            </w:pPr>
            <w:r w:rsidRPr="00EF2873">
              <w:rPr>
                <w:rFonts w:cstheme="minorHAnsi"/>
                <w:sz w:val="20"/>
                <w:szCs w:val="20"/>
              </w:rPr>
              <w:t>Neposredna potrošnja</w:t>
            </w:r>
            <w:r w:rsidR="00A63E46">
              <w:rPr>
                <w:rFonts w:cstheme="minorHAnsi"/>
                <w:sz w:val="20"/>
                <w:szCs w:val="20"/>
              </w:rPr>
              <w:t xml:space="preserve"> energije</w:t>
            </w:r>
          </w:p>
        </w:tc>
        <w:tc>
          <w:tcPr>
            <w:tcW w:w="1502" w:type="pct"/>
          </w:tcPr>
          <w:p w14:paraId="3C043203" w14:textId="47E92AF9" w:rsidR="00FD6B3A" w:rsidRPr="00EF2873" w:rsidRDefault="00FD6B3A" w:rsidP="007D108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D1087">
              <w:rPr>
                <w:rFonts w:cstheme="minorHAnsi"/>
                <w:sz w:val="20"/>
                <w:szCs w:val="20"/>
              </w:rPr>
              <w:t>286</w:t>
            </w:r>
            <w:r>
              <w:rPr>
                <w:rFonts w:cstheme="minorHAnsi"/>
                <w:sz w:val="20"/>
                <w:szCs w:val="20"/>
              </w:rPr>
              <w:t>,</w:t>
            </w:r>
            <w:r w:rsidRPr="007D1087">
              <w:rPr>
                <w:rFonts w:cstheme="minorHAnsi"/>
                <w:sz w:val="20"/>
                <w:szCs w:val="20"/>
              </w:rPr>
              <w:t>91</w:t>
            </w:r>
          </w:p>
        </w:tc>
        <w:tc>
          <w:tcPr>
            <w:tcW w:w="1374" w:type="pct"/>
          </w:tcPr>
          <w:p w14:paraId="34C4CD12" w14:textId="0194D3E9" w:rsidR="00FD6B3A" w:rsidRPr="00EF2873" w:rsidRDefault="00FD6B3A" w:rsidP="009107C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3C53">
              <w:rPr>
                <w:rFonts w:cstheme="minorHAnsi"/>
                <w:sz w:val="20"/>
                <w:szCs w:val="20"/>
              </w:rPr>
              <w:t>6</w:t>
            </w:r>
            <w:r>
              <w:rPr>
                <w:rFonts w:cstheme="minorHAnsi"/>
                <w:sz w:val="20"/>
                <w:szCs w:val="20"/>
              </w:rPr>
              <w:t>,</w:t>
            </w:r>
            <w:r w:rsidRPr="00DD3C53">
              <w:rPr>
                <w:rFonts w:cstheme="minorHAnsi"/>
                <w:sz w:val="20"/>
                <w:szCs w:val="20"/>
              </w:rPr>
              <w:t>85</w:t>
            </w:r>
          </w:p>
        </w:tc>
      </w:tr>
    </w:tbl>
    <w:p w14:paraId="452F4A25" w14:textId="2D7C1E71" w:rsidR="007D7BFF" w:rsidRDefault="007D7BFF" w:rsidP="007D7BFF">
      <w:pPr>
        <w:spacing w:before="0" w:line="240" w:lineRule="auto"/>
        <w:jc w:val="center"/>
        <w:rPr>
          <w:i/>
          <w:sz w:val="20"/>
        </w:rPr>
      </w:pPr>
      <w:r w:rsidRPr="004D0C10">
        <w:rPr>
          <w:i/>
          <w:sz w:val="20"/>
        </w:rPr>
        <w:t xml:space="preserve">Izvor: </w:t>
      </w:r>
      <w:r w:rsidRPr="007D7BFF">
        <w:rPr>
          <w:i/>
          <w:sz w:val="20"/>
        </w:rPr>
        <w:t>Analize i podloge za izradu energetske strategije Republike Hrvatske</w:t>
      </w:r>
    </w:p>
    <w:p w14:paraId="78D867A4" w14:textId="030786E8" w:rsidR="005F7396" w:rsidRPr="005F7396" w:rsidRDefault="001071E5" w:rsidP="00D11B75">
      <w:r>
        <w:fldChar w:fldCharType="begin"/>
      </w:r>
      <w:r>
        <w:instrText xml:space="preserve"> REF _Ref20467578 \h </w:instrText>
      </w:r>
      <w:r>
        <w:fldChar w:fldCharType="separate"/>
      </w:r>
      <w:r w:rsidR="00154150" w:rsidRPr="00976062">
        <w:t xml:space="preserve">Slika </w:t>
      </w:r>
      <w:r w:rsidR="00154150">
        <w:rPr>
          <w:noProof/>
        </w:rPr>
        <w:t>2</w:t>
      </w:r>
      <w:r w:rsidR="00154150">
        <w:noBreakHyphen/>
      </w:r>
      <w:r w:rsidR="00154150">
        <w:rPr>
          <w:noProof/>
        </w:rPr>
        <w:t>8</w:t>
      </w:r>
      <w:r w:rsidR="00154150" w:rsidRPr="00976062">
        <w:t>.</w:t>
      </w:r>
      <w:r>
        <w:fldChar w:fldCharType="end"/>
      </w:r>
      <w:r w:rsidR="00326826" w:rsidRPr="00124D30">
        <w:t xml:space="preserve"> </w:t>
      </w:r>
      <w:r w:rsidR="00791163" w:rsidRPr="00124D30">
        <w:t xml:space="preserve">prikazuje </w:t>
      </w:r>
      <w:r w:rsidR="00D95F7A" w:rsidRPr="00124D30">
        <w:t xml:space="preserve">kretanje potrošnje </w:t>
      </w:r>
      <w:r w:rsidR="00602693" w:rsidRPr="00124D30">
        <w:t xml:space="preserve">energije po godinama </w:t>
      </w:r>
      <w:r w:rsidR="00791163" w:rsidRPr="00124D30">
        <w:t xml:space="preserve">u razdoblju od 2020. do 2030. godine. </w:t>
      </w:r>
      <w:bookmarkStart w:id="258" w:name="_Ref531094076"/>
    </w:p>
    <w:p w14:paraId="69C154B7" w14:textId="014E3805" w:rsidR="006D4E28" w:rsidRPr="00FA6A48" w:rsidRDefault="005166A5" w:rsidP="00286B4C">
      <w:pPr>
        <w:jc w:val="center"/>
      </w:pPr>
      <w:bookmarkStart w:id="259" w:name="_Ref531696238"/>
      <w:r w:rsidRPr="005166A5">
        <w:rPr>
          <w:noProof/>
        </w:rPr>
        <w:drawing>
          <wp:inline distT="0" distB="0" distL="0" distR="0" wp14:anchorId="70C2AEEC" wp14:editId="1F755A2D">
            <wp:extent cx="5098694" cy="3357718"/>
            <wp:effectExtent l="0" t="0" r="698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9049" cy="3364537"/>
                    </a:xfrm>
                    <a:prstGeom prst="rect">
                      <a:avLst/>
                    </a:prstGeom>
                    <a:noFill/>
                    <a:ln>
                      <a:noFill/>
                    </a:ln>
                  </pic:spPr>
                </pic:pic>
              </a:graphicData>
            </a:graphic>
          </wp:inline>
        </w:drawing>
      </w:r>
    </w:p>
    <w:p w14:paraId="3F5920FD" w14:textId="41FFCCDE" w:rsidR="00414E40" w:rsidRDefault="00414E40" w:rsidP="00414E40">
      <w:pPr>
        <w:pStyle w:val="Caption"/>
      </w:pPr>
      <w:bookmarkStart w:id="260" w:name="_Ref20467578"/>
      <w:bookmarkStart w:id="261" w:name="_Toc27396148"/>
      <w:bookmarkEnd w:id="258"/>
      <w:bookmarkEnd w:id="259"/>
      <w:r w:rsidRPr="00976062">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rsidR="00C3092A">
        <w:noBreakHyphen/>
      </w:r>
      <w:fldSimple w:instr=" SEQ Slika \* ARABIC \s 1 ">
        <w:r w:rsidR="00154150">
          <w:rPr>
            <w:noProof/>
          </w:rPr>
          <w:t>8</w:t>
        </w:r>
      </w:fldSimple>
      <w:r w:rsidRPr="00976062">
        <w:t>.</w:t>
      </w:r>
      <w:bookmarkEnd w:id="260"/>
      <w:r w:rsidRPr="00976062">
        <w:t xml:space="preserve"> Kretanje potrošnje energije u razdoblju od 2020. do 2030. godine</w:t>
      </w:r>
      <w:bookmarkEnd w:id="261"/>
    </w:p>
    <w:p w14:paraId="19A70A75" w14:textId="77777777" w:rsidR="00E16791" w:rsidRPr="00215760" w:rsidRDefault="00E16791" w:rsidP="00725326">
      <w:pPr>
        <w:shd w:val="clear" w:color="auto" w:fill="DEEAF6" w:themeFill="accent1" w:themeFillTint="33"/>
        <w:rPr>
          <w:i/>
        </w:rPr>
      </w:pPr>
      <w:r>
        <w:rPr>
          <w:i/>
        </w:rPr>
        <w:lastRenderedPageBreak/>
        <w:t>Kumulativne uštede energije u razdoblju 2021.-2030. u skladu s člankom 7(1)(b) o sustavu obveza energetske učinkovitosti Direktive 2</w:t>
      </w:r>
      <w:r w:rsidRPr="008B2A19">
        <w:rPr>
          <w:i/>
        </w:rPr>
        <w:t xml:space="preserve">018/2002 </w:t>
      </w:r>
      <w:r>
        <w:rPr>
          <w:i/>
        </w:rPr>
        <w:t>o izmjeni</w:t>
      </w:r>
      <w:r w:rsidRPr="008B2A19">
        <w:rPr>
          <w:i/>
        </w:rPr>
        <w:t xml:space="preserve"> Dire</w:t>
      </w:r>
      <w:r>
        <w:rPr>
          <w:i/>
        </w:rPr>
        <w:t>k</w:t>
      </w:r>
      <w:r w:rsidRPr="008B2A19">
        <w:rPr>
          <w:i/>
        </w:rPr>
        <w:t xml:space="preserve">tive 2012/27/EU </w:t>
      </w:r>
      <w:r>
        <w:rPr>
          <w:i/>
        </w:rPr>
        <w:t>o energetskoj učinkovitosti</w:t>
      </w:r>
    </w:p>
    <w:p w14:paraId="6101C54F" w14:textId="6B83EDAB" w:rsidR="009F62CE" w:rsidRPr="00223709" w:rsidRDefault="005C4092" w:rsidP="009F62CE">
      <w:bookmarkStart w:id="262" w:name="_Hlk531628646"/>
      <w:r w:rsidRPr="00223709">
        <w:rPr>
          <w:rFonts w:cs="Arial"/>
        </w:rPr>
        <w:t>Pr</w:t>
      </w:r>
      <w:r w:rsidR="009F62CE" w:rsidRPr="00223709">
        <w:rPr>
          <w:rFonts w:cs="Arial"/>
        </w:rPr>
        <w:t>ikazani cilj kumulativnih ušteda u iznosu od</w:t>
      </w:r>
      <w:r w:rsidR="009F62CE" w:rsidRPr="00223709">
        <w:rPr>
          <w:rFonts w:cs="Arial"/>
          <w:b/>
        </w:rPr>
        <w:t xml:space="preserve"> 1.</w:t>
      </w:r>
      <w:r w:rsidR="00AD3CDB" w:rsidRPr="00223709">
        <w:rPr>
          <w:rFonts w:cs="Arial"/>
          <w:b/>
        </w:rPr>
        <w:t>289</w:t>
      </w:r>
      <w:r w:rsidR="009F62CE" w:rsidRPr="00223709">
        <w:rPr>
          <w:rFonts w:cs="Arial"/>
          <w:b/>
        </w:rPr>
        <w:t>,</w:t>
      </w:r>
      <w:r w:rsidR="00005D6E" w:rsidRPr="00223709">
        <w:rPr>
          <w:rFonts w:cs="Arial"/>
          <w:b/>
        </w:rPr>
        <w:t xml:space="preserve">8 </w:t>
      </w:r>
      <w:r w:rsidR="009F62CE" w:rsidRPr="00223709">
        <w:rPr>
          <w:rFonts w:cs="Arial"/>
          <w:b/>
        </w:rPr>
        <w:t>kt</w:t>
      </w:r>
      <w:r w:rsidR="00B730E8" w:rsidRPr="00223709">
        <w:rPr>
          <w:rFonts w:cs="Arial"/>
          <w:b/>
        </w:rPr>
        <w:t>oe</w:t>
      </w:r>
      <w:r w:rsidR="009F62CE" w:rsidRPr="00223709">
        <w:rPr>
          <w:rFonts w:cs="Arial"/>
          <w:b/>
        </w:rPr>
        <w:t xml:space="preserve"> (</w:t>
      </w:r>
      <w:r w:rsidR="00005D6E" w:rsidRPr="00223709">
        <w:rPr>
          <w:rFonts w:cs="Arial"/>
          <w:b/>
        </w:rPr>
        <w:t>54</w:t>
      </w:r>
      <w:r w:rsidR="009F62CE" w:rsidRPr="00223709">
        <w:rPr>
          <w:rFonts w:cs="Arial"/>
          <w:b/>
        </w:rPr>
        <w:t xml:space="preserve">,0 PJ) </w:t>
      </w:r>
      <w:r w:rsidR="009F62CE" w:rsidRPr="00223709">
        <w:rPr>
          <w:rFonts w:cs="Arial"/>
        </w:rPr>
        <w:t xml:space="preserve">izračunat je uz pretpostavljeno maksimalno dopušteno umanjenje cilja od 35%, u skladu s člankom 7.(3a), točkom (b). Direktive </w:t>
      </w:r>
      <w:r w:rsidR="00E16791" w:rsidRPr="00223709">
        <w:rPr>
          <w:rFonts w:cs="Arial"/>
        </w:rPr>
        <w:t>2018/2002</w:t>
      </w:r>
      <w:r w:rsidR="009F62CE" w:rsidRPr="00223709">
        <w:rPr>
          <w:rFonts w:cs="Arial"/>
        </w:rPr>
        <w:t xml:space="preserve">. </w:t>
      </w:r>
    </w:p>
    <w:p w14:paraId="3744E6B0" w14:textId="655A1978" w:rsidR="006562D4" w:rsidRDefault="006562D4" w:rsidP="000B4471">
      <w:pPr>
        <w:pStyle w:val="Caption"/>
      </w:pPr>
      <w:bookmarkStart w:id="263" w:name="_Ref20466957"/>
      <w:bookmarkStart w:id="264" w:name="_Toc27396212"/>
      <w:bookmarkEnd w:id="262"/>
      <w:r>
        <w:t xml:space="preserve">Tablica </w:t>
      </w:r>
      <w:fldSimple w:instr=" STYLEREF 1 \s ">
        <w:r w:rsidR="00154150">
          <w:rPr>
            <w:noProof/>
          </w:rPr>
          <w:t>2</w:t>
        </w:r>
      </w:fldSimple>
      <w:r w:rsidR="00562DF0">
        <w:t>–</w:t>
      </w:r>
      <w:fldSimple w:instr=" SEQ Tablica \* ARABIC \s 1 ">
        <w:r w:rsidR="00154150">
          <w:rPr>
            <w:noProof/>
          </w:rPr>
          <w:t>8</w:t>
        </w:r>
      </w:fldSimple>
      <w:bookmarkEnd w:id="263"/>
      <w:r>
        <w:t>: Okvirni nacionalni ciljevi energetske učinkovitosti u 2030. godini</w:t>
      </w:r>
      <w:bookmarkEnd w:id="264"/>
    </w:p>
    <w:tbl>
      <w:tblPr>
        <w:tblStyle w:val="Svijetlatablicareetke11"/>
        <w:tblW w:w="5000" w:type="pct"/>
        <w:tblLayout w:type="fixed"/>
        <w:tblLook w:val="04A0" w:firstRow="1" w:lastRow="0" w:firstColumn="1" w:lastColumn="0" w:noHBand="0" w:noVBand="1"/>
      </w:tblPr>
      <w:tblGrid>
        <w:gridCol w:w="4105"/>
        <w:gridCol w:w="1276"/>
        <w:gridCol w:w="1160"/>
        <w:gridCol w:w="1218"/>
        <w:gridCol w:w="1301"/>
      </w:tblGrid>
      <w:tr w:rsidR="006562D4" w:rsidRPr="00F874C2" w14:paraId="2B1D6D12" w14:textId="77777777" w:rsidTr="000B44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pct"/>
            <w:shd w:val="clear" w:color="auto" w:fill="DEEAF6" w:themeFill="accent1" w:themeFillTint="33"/>
          </w:tcPr>
          <w:p w14:paraId="6952B6FE" w14:textId="77777777" w:rsidR="006562D4" w:rsidRPr="00EF2873" w:rsidRDefault="006562D4" w:rsidP="00D8469D">
            <w:pPr>
              <w:spacing w:before="0" w:after="0" w:line="240" w:lineRule="auto"/>
              <w:rPr>
                <w:rFonts w:cstheme="minorHAnsi"/>
                <w:sz w:val="20"/>
                <w:szCs w:val="20"/>
              </w:rPr>
            </w:pPr>
            <w:r w:rsidRPr="00EF2873">
              <w:rPr>
                <w:rFonts w:cstheme="minorHAnsi"/>
                <w:sz w:val="20"/>
                <w:szCs w:val="20"/>
              </w:rPr>
              <w:t>Ciljevi 2030.</w:t>
            </w:r>
          </w:p>
        </w:tc>
        <w:tc>
          <w:tcPr>
            <w:tcW w:w="1344" w:type="pct"/>
            <w:gridSpan w:val="2"/>
            <w:shd w:val="clear" w:color="auto" w:fill="DEEAF6" w:themeFill="accent1" w:themeFillTint="33"/>
          </w:tcPr>
          <w:p w14:paraId="25430BF0" w14:textId="217F2043" w:rsidR="006562D4" w:rsidRPr="00EF2873" w:rsidRDefault="003401E6" w:rsidP="00D8469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Godišnje uštede</w:t>
            </w:r>
          </w:p>
        </w:tc>
        <w:tc>
          <w:tcPr>
            <w:tcW w:w="1390" w:type="pct"/>
            <w:gridSpan w:val="2"/>
            <w:shd w:val="clear" w:color="auto" w:fill="DEEAF6" w:themeFill="accent1" w:themeFillTint="33"/>
          </w:tcPr>
          <w:p w14:paraId="182DAB9D" w14:textId="25055E58" w:rsidR="006562D4" w:rsidRPr="00EF2873" w:rsidRDefault="003401E6" w:rsidP="00D8469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Kumulativne uštede</w:t>
            </w:r>
          </w:p>
        </w:tc>
      </w:tr>
      <w:tr w:rsidR="006562D4" w:rsidRPr="00F874C2" w14:paraId="1BA21E5B" w14:textId="77777777" w:rsidTr="000B4471">
        <w:tc>
          <w:tcPr>
            <w:cnfStyle w:val="001000000000" w:firstRow="0" w:lastRow="0" w:firstColumn="1" w:lastColumn="0" w:oddVBand="0" w:evenVBand="0" w:oddHBand="0" w:evenHBand="0" w:firstRowFirstColumn="0" w:firstRowLastColumn="0" w:lastRowFirstColumn="0" w:lastRowLastColumn="0"/>
            <w:tcW w:w="2265" w:type="pct"/>
          </w:tcPr>
          <w:p w14:paraId="22EE0682" w14:textId="77777777" w:rsidR="006562D4" w:rsidRPr="00EF2873" w:rsidRDefault="006562D4" w:rsidP="00D8469D">
            <w:pPr>
              <w:spacing w:before="0" w:after="0" w:line="240" w:lineRule="auto"/>
              <w:rPr>
                <w:rFonts w:cstheme="minorHAnsi"/>
                <w:sz w:val="20"/>
                <w:szCs w:val="20"/>
              </w:rPr>
            </w:pPr>
          </w:p>
        </w:tc>
        <w:tc>
          <w:tcPr>
            <w:tcW w:w="704" w:type="pct"/>
          </w:tcPr>
          <w:p w14:paraId="207C8132" w14:textId="77777777" w:rsidR="006562D4" w:rsidRPr="00F2078C" w:rsidRDefault="006562D4"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2078C">
              <w:rPr>
                <w:rFonts w:cstheme="minorHAnsi"/>
                <w:b/>
                <w:sz w:val="20"/>
                <w:szCs w:val="20"/>
              </w:rPr>
              <w:t>PJ</w:t>
            </w:r>
          </w:p>
        </w:tc>
        <w:tc>
          <w:tcPr>
            <w:tcW w:w="640" w:type="pct"/>
          </w:tcPr>
          <w:p w14:paraId="63751814" w14:textId="4DDFA228" w:rsidR="006562D4" w:rsidRPr="00F2078C" w:rsidRDefault="003401E6"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k</w:t>
            </w:r>
            <w:r w:rsidR="006562D4" w:rsidRPr="00F2078C">
              <w:rPr>
                <w:rFonts w:cstheme="minorHAnsi"/>
                <w:b/>
                <w:sz w:val="20"/>
                <w:szCs w:val="20"/>
              </w:rPr>
              <w:t>t</w:t>
            </w:r>
            <w:r w:rsidR="00B730E8">
              <w:rPr>
                <w:rFonts w:cstheme="minorHAnsi"/>
                <w:b/>
                <w:sz w:val="20"/>
                <w:szCs w:val="20"/>
              </w:rPr>
              <w:t>oe</w:t>
            </w:r>
          </w:p>
        </w:tc>
        <w:tc>
          <w:tcPr>
            <w:tcW w:w="672" w:type="pct"/>
          </w:tcPr>
          <w:p w14:paraId="1E29AAF5" w14:textId="77777777" w:rsidR="006562D4" w:rsidRPr="00F2078C" w:rsidRDefault="006562D4"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2078C">
              <w:rPr>
                <w:rFonts w:cstheme="minorHAnsi"/>
                <w:b/>
                <w:sz w:val="20"/>
                <w:szCs w:val="20"/>
              </w:rPr>
              <w:t>PJ</w:t>
            </w:r>
          </w:p>
        </w:tc>
        <w:tc>
          <w:tcPr>
            <w:tcW w:w="718" w:type="pct"/>
          </w:tcPr>
          <w:p w14:paraId="3F903DDD" w14:textId="175CABEE" w:rsidR="006562D4" w:rsidRPr="00F2078C" w:rsidRDefault="003401E6" w:rsidP="00D8469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k</w:t>
            </w:r>
            <w:r w:rsidR="006562D4" w:rsidRPr="00F2078C">
              <w:rPr>
                <w:rFonts w:cstheme="minorHAnsi"/>
                <w:b/>
                <w:sz w:val="20"/>
                <w:szCs w:val="20"/>
              </w:rPr>
              <w:t>t</w:t>
            </w:r>
            <w:r w:rsidR="00B730E8">
              <w:rPr>
                <w:rFonts w:cstheme="minorHAnsi"/>
                <w:b/>
                <w:sz w:val="20"/>
                <w:szCs w:val="20"/>
              </w:rPr>
              <w:t>oe</w:t>
            </w:r>
          </w:p>
        </w:tc>
      </w:tr>
      <w:tr w:rsidR="006562D4" w:rsidRPr="00F874C2" w14:paraId="05327EA9" w14:textId="77777777" w:rsidTr="000B4471">
        <w:tc>
          <w:tcPr>
            <w:cnfStyle w:val="001000000000" w:firstRow="0" w:lastRow="0" w:firstColumn="1" w:lastColumn="0" w:oddVBand="0" w:evenVBand="0" w:oddHBand="0" w:evenHBand="0" w:firstRowFirstColumn="0" w:firstRowLastColumn="0" w:lastRowFirstColumn="0" w:lastRowLastColumn="0"/>
            <w:tcW w:w="2265" w:type="pct"/>
          </w:tcPr>
          <w:p w14:paraId="35733F15" w14:textId="6B7AE0FB" w:rsidR="006562D4" w:rsidRPr="00EF2873" w:rsidRDefault="004A6AB3" w:rsidP="00D8469D">
            <w:pPr>
              <w:spacing w:before="0" w:after="0" w:line="240" w:lineRule="auto"/>
              <w:rPr>
                <w:rFonts w:cstheme="minorHAnsi"/>
                <w:sz w:val="20"/>
                <w:szCs w:val="20"/>
              </w:rPr>
            </w:pPr>
            <w:r>
              <w:rPr>
                <w:rFonts w:cstheme="minorHAnsi"/>
                <w:sz w:val="20"/>
                <w:szCs w:val="20"/>
              </w:rPr>
              <w:t>Prema članku 7(1)(b)</w:t>
            </w:r>
          </w:p>
        </w:tc>
        <w:tc>
          <w:tcPr>
            <w:tcW w:w="704" w:type="pct"/>
          </w:tcPr>
          <w:p w14:paraId="2147E10C" w14:textId="41CD59B6" w:rsidR="006562D4" w:rsidRPr="00EF2873" w:rsidRDefault="00DB3089"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2,2</w:t>
            </w:r>
          </w:p>
        </w:tc>
        <w:tc>
          <w:tcPr>
            <w:tcW w:w="640" w:type="pct"/>
          </w:tcPr>
          <w:p w14:paraId="5D9149B9" w14:textId="16CDA985" w:rsidR="006562D4" w:rsidRPr="00EF2873" w:rsidRDefault="00DB3089"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53,7</w:t>
            </w:r>
          </w:p>
        </w:tc>
        <w:tc>
          <w:tcPr>
            <w:tcW w:w="672" w:type="pct"/>
          </w:tcPr>
          <w:p w14:paraId="29C6192C" w14:textId="21D9EF0B" w:rsidR="006562D4" w:rsidRPr="00EF2873" w:rsidRDefault="00DB3089"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123</w:t>
            </w:r>
            <w:r w:rsidR="002E19A1" w:rsidRPr="002E19A1">
              <w:rPr>
                <w:rFonts w:cstheme="minorHAnsi"/>
                <w:sz w:val="20"/>
                <w:szCs w:val="20"/>
              </w:rPr>
              <w:t>,</w:t>
            </w:r>
            <w:r>
              <w:rPr>
                <w:rFonts w:cstheme="minorHAnsi"/>
                <w:sz w:val="20"/>
                <w:szCs w:val="20"/>
              </w:rPr>
              <w:t>6</w:t>
            </w:r>
          </w:p>
        </w:tc>
        <w:tc>
          <w:tcPr>
            <w:tcW w:w="718" w:type="pct"/>
          </w:tcPr>
          <w:p w14:paraId="2FC07418" w14:textId="3367CCE1" w:rsidR="006562D4" w:rsidRPr="00EF2873" w:rsidRDefault="00DB3089"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w:t>
            </w:r>
            <w:r w:rsidR="002E19A1" w:rsidRPr="001B1308">
              <w:rPr>
                <w:rFonts w:cstheme="minorHAnsi"/>
                <w:sz w:val="20"/>
                <w:szCs w:val="20"/>
              </w:rPr>
              <w:t>.</w:t>
            </w:r>
            <w:r w:rsidRPr="001B1308">
              <w:rPr>
                <w:rFonts w:cstheme="minorHAnsi"/>
                <w:sz w:val="20"/>
                <w:szCs w:val="20"/>
              </w:rPr>
              <w:t>9</w:t>
            </w:r>
            <w:r>
              <w:rPr>
                <w:rFonts w:cstheme="minorHAnsi"/>
                <w:sz w:val="20"/>
                <w:szCs w:val="20"/>
              </w:rPr>
              <w:t>5</w:t>
            </w:r>
            <w:r w:rsidRPr="001B1308">
              <w:rPr>
                <w:rFonts w:cstheme="minorHAnsi"/>
                <w:sz w:val="20"/>
                <w:szCs w:val="20"/>
              </w:rPr>
              <w:t>3</w:t>
            </w:r>
            <w:r w:rsidR="002E19A1" w:rsidRPr="001B1308">
              <w:rPr>
                <w:rFonts w:cstheme="minorHAnsi"/>
                <w:sz w:val="20"/>
                <w:szCs w:val="20"/>
              </w:rPr>
              <w:t>,</w:t>
            </w:r>
            <w:r>
              <w:rPr>
                <w:rFonts w:cstheme="minorHAnsi"/>
                <w:sz w:val="20"/>
                <w:szCs w:val="20"/>
              </w:rPr>
              <w:t>1</w:t>
            </w:r>
          </w:p>
        </w:tc>
      </w:tr>
      <w:tr w:rsidR="006562D4" w:rsidRPr="00F874C2" w14:paraId="0A668563" w14:textId="77777777" w:rsidTr="000B4471">
        <w:tc>
          <w:tcPr>
            <w:cnfStyle w:val="001000000000" w:firstRow="0" w:lastRow="0" w:firstColumn="1" w:lastColumn="0" w:oddVBand="0" w:evenVBand="0" w:oddHBand="0" w:evenHBand="0" w:firstRowFirstColumn="0" w:firstRowLastColumn="0" w:lastRowFirstColumn="0" w:lastRowLastColumn="0"/>
            <w:tcW w:w="2265" w:type="pct"/>
          </w:tcPr>
          <w:p w14:paraId="7D31C6DF" w14:textId="5FF12A54" w:rsidR="006562D4" w:rsidRPr="00EF2873" w:rsidRDefault="00A5069D" w:rsidP="00D8469D">
            <w:pPr>
              <w:spacing w:before="0" w:after="0" w:line="240" w:lineRule="auto"/>
              <w:rPr>
                <w:rFonts w:cstheme="minorHAnsi"/>
                <w:sz w:val="20"/>
                <w:szCs w:val="20"/>
              </w:rPr>
            </w:pPr>
            <w:r>
              <w:rPr>
                <w:rFonts w:cstheme="minorHAnsi"/>
                <w:sz w:val="20"/>
                <w:szCs w:val="20"/>
              </w:rPr>
              <w:t xml:space="preserve">Uz izuzeća </w:t>
            </w:r>
            <w:r w:rsidR="00543561" w:rsidRPr="00543561">
              <w:rPr>
                <w:rFonts w:cstheme="minorHAnsi"/>
                <w:sz w:val="20"/>
                <w:szCs w:val="20"/>
              </w:rPr>
              <w:t>iz članka 7</w:t>
            </w:r>
            <w:r w:rsidR="00543561">
              <w:rPr>
                <w:rFonts w:cstheme="minorHAnsi"/>
                <w:sz w:val="20"/>
                <w:szCs w:val="20"/>
              </w:rPr>
              <w:t>(</w:t>
            </w:r>
            <w:r w:rsidR="003E48F7">
              <w:rPr>
                <w:rFonts w:cstheme="minorHAnsi"/>
                <w:sz w:val="20"/>
                <w:szCs w:val="20"/>
              </w:rPr>
              <w:t xml:space="preserve">2) i </w:t>
            </w:r>
            <w:r w:rsidR="00543561">
              <w:rPr>
                <w:rFonts w:cstheme="minorHAnsi"/>
                <w:sz w:val="20"/>
                <w:szCs w:val="20"/>
              </w:rPr>
              <w:t>(</w:t>
            </w:r>
            <w:r w:rsidR="00543561" w:rsidRPr="00543561">
              <w:rPr>
                <w:rFonts w:cstheme="minorHAnsi"/>
                <w:sz w:val="20"/>
                <w:szCs w:val="20"/>
              </w:rPr>
              <w:t>4</w:t>
            </w:r>
            <w:r w:rsidR="00543561">
              <w:rPr>
                <w:rFonts w:cstheme="minorHAnsi"/>
                <w:sz w:val="20"/>
                <w:szCs w:val="20"/>
              </w:rPr>
              <w:t>)</w:t>
            </w:r>
            <w:r w:rsidR="00543561" w:rsidRPr="00543561">
              <w:rPr>
                <w:rFonts w:cstheme="minorHAnsi"/>
                <w:sz w:val="20"/>
                <w:szCs w:val="20"/>
              </w:rPr>
              <w:t xml:space="preserve">(b) do (g) </w:t>
            </w:r>
          </w:p>
        </w:tc>
        <w:tc>
          <w:tcPr>
            <w:tcW w:w="704" w:type="pct"/>
          </w:tcPr>
          <w:p w14:paraId="79A76307" w14:textId="41F1D486" w:rsidR="006562D4" w:rsidRPr="00EF2873" w:rsidRDefault="00005D6E"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w:t>
            </w:r>
          </w:p>
        </w:tc>
        <w:tc>
          <w:tcPr>
            <w:tcW w:w="640" w:type="pct"/>
          </w:tcPr>
          <w:p w14:paraId="258EF3DD" w14:textId="53986377" w:rsidR="006562D4" w:rsidRPr="00EF2873" w:rsidRDefault="00005D6E"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23</w:t>
            </w:r>
            <w:r w:rsidR="00D3473B">
              <w:rPr>
                <w:rFonts w:cstheme="minorHAnsi"/>
                <w:sz w:val="20"/>
                <w:szCs w:val="20"/>
              </w:rPr>
              <w:t>,</w:t>
            </w:r>
            <w:r>
              <w:rPr>
                <w:rFonts w:cstheme="minorHAnsi"/>
                <w:sz w:val="20"/>
                <w:szCs w:val="20"/>
              </w:rPr>
              <w:t>5</w:t>
            </w:r>
          </w:p>
        </w:tc>
        <w:tc>
          <w:tcPr>
            <w:tcW w:w="672" w:type="pct"/>
          </w:tcPr>
          <w:p w14:paraId="782E238C" w14:textId="04CC0821" w:rsidR="006562D4" w:rsidRPr="00EF2873" w:rsidRDefault="00005D6E"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54</w:t>
            </w:r>
            <w:r w:rsidR="00D3473B">
              <w:rPr>
                <w:rFonts w:cstheme="minorHAnsi"/>
                <w:sz w:val="20"/>
                <w:szCs w:val="20"/>
              </w:rPr>
              <w:t>,0</w:t>
            </w:r>
          </w:p>
        </w:tc>
        <w:tc>
          <w:tcPr>
            <w:tcW w:w="718" w:type="pct"/>
          </w:tcPr>
          <w:p w14:paraId="1D16AFE4" w14:textId="6AE0F9C4" w:rsidR="006562D4" w:rsidRPr="00EF2873" w:rsidRDefault="008A24FA" w:rsidP="00D8469D">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24FA">
              <w:rPr>
                <w:rFonts w:cstheme="minorHAnsi"/>
                <w:sz w:val="20"/>
                <w:szCs w:val="20"/>
              </w:rPr>
              <w:t>1.2</w:t>
            </w:r>
            <w:r w:rsidR="00005D6E">
              <w:rPr>
                <w:rFonts w:cstheme="minorHAnsi"/>
                <w:sz w:val="20"/>
                <w:szCs w:val="20"/>
              </w:rPr>
              <w:t>89</w:t>
            </w:r>
            <w:r w:rsidRPr="008A24FA">
              <w:rPr>
                <w:rFonts w:cstheme="minorHAnsi"/>
                <w:sz w:val="20"/>
                <w:szCs w:val="20"/>
              </w:rPr>
              <w:t>,</w:t>
            </w:r>
            <w:r w:rsidR="00005D6E">
              <w:rPr>
                <w:rFonts w:cstheme="minorHAnsi"/>
                <w:sz w:val="20"/>
                <w:szCs w:val="20"/>
              </w:rPr>
              <w:t>8</w:t>
            </w:r>
          </w:p>
        </w:tc>
      </w:tr>
    </w:tbl>
    <w:p w14:paraId="7D9A002E" w14:textId="27291793" w:rsidR="00FE1C60" w:rsidRPr="00215760" w:rsidRDefault="009706CF" w:rsidP="00725326">
      <w:pPr>
        <w:shd w:val="clear" w:color="auto" w:fill="DEEAF6" w:themeFill="accent1" w:themeFillTint="33"/>
        <w:rPr>
          <w:i/>
        </w:rPr>
      </w:pPr>
      <w:r>
        <w:rPr>
          <w:i/>
        </w:rPr>
        <w:t>Indikativni ciljevi</w:t>
      </w:r>
      <w:r w:rsidR="009B4E57">
        <w:rPr>
          <w:i/>
        </w:rPr>
        <w:t xml:space="preserve"> dugoročne strategije obnove nacionalnog stambenog i nestambenog fonda zgrada</w:t>
      </w:r>
    </w:p>
    <w:p w14:paraId="04E0566D" w14:textId="4AA66C1F" w:rsidR="002847FA" w:rsidRPr="00B13D6A" w:rsidRDefault="002847FA" w:rsidP="00FF0CF3">
      <w:r w:rsidRPr="00B13D6A">
        <w:t xml:space="preserve">Sukladno članku 4. Direktive 2012/27/EU o energetskoj učinkovitosti, </w:t>
      </w:r>
      <w:r w:rsidR="00652B21" w:rsidRPr="00B13D6A">
        <w:t xml:space="preserve">RH je prvu Dugoročnu strategiju </w:t>
      </w:r>
      <w:r w:rsidR="003879EB">
        <w:t>za poticanje ulaganja u obnovu nacionalnog fonda zgrada</w:t>
      </w:r>
      <w:r w:rsidR="003879EB" w:rsidRPr="00B13D6A">
        <w:t xml:space="preserve"> </w:t>
      </w:r>
      <w:r w:rsidR="00652B21" w:rsidRPr="00B13D6A">
        <w:t xml:space="preserve">usvojila </w:t>
      </w:r>
      <w:r w:rsidR="003879EB" w:rsidRPr="00B13D6A">
        <w:t>2014. godine (</w:t>
      </w:r>
      <w:r w:rsidR="00880054">
        <w:t>NN</w:t>
      </w:r>
      <w:r w:rsidR="003879EB" w:rsidRPr="00B13D6A">
        <w:t xml:space="preserve"> </w:t>
      </w:r>
      <w:r w:rsidR="00652B21" w:rsidRPr="00B13D6A">
        <w:t>74/14</w:t>
      </w:r>
      <w:r w:rsidR="003879EB" w:rsidRPr="00B13D6A">
        <w:t xml:space="preserve">), a novelacija </w:t>
      </w:r>
      <w:r w:rsidR="001A2AFF" w:rsidRPr="00B13D6A">
        <w:t xml:space="preserve">iste je </w:t>
      </w:r>
      <w:r w:rsidR="00A722BD" w:rsidRPr="00B13D6A">
        <w:t>napravljena 2017. godine</w:t>
      </w:r>
      <w:r w:rsidR="00B01FEC" w:rsidRPr="00276CE9">
        <w:rPr>
          <w:rStyle w:val="FootnoteReference"/>
        </w:rPr>
        <w:t xml:space="preserve"> </w:t>
      </w:r>
      <w:r w:rsidR="00B01FEC">
        <w:t>[</w:t>
      </w:r>
      <w:r w:rsidR="00B01FEC">
        <w:fldChar w:fldCharType="begin"/>
      </w:r>
      <w:r w:rsidR="00B01FEC">
        <w:instrText xml:space="preserve"> REF _Ref531628971 \r \h </w:instrText>
      </w:r>
      <w:r w:rsidR="00B01FEC">
        <w:fldChar w:fldCharType="separate"/>
      </w:r>
      <w:r w:rsidR="00154150">
        <w:t>18</w:t>
      </w:r>
      <w:r w:rsidR="00B01FEC">
        <w:fldChar w:fldCharType="end"/>
      </w:r>
      <w:r w:rsidR="00B01FEC">
        <w:t>]</w:t>
      </w:r>
      <w:r w:rsidR="00B01FEC" w:rsidRPr="00B13D6A">
        <w:t xml:space="preserve">. </w:t>
      </w:r>
      <w:r w:rsidR="00990EB8" w:rsidRPr="00B13D6A">
        <w:t xml:space="preserve">Fond </w:t>
      </w:r>
      <w:r w:rsidR="002D395E" w:rsidRPr="00B13D6A">
        <w:t xml:space="preserve">zgrada i mogućnosti njegove obnove također su analizirani u dokumentu </w:t>
      </w:r>
      <w:r w:rsidR="002D395E">
        <w:t>„</w:t>
      </w:r>
      <w:r w:rsidR="002D395E" w:rsidRPr="00F554BA">
        <w:t>Analize i podloge za izradu energetske strategije Republike Hrvatske</w:t>
      </w:r>
      <w:r w:rsidR="002D395E">
        <w:t>“, koji je u listop</w:t>
      </w:r>
      <w:r w:rsidR="00C651D3">
        <w:t>a</w:t>
      </w:r>
      <w:r w:rsidR="002D395E">
        <w:t xml:space="preserve">du 2018. godine izrađen za potrebe donošenja Strategije energetskog razvoja RH do 2030. godine s pogledom do 2050. </w:t>
      </w:r>
      <w:r w:rsidR="00D93B3B">
        <w:t xml:space="preserve">U nastavku se navode </w:t>
      </w:r>
      <w:r w:rsidR="005F4C65">
        <w:t>pretpostavke ovog dokumenta vezane uz zgradarstvo, koje je nužno ostv</w:t>
      </w:r>
      <w:r w:rsidR="00450D78">
        <w:t>a</w:t>
      </w:r>
      <w:r w:rsidR="005F4C65">
        <w:t>riti kako bi se ostvarili nacionalni ciljevi</w:t>
      </w:r>
      <w:r w:rsidR="00A70D49">
        <w:t xml:space="preserve"> energetske učinkovitosti </w:t>
      </w:r>
      <w:r w:rsidR="005F4C65">
        <w:t xml:space="preserve">koje prikazuje </w:t>
      </w:r>
      <w:r w:rsidR="000B4471">
        <w:fldChar w:fldCharType="begin"/>
      </w:r>
      <w:r w:rsidR="000B4471">
        <w:instrText xml:space="preserve"> REF _Ref20466957 \h </w:instrText>
      </w:r>
      <w:r w:rsidR="000B4471">
        <w:fldChar w:fldCharType="separate"/>
      </w:r>
      <w:r w:rsidR="00154150">
        <w:t xml:space="preserve">Tablica </w:t>
      </w:r>
      <w:r w:rsidR="00154150">
        <w:rPr>
          <w:noProof/>
        </w:rPr>
        <w:t>2</w:t>
      </w:r>
      <w:r w:rsidR="00154150">
        <w:t>–</w:t>
      </w:r>
      <w:r w:rsidR="00154150">
        <w:rPr>
          <w:noProof/>
        </w:rPr>
        <w:t>8</w:t>
      </w:r>
      <w:r w:rsidR="000B4471">
        <w:fldChar w:fldCharType="end"/>
      </w:r>
      <w:r w:rsidR="0098259C">
        <w:t>.</w:t>
      </w:r>
    </w:p>
    <w:p w14:paraId="5AFE31CB" w14:textId="5A400130" w:rsidR="00F72C88" w:rsidRDefault="003D4FB7" w:rsidP="00F72C88">
      <w:r w:rsidRPr="003D4FB7">
        <w:t xml:space="preserve">Nakon 2020. godine, sukladno Tehničkom propis o racionalnoj uporabi energije i toplinskoj zaštiti u zgradama, sve novoizgrađene zgrade </w:t>
      </w:r>
      <w:r w:rsidR="00790165">
        <w:t>bit će zgrade gotovo nulte energije</w:t>
      </w:r>
      <w:r w:rsidRPr="003D4FB7">
        <w:t xml:space="preserve"> (nZEB)</w:t>
      </w:r>
      <w:r w:rsidR="00F72C88" w:rsidRPr="00C27AD5">
        <w:t xml:space="preserve">. </w:t>
      </w:r>
      <w:r w:rsidR="00473B26">
        <w:t>Očekuje se da će r</w:t>
      </w:r>
      <w:r w:rsidR="00F72C88" w:rsidRPr="00C27AD5">
        <w:t xml:space="preserve">ast ukupnog stambenog fonda biti </w:t>
      </w:r>
      <w:r w:rsidR="00F72C88">
        <w:t>po prosječnoj stopi od cca 6</w:t>
      </w:r>
      <w:r w:rsidR="00E16791">
        <w:t>.</w:t>
      </w:r>
      <w:r w:rsidR="00F72C88">
        <w:t>600 stambenih jedinica od 2021. do 2030., 6</w:t>
      </w:r>
      <w:r w:rsidR="00E16791">
        <w:t>.</w:t>
      </w:r>
      <w:r w:rsidR="00F72C88">
        <w:t>300 od 2031. do 2040. i 6</w:t>
      </w:r>
      <w:r w:rsidR="00E16791">
        <w:t>.</w:t>
      </w:r>
      <w:r w:rsidR="00F72C88">
        <w:t>050 jedinica od 2041. do 2050. godine. Kako bi se taj rast ukupnog fonda ostvario, u razdoblju od 2021. do 2030. se o</w:t>
      </w:r>
      <w:r w:rsidR="00F72C88" w:rsidRPr="00C27AD5">
        <w:t>čekuje 10.930.698 m² novih zgrada</w:t>
      </w:r>
      <w:r w:rsidR="00F72C88">
        <w:t xml:space="preserve"> i 8.630.863 m² obnovljenih zgrada (cca 30.000 novih i obnovljenih stambenih jedinica godišnje, uz vrlo visoku stopu napuštanja i rušenja starijih jedinica niže kvalitete od oko 11.200 jedinica godišnje). Od</w:t>
      </w:r>
      <w:r w:rsidR="00F72C88" w:rsidRPr="00C27AD5">
        <w:t xml:space="preserve"> 2031. do 2040. </w:t>
      </w:r>
      <w:r w:rsidR="00F72C88">
        <w:t>površina novo</w:t>
      </w:r>
      <w:r w:rsidR="00C651D3">
        <w:t>i</w:t>
      </w:r>
      <w:r w:rsidR="00F72C88">
        <w:t xml:space="preserve">zgrađenih stambenih zgrada će biti </w:t>
      </w:r>
      <w:r w:rsidR="00F72C88" w:rsidRPr="00C27AD5">
        <w:t>14.721.602 m²</w:t>
      </w:r>
      <w:r w:rsidR="00F72C88">
        <w:t>, uz 9.022.863 m² obnovljenih stambenih zgrada.</w:t>
      </w:r>
      <w:r w:rsidR="00F72C88" w:rsidRPr="00C27AD5">
        <w:t xml:space="preserve"> </w:t>
      </w:r>
      <w:r w:rsidR="00F72C88">
        <w:t>Ova površina obnovljenih zgrada godišnje odgovara</w:t>
      </w:r>
      <w:r w:rsidR="004F620A">
        <w:t xml:space="preserve"> prosječnoj</w:t>
      </w:r>
      <w:r w:rsidR="00F72C88">
        <w:t xml:space="preserve"> stopi rekonstrukcije od 1,6% godišnje</w:t>
      </w:r>
      <w:r w:rsidR="004F620A">
        <w:t xml:space="preserve">, pri čemu </w:t>
      </w:r>
      <w:r w:rsidR="00367629">
        <w:t xml:space="preserve">će se </w:t>
      </w:r>
      <w:r w:rsidR="00712F54" w:rsidRPr="00712F54">
        <w:t>postepeno povećava</w:t>
      </w:r>
      <w:r w:rsidR="00712F54">
        <w:t>ti</w:t>
      </w:r>
      <w:r w:rsidR="00712F54" w:rsidRPr="00712F54">
        <w:t xml:space="preserve"> od 1% u 2021. godini do 3% u 2030. godini</w:t>
      </w:r>
      <w:r w:rsidR="00F72C88">
        <w:t xml:space="preserve">. </w:t>
      </w:r>
    </w:p>
    <w:p w14:paraId="64C921A5" w14:textId="1A626C81" w:rsidR="00F72C88" w:rsidRDefault="0016463B" w:rsidP="00F72C88">
      <w:r w:rsidRPr="0016463B">
        <w:t xml:space="preserve">Prosječna </w:t>
      </w:r>
      <w:r w:rsidR="005060F8">
        <w:t>neposredna</w:t>
      </w:r>
      <w:r w:rsidRPr="0016463B">
        <w:t xml:space="preserve"> potrošnja energije u stambenom sektoru će iznositi 30 kWh/m²a za </w:t>
      </w:r>
      <w:r w:rsidR="009F62CE" w:rsidRPr="0016463B">
        <w:t>novoizgrađe</w:t>
      </w:r>
      <w:r w:rsidR="009F62CE">
        <w:t>n</w:t>
      </w:r>
      <w:r w:rsidR="009F62CE" w:rsidRPr="0016463B">
        <w:t xml:space="preserve">e </w:t>
      </w:r>
      <w:r w:rsidRPr="0016463B">
        <w:t>i rekonstruirane zgrade, a očekuje se da i nestambeni sektor neće bitno odstupati od toga.</w:t>
      </w:r>
      <w:r w:rsidR="00F72C88">
        <w:t xml:space="preserve"> </w:t>
      </w:r>
    </w:p>
    <w:p w14:paraId="514FF5EF" w14:textId="65AB9FDF" w:rsidR="00893FDE" w:rsidRDefault="00893FDE" w:rsidP="00DF6C56">
      <w:r>
        <w:t>Potrebno je istaknuti da</w:t>
      </w:r>
      <w:r w:rsidR="009D0A34">
        <w:t xml:space="preserve"> </w:t>
      </w:r>
      <w:r w:rsidR="00B40690">
        <w:t xml:space="preserve">će, </w:t>
      </w:r>
      <w:r w:rsidR="009D0A34">
        <w:t xml:space="preserve">prema članku 2.a </w:t>
      </w:r>
      <w:r w:rsidR="00D464A2">
        <w:t xml:space="preserve">Direktive </w:t>
      </w:r>
      <w:r w:rsidR="00DB1E46">
        <w:t>2018/844 o izmjeni</w:t>
      </w:r>
      <w:r w:rsidR="009D0A34">
        <w:t xml:space="preserve"> Direktive 2010/31/EU o energetskim svojstvima zgrada</w:t>
      </w:r>
      <w:r w:rsidR="00B40690">
        <w:t xml:space="preserve">, RH donijeti novu Dugoročnu strategiju </w:t>
      </w:r>
      <w:r w:rsidR="00514EC1">
        <w:t>za poticanje ulaganja u obnovu nacionalnog fonda zgrada, s planom</w:t>
      </w:r>
      <w:r w:rsidR="00DF6C56">
        <w:t xml:space="preserve"> mjera i pokazat</w:t>
      </w:r>
      <w:r w:rsidR="00C651D3">
        <w:t>e</w:t>
      </w:r>
      <w:r w:rsidR="00DF6C56">
        <w:t>ljima za 2030.,</w:t>
      </w:r>
      <w:r w:rsidR="0086329E">
        <w:t xml:space="preserve"> </w:t>
      </w:r>
      <w:r w:rsidR="00DF6C56">
        <w:t>2040.</w:t>
      </w:r>
      <w:r w:rsidR="0086329E">
        <w:t xml:space="preserve"> </w:t>
      </w:r>
      <w:r w:rsidR="00DF6C56">
        <w:t>i</w:t>
      </w:r>
      <w:r w:rsidR="0086329E">
        <w:t xml:space="preserve"> </w:t>
      </w:r>
      <w:r w:rsidR="00DF6C56">
        <w:t>2050. godinu, koja će biti usklađena sa Strategijom ene</w:t>
      </w:r>
      <w:r w:rsidR="00166794">
        <w:t>rgetskog razvoja RH.</w:t>
      </w:r>
      <w:r w:rsidR="0086329E">
        <w:t xml:space="preserve"> </w:t>
      </w:r>
    </w:p>
    <w:p w14:paraId="493DD773" w14:textId="10D37D4D" w:rsidR="00FF0CF3" w:rsidRPr="00F336FB" w:rsidRDefault="00AA317F" w:rsidP="00725326">
      <w:pPr>
        <w:shd w:val="clear" w:color="auto" w:fill="DEEAF6" w:themeFill="accent1" w:themeFillTint="33"/>
        <w:rPr>
          <w:i/>
        </w:rPr>
      </w:pPr>
      <w:r>
        <w:rPr>
          <w:i/>
        </w:rPr>
        <w:lastRenderedPageBreak/>
        <w:t xml:space="preserve">Ukupna površina </w:t>
      </w:r>
      <w:r w:rsidR="003F5FB0">
        <w:rPr>
          <w:i/>
        </w:rPr>
        <w:t>zgrada središnje državne uprave koja se obn</w:t>
      </w:r>
      <w:r w:rsidR="00D43BFD">
        <w:rPr>
          <w:i/>
        </w:rPr>
        <w:t>a</w:t>
      </w:r>
      <w:r w:rsidR="003F5FB0">
        <w:rPr>
          <w:i/>
        </w:rPr>
        <w:t>vlja ili ekvivalentne uštede u razdoblju od 2021. do 2030. godine</w:t>
      </w:r>
      <w:r w:rsidR="001708DE">
        <w:rPr>
          <w:i/>
        </w:rPr>
        <w:t xml:space="preserve"> u skladu s člankom 5. o vodećoj ulozi javnog sektora Direktive </w:t>
      </w:r>
      <w:r w:rsidR="00EC128B" w:rsidRPr="00F336FB">
        <w:rPr>
          <w:i/>
        </w:rPr>
        <w:t>2012/27/EU</w:t>
      </w:r>
    </w:p>
    <w:p w14:paraId="69AD2E22" w14:textId="3A8E94C5" w:rsidR="002575AA" w:rsidRDefault="002575AA" w:rsidP="00FF0CF3">
      <w:r w:rsidRPr="00201944">
        <w:t xml:space="preserve">U Republici Hrvatskoj je u 2010. godini evidentirano ukupno 13,8 milijuna </w:t>
      </w:r>
      <w:r w:rsidR="00562367">
        <w:t>m</w:t>
      </w:r>
      <w:r w:rsidR="00562367" w:rsidRPr="00DA6CE3">
        <w:rPr>
          <w:vertAlign w:val="superscript"/>
        </w:rPr>
        <w:t>2</w:t>
      </w:r>
      <w:r w:rsidRPr="00201944">
        <w:t xml:space="preserve"> korisne </w:t>
      </w:r>
      <w:r w:rsidR="00562367">
        <w:t>grijane</w:t>
      </w:r>
      <w:r w:rsidRPr="00201944">
        <w:t xml:space="preserve"> površine zgrada javnog sektora, prema podacima </w:t>
      </w:r>
      <w:r w:rsidR="00945CCB" w:rsidRPr="00201944">
        <w:t>i</w:t>
      </w:r>
      <w:r w:rsidRPr="00201944">
        <w:t xml:space="preserve">z Nacionalnog informacijskog sustava za gospodarenje energijom. </w:t>
      </w:r>
      <w:r w:rsidR="00945CCB" w:rsidRPr="00C34415">
        <w:t>Za ostvarenje obveze obnove 3% ukupne</w:t>
      </w:r>
      <w:r w:rsidR="00945CCB" w:rsidRPr="00201944">
        <w:t xml:space="preserve"> površine poda grijanih i/ili hlađenih zgrada u vlasništvu i uporabi središnje vlasti</w:t>
      </w:r>
      <w:r w:rsidR="0065233E" w:rsidRPr="00ED6587">
        <w:t xml:space="preserve">, RH je u razdoblju do 2020. godine odabrala alternativni pristup, odnosno odredila je </w:t>
      </w:r>
      <w:r w:rsidR="00FC7930">
        <w:t xml:space="preserve">cilj u </w:t>
      </w:r>
      <w:r w:rsidR="00FC7930" w:rsidRPr="00ED6587">
        <w:t>ekvivalentn</w:t>
      </w:r>
      <w:r w:rsidR="00FC7930">
        <w:t>im</w:t>
      </w:r>
      <w:r w:rsidR="00FC7930" w:rsidRPr="00ED6587">
        <w:t xml:space="preserve"> ušted</w:t>
      </w:r>
      <w:r w:rsidR="00FC7930">
        <w:t>ama</w:t>
      </w:r>
      <w:r w:rsidR="00FC7930" w:rsidRPr="00ED6587">
        <w:t xml:space="preserve"> </w:t>
      </w:r>
      <w:r w:rsidR="0065233E" w:rsidRPr="00ED6587">
        <w:t xml:space="preserve">od </w:t>
      </w:r>
      <w:r w:rsidR="006406E1" w:rsidRPr="006406E1">
        <w:t>0,</w:t>
      </w:r>
      <w:r w:rsidR="00E16791" w:rsidRPr="00E16791">
        <w:t xml:space="preserve">00489 </w:t>
      </w:r>
      <w:r w:rsidR="006406E1" w:rsidRPr="006406E1">
        <w:t>PJ</w:t>
      </w:r>
      <w:r w:rsidR="006406E1">
        <w:t xml:space="preserve"> godišnje</w:t>
      </w:r>
      <w:r w:rsidR="006406E1">
        <w:rPr>
          <w:rStyle w:val="FootnoteReference"/>
        </w:rPr>
        <w:footnoteReference w:id="16"/>
      </w:r>
      <w:r w:rsidR="006406E1">
        <w:t>. O</w:t>
      </w:r>
      <w:r w:rsidR="00ED6587">
        <w:t xml:space="preserve">vaj pristup primijenit će se i u razdoblju do 2030. godine. </w:t>
      </w:r>
    </w:p>
    <w:p w14:paraId="31510B14" w14:textId="3A4EA3E8" w:rsidR="009623EE" w:rsidRPr="00D42EB3" w:rsidRDefault="009623EE" w:rsidP="00840E2E">
      <w:pPr>
        <w:pStyle w:val="Heading3"/>
        <w:numPr>
          <w:ilvl w:val="0"/>
          <w:numId w:val="61"/>
        </w:numPr>
      </w:pPr>
      <w:r w:rsidRPr="00D42EB3">
        <w:t>Indikativni miljokazi za 2030., 2040. i 2050., mjerljivi pokazatelji napretka utvrđeni na domaćoj razini, procjena očekivanih ušteda i koristi utemeljena na dokazima, i njihovi doprinosi ciljevima energetske učinkovitosti Unije, kako</w:t>
      </w:r>
      <w:r w:rsidR="00E223DA">
        <w:t xml:space="preserve"> </w:t>
      </w:r>
      <w:r w:rsidRPr="00D42EB3">
        <w:t>su</w:t>
      </w:r>
      <w:r w:rsidR="00E223DA">
        <w:t xml:space="preserve"> </w:t>
      </w:r>
      <w:r w:rsidRPr="00D42EB3">
        <w:t>uključeni u</w:t>
      </w:r>
      <w:r w:rsidR="00E223DA">
        <w:t xml:space="preserve"> </w:t>
      </w:r>
      <w:r w:rsidRPr="00D42EB3">
        <w:t>planove</w:t>
      </w:r>
      <w:r w:rsidR="00E223DA">
        <w:t xml:space="preserve"> </w:t>
      </w:r>
      <w:r w:rsidRPr="00D42EB3">
        <w:t>utvrđene u</w:t>
      </w:r>
      <w:r w:rsidR="00E223DA">
        <w:t xml:space="preserve"> </w:t>
      </w:r>
      <w:r w:rsidRPr="00D42EB3">
        <w:t>strategijama</w:t>
      </w:r>
      <w:r w:rsidR="00E223DA">
        <w:t xml:space="preserve"> </w:t>
      </w:r>
      <w:r w:rsidRPr="00D42EB3">
        <w:t>za</w:t>
      </w:r>
      <w:r w:rsidR="00E223DA">
        <w:t xml:space="preserve"> </w:t>
      </w:r>
      <w:r w:rsidRPr="00D42EB3">
        <w:t>dugoročnu obnovu nacionalnog fonda stambenih i nestambenih zgrada (javnih i privatnih), u skladu s člankom 2.a Direktive 2010/31/EU</w:t>
      </w:r>
    </w:p>
    <w:p w14:paraId="314DBF8B" w14:textId="2E78221E" w:rsidR="000D269F" w:rsidRPr="001A2DD7" w:rsidRDefault="00792594" w:rsidP="00725326">
      <w:pPr>
        <w:suppressAutoHyphens w:val="0"/>
        <w:spacing w:after="160" w:line="259" w:lineRule="auto"/>
        <w:contextualSpacing/>
        <w:rPr>
          <w:b/>
          <w:i/>
        </w:rPr>
      </w:pPr>
      <w:r>
        <w:t>P</w:t>
      </w:r>
      <w:r w:rsidR="00B967CA">
        <w:t xml:space="preserve">rema članku 2.a Direktive 2018/844 o izmjeni Direktive 2010/31/EU o energetskim svojstvima zgrada, RH </w:t>
      </w:r>
      <w:r>
        <w:t xml:space="preserve">će </w:t>
      </w:r>
      <w:r w:rsidR="00B967CA">
        <w:t xml:space="preserve">donijeti novu Dugoročnu strategiju za poticanje ulaganja u obnovu nacionalnog fonda zgrada, s planom mjera i pokazateljima za 2030., 2040. i 2050. godinu, koja će biti usklađena </w:t>
      </w:r>
      <w:r w:rsidR="004A6F63">
        <w:t>s</w:t>
      </w:r>
      <w:r w:rsidR="00DB2113">
        <w:t>a</w:t>
      </w:r>
      <w:r w:rsidR="004A6F63">
        <w:t xml:space="preserve"> </w:t>
      </w:r>
      <w:r w:rsidR="00DB2113">
        <w:t>S</w:t>
      </w:r>
      <w:r w:rsidR="004A6F63">
        <w:t>trategijom</w:t>
      </w:r>
      <w:r w:rsidR="00DB2113">
        <w:t xml:space="preserve"> energetskog razvoja</w:t>
      </w:r>
      <w:r w:rsidR="004A6F63">
        <w:t xml:space="preserve"> i Niskougljičnom strategijom. </w:t>
      </w:r>
    </w:p>
    <w:p w14:paraId="3D50E9FD" w14:textId="77777777" w:rsidR="00553FA2" w:rsidRPr="00D42EB3" w:rsidRDefault="00553FA2" w:rsidP="00840E2E">
      <w:pPr>
        <w:pStyle w:val="Heading3"/>
        <w:numPr>
          <w:ilvl w:val="0"/>
          <w:numId w:val="61"/>
        </w:numPr>
      </w:pPr>
      <w:r w:rsidRPr="00D42EB3">
        <w:t>Ako je primjenjivo, drugi nacionalni ciljevi, uključujući dugoročne ciljeve ili strategije i sektorske ciljeve, i nacionalni ciljevi u područjima kao što su energetska učinkovitost u prometnom sektoru i energetska učinkovitost u odnosu na grijanje i hlađenje</w:t>
      </w:r>
    </w:p>
    <w:p w14:paraId="66DF623C" w14:textId="0EB05181" w:rsidR="00DC42BD" w:rsidRDefault="00DC42BD" w:rsidP="00DC42BD"/>
    <w:p w14:paraId="726BD216" w14:textId="6FE43FE9" w:rsidR="00DC42BD" w:rsidRDefault="005504A7" w:rsidP="00DC42BD">
      <w:r>
        <w:t xml:space="preserve">Projekcije napravljene u okviru izrade analitičkih podloga za </w:t>
      </w:r>
      <w:r w:rsidR="008135BD">
        <w:t xml:space="preserve">potrebe izrade </w:t>
      </w:r>
      <w:r w:rsidR="00C734C6">
        <w:t>Strategije energetskog razvoja</w:t>
      </w:r>
      <w:r w:rsidR="008135BD">
        <w:t xml:space="preserve"> pokazuju kako se dugor</w:t>
      </w:r>
      <w:r w:rsidR="002246BF">
        <w:t>o</w:t>
      </w:r>
      <w:r w:rsidR="008135BD">
        <w:t xml:space="preserve">čno može očekivati </w:t>
      </w:r>
      <w:r w:rsidR="001C6930">
        <w:t>z</w:t>
      </w:r>
      <w:r w:rsidR="002F5092">
        <w:t>n</w:t>
      </w:r>
      <w:r w:rsidR="001C6930">
        <w:t>atno smanjenje neposredne potrošnje u prometu (</w:t>
      </w:r>
      <w:r w:rsidR="008135BD">
        <w:t>[</w:t>
      </w:r>
      <w:r w:rsidR="001C6930">
        <w:fldChar w:fldCharType="begin"/>
      </w:r>
      <w:r w:rsidR="001C6930">
        <w:instrText xml:space="preserve"> REF _Ref19885351 \w \h </w:instrText>
      </w:r>
      <w:r w:rsidR="001C6930">
        <w:fldChar w:fldCharType="separate"/>
      </w:r>
      <w:r w:rsidR="00154150">
        <w:t>2</w:t>
      </w:r>
      <w:r w:rsidR="001C6930">
        <w:fldChar w:fldCharType="end"/>
      </w:r>
      <w:r w:rsidR="008135BD">
        <w:t>], [</w:t>
      </w:r>
      <w:r w:rsidR="001C6930">
        <w:fldChar w:fldCharType="begin"/>
      </w:r>
      <w:r w:rsidR="001C6930">
        <w:instrText xml:space="preserve"> REF _Ref19784013 \w \h </w:instrText>
      </w:r>
      <w:r w:rsidR="001C6930">
        <w:fldChar w:fldCharType="separate"/>
      </w:r>
      <w:r w:rsidR="00154150">
        <w:t>4</w:t>
      </w:r>
      <w:r w:rsidR="001C6930">
        <w:fldChar w:fldCharType="end"/>
      </w:r>
      <w:r w:rsidR="008135BD">
        <w:t>])</w:t>
      </w:r>
      <w:r w:rsidR="001C6930">
        <w:t>.</w:t>
      </w:r>
      <w:r w:rsidR="008135BD">
        <w:t xml:space="preserve"> </w:t>
      </w:r>
      <w:r w:rsidR="00DC42BD">
        <w:t xml:space="preserve">Projekciju potrošnje energije u </w:t>
      </w:r>
      <w:r w:rsidR="00DC42BD" w:rsidRPr="00725326">
        <w:rPr>
          <w:b/>
        </w:rPr>
        <w:t>sektoru prometa</w:t>
      </w:r>
      <w:r w:rsidR="00DC42BD">
        <w:t xml:space="preserve"> do 2050. godine prikazuj</w:t>
      </w:r>
      <w:r w:rsidR="00C3092A">
        <w:t>u</w:t>
      </w:r>
      <w:r w:rsidR="00DC42BD">
        <w:t xml:space="preserve"> </w:t>
      </w:r>
      <w:r w:rsidR="00DC42BD">
        <w:fldChar w:fldCharType="begin"/>
      </w:r>
      <w:r w:rsidR="00DC42BD">
        <w:rPr>
          <w:highlight w:val="yellow"/>
        </w:rPr>
        <w:instrText xml:space="preserve"> REF _Ref10818105 \h </w:instrText>
      </w:r>
      <w:r w:rsidR="00DC42BD">
        <w:fldChar w:fldCharType="separate"/>
      </w:r>
      <w:r w:rsidR="00154150">
        <w:t xml:space="preserve">Slika </w:t>
      </w:r>
      <w:r w:rsidR="00154150">
        <w:rPr>
          <w:noProof/>
        </w:rPr>
        <w:t>2</w:t>
      </w:r>
      <w:r w:rsidR="00154150">
        <w:noBreakHyphen/>
      </w:r>
      <w:r w:rsidR="00154150">
        <w:rPr>
          <w:noProof/>
        </w:rPr>
        <w:t>9</w:t>
      </w:r>
      <w:r w:rsidR="00154150">
        <w:t>.</w:t>
      </w:r>
      <w:r w:rsidR="00DC42BD">
        <w:fldChar w:fldCharType="end"/>
      </w:r>
      <w:r w:rsidR="00FE57F9">
        <w:t>.</w:t>
      </w:r>
    </w:p>
    <w:p w14:paraId="1837AF39" w14:textId="1467E922" w:rsidR="00FE57F9" w:rsidRDefault="0074727B" w:rsidP="00133F9E">
      <w:r w:rsidRPr="00DA344E">
        <w:rPr>
          <w:noProof/>
        </w:rPr>
        <w:lastRenderedPageBreak/>
        <w:drawing>
          <wp:inline distT="0" distB="0" distL="0" distR="0" wp14:anchorId="13D1FEA5" wp14:editId="7A22B117">
            <wp:extent cx="5192264" cy="2033136"/>
            <wp:effectExtent l="0" t="0" r="0" b="5715"/>
            <wp:docPr id="1964968991" name="Picture 196496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a:extLst>
                        <a:ext uri="{28A0092B-C50C-407E-A947-70E740481C1C}">
                          <a14:useLocalDpi xmlns:a14="http://schemas.microsoft.com/office/drawing/2010/main" val="0"/>
                        </a:ext>
                      </a:extLst>
                    </a:blip>
                    <a:srcRect l="2191" t="12296" r="1606" b="1961"/>
                    <a:stretch/>
                  </pic:blipFill>
                  <pic:spPr bwMode="auto">
                    <a:xfrm>
                      <a:off x="0" y="0"/>
                      <a:ext cx="5194948" cy="203418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E57F9" w:rsidRPr="001B3108" w14:paraId="7C401E50" w14:textId="77777777" w:rsidTr="00286B4C">
        <w:tc>
          <w:tcPr>
            <w:tcW w:w="4530" w:type="dxa"/>
            <w:shd w:val="clear" w:color="auto" w:fill="FFFFFF" w:themeFill="background1"/>
          </w:tcPr>
          <w:p w14:paraId="2B49DE86" w14:textId="77777777" w:rsidR="00FE57F9" w:rsidRPr="005D45C0" w:rsidRDefault="00FE57F9" w:rsidP="00FD026D">
            <w:pPr>
              <w:spacing w:before="0" w:after="0"/>
            </w:pPr>
            <w:r w:rsidRPr="005D45C0">
              <w:rPr>
                <w:noProof/>
              </w:rPr>
              <w:drawing>
                <wp:inline distT="0" distB="0" distL="0" distR="0" wp14:anchorId="72641542" wp14:editId="049073B9">
                  <wp:extent cx="2700000" cy="1726235"/>
                  <wp:effectExtent l="0" t="0" r="571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00000" cy="1726235"/>
                          </a:xfrm>
                          <a:prstGeom prst="rect">
                            <a:avLst/>
                          </a:prstGeom>
                          <a:noFill/>
                          <a:ln>
                            <a:noFill/>
                          </a:ln>
                        </pic:spPr>
                      </pic:pic>
                    </a:graphicData>
                  </a:graphic>
                </wp:inline>
              </w:drawing>
            </w:r>
          </w:p>
        </w:tc>
        <w:tc>
          <w:tcPr>
            <w:tcW w:w="4530" w:type="dxa"/>
            <w:shd w:val="clear" w:color="auto" w:fill="FFFFFF" w:themeFill="background1"/>
          </w:tcPr>
          <w:p w14:paraId="4BEA72BA" w14:textId="77777777" w:rsidR="00FE57F9" w:rsidRPr="005D45C0" w:rsidRDefault="00FE57F9" w:rsidP="00FD026D">
            <w:pPr>
              <w:spacing w:before="0" w:after="0"/>
            </w:pPr>
            <w:r w:rsidRPr="005D45C0">
              <w:rPr>
                <w:noProof/>
              </w:rPr>
              <w:drawing>
                <wp:inline distT="0" distB="0" distL="0" distR="0" wp14:anchorId="34B445AB" wp14:editId="02E17336">
                  <wp:extent cx="2700000" cy="1723437"/>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0000" cy="1723437"/>
                          </a:xfrm>
                          <a:prstGeom prst="rect">
                            <a:avLst/>
                          </a:prstGeom>
                          <a:noFill/>
                          <a:ln>
                            <a:noFill/>
                          </a:ln>
                        </pic:spPr>
                      </pic:pic>
                    </a:graphicData>
                  </a:graphic>
                </wp:inline>
              </w:drawing>
            </w:r>
          </w:p>
        </w:tc>
      </w:tr>
      <w:tr w:rsidR="00FE57F9" w14:paraId="1A63669B" w14:textId="77777777" w:rsidTr="00286B4C">
        <w:tc>
          <w:tcPr>
            <w:tcW w:w="4530" w:type="dxa"/>
            <w:shd w:val="clear" w:color="auto" w:fill="FFFFFF" w:themeFill="background1"/>
          </w:tcPr>
          <w:p w14:paraId="42D7CD9C" w14:textId="77777777" w:rsidR="00FE57F9" w:rsidRPr="001B3108" w:rsidRDefault="00FE57F9" w:rsidP="00FD026D">
            <w:pPr>
              <w:jc w:val="center"/>
              <w:rPr>
                <w:sz w:val="16"/>
                <w:szCs w:val="16"/>
              </w:rPr>
            </w:pPr>
            <w:r w:rsidRPr="001B3108">
              <w:rPr>
                <w:sz w:val="16"/>
                <w:szCs w:val="16"/>
              </w:rPr>
              <w:t>2020. godina</w:t>
            </w:r>
          </w:p>
        </w:tc>
        <w:tc>
          <w:tcPr>
            <w:tcW w:w="4530" w:type="dxa"/>
            <w:shd w:val="clear" w:color="auto" w:fill="FFFFFF" w:themeFill="background1"/>
          </w:tcPr>
          <w:p w14:paraId="6BF7BEE6" w14:textId="77777777" w:rsidR="00FE57F9" w:rsidRPr="004B3063" w:rsidRDefault="00FE57F9" w:rsidP="00FD026D">
            <w:pPr>
              <w:jc w:val="center"/>
              <w:rPr>
                <w:sz w:val="16"/>
                <w:szCs w:val="16"/>
              </w:rPr>
            </w:pPr>
            <w:r w:rsidRPr="001B3108">
              <w:rPr>
                <w:sz w:val="16"/>
                <w:szCs w:val="16"/>
              </w:rPr>
              <w:t>2030. godina</w:t>
            </w:r>
          </w:p>
        </w:tc>
      </w:tr>
    </w:tbl>
    <w:p w14:paraId="77678B99" w14:textId="035E898B" w:rsidR="00DC42BD" w:rsidRDefault="00DC42BD" w:rsidP="00DC42BD">
      <w:pPr>
        <w:pStyle w:val="Caption"/>
      </w:pPr>
      <w:bookmarkStart w:id="265" w:name="_Ref10818105"/>
      <w:bookmarkStart w:id="266" w:name="_Toc27396149"/>
      <w:r>
        <w:t xml:space="preserve">Slika </w:t>
      </w:r>
      <w:r>
        <w:rPr>
          <w:noProof/>
        </w:rPr>
        <w:fldChar w:fldCharType="begin"/>
      </w:r>
      <w:r>
        <w:rPr>
          <w:noProof/>
        </w:rPr>
        <w:instrText xml:space="preserve"> STYLEREF 1 \s </w:instrText>
      </w:r>
      <w:r>
        <w:rPr>
          <w:noProof/>
        </w:rPr>
        <w:fldChar w:fldCharType="separate"/>
      </w:r>
      <w:r w:rsidR="00154150">
        <w:rPr>
          <w:noProof/>
        </w:rPr>
        <w:t>2</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9</w:t>
      </w:r>
      <w:r>
        <w:rPr>
          <w:noProof/>
        </w:rPr>
        <w:fldChar w:fldCharType="end"/>
      </w:r>
      <w:r>
        <w:t>.</w:t>
      </w:r>
      <w:bookmarkEnd w:id="265"/>
      <w:r>
        <w:t xml:space="preserve"> Projekcija potrošnje energije u sektoru prometa</w:t>
      </w:r>
      <w:bookmarkEnd w:id="266"/>
    </w:p>
    <w:p w14:paraId="329DAE94" w14:textId="389C98EF" w:rsidR="006A315D" w:rsidRPr="00223709" w:rsidRDefault="006A315D" w:rsidP="00223709">
      <w:r>
        <w:t>O</w:t>
      </w:r>
      <w:r w:rsidRPr="006A315D">
        <w:t>čekuje</w:t>
      </w:r>
      <w:r>
        <w:t xml:space="preserve"> se</w:t>
      </w:r>
      <w:r w:rsidRPr="006A315D">
        <w:t xml:space="preserve"> smanjenje ukupne potrošnje energije za </w:t>
      </w:r>
      <w:r w:rsidR="0074727B">
        <w:t xml:space="preserve">jednu četvrtinu </w:t>
      </w:r>
      <w:r w:rsidRPr="006A315D">
        <w:t>u odnosu na 2016. godinu</w:t>
      </w:r>
      <w:r>
        <w:t xml:space="preserve"> kao i promjena </w:t>
      </w:r>
      <w:r w:rsidRPr="006A315D">
        <w:t>strukture korištenih energenata</w:t>
      </w:r>
      <w:r w:rsidR="00910AD9">
        <w:t xml:space="preserve">. Očekuje se kako </w:t>
      </w:r>
      <w:r w:rsidRPr="006A315D">
        <w:t xml:space="preserve">će u 2050. godini električna energija zauzimati udio od </w:t>
      </w:r>
      <w:r w:rsidR="0074727B">
        <w:t>oko 20</w:t>
      </w:r>
      <w:r w:rsidRPr="006A315D">
        <w:t xml:space="preserve"> posto, a tekuće gorivo</w:t>
      </w:r>
      <w:r w:rsidR="0074727B">
        <w:t xml:space="preserve"> oko</w:t>
      </w:r>
      <w:r w:rsidRPr="006A315D">
        <w:t xml:space="preserve"> 3</w:t>
      </w:r>
      <w:r w:rsidR="0074727B">
        <w:t>5</w:t>
      </w:r>
      <w:r w:rsidRPr="006A315D">
        <w:t xml:space="preserve"> posto</w:t>
      </w:r>
      <w:r w:rsidR="00910AD9">
        <w:t xml:space="preserve"> u </w:t>
      </w:r>
      <w:r w:rsidR="00C62DD6">
        <w:t>strukturi energenata</w:t>
      </w:r>
      <w:r w:rsidRPr="006A315D">
        <w:t>.</w:t>
      </w:r>
    </w:p>
    <w:p w14:paraId="2DEA043C" w14:textId="544AF2CC" w:rsidR="00FF0CF3" w:rsidRDefault="004E40FF" w:rsidP="00FF0CF3">
      <w:pPr>
        <w:pStyle w:val="Heading2"/>
      </w:pPr>
      <w:bookmarkStart w:id="267" w:name="_Toc531801539"/>
      <w:bookmarkStart w:id="268" w:name="_Toc531801668"/>
      <w:bookmarkStart w:id="269" w:name="_Toc531801794"/>
      <w:bookmarkStart w:id="270" w:name="_Toc531801922"/>
      <w:bookmarkStart w:id="271" w:name="_Toc531935142"/>
      <w:bookmarkStart w:id="272" w:name="_Toc531945092"/>
      <w:bookmarkStart w:id="273" w:name="_Toc6302349"/>
      <w:bookmarkStart w:id="274" w:name="_Toc27396105"/>
      <w:bookmarkEnd w:id="267"/>
      <w:bookmarkEnd w:id="268"/>
      <w:bookmarkEnd w:id="269"/>
      <w:bookmarkEnd w:id="270"/>
      <w:r>
        <w:t>2.3</w:t>
      </w:r>
      <w:r>
        <w:tab/>
      </w:r>
      <w:r w:rsidR="00FF0CF3">
        <w:t>Dimenzija: energetska sigurnost</w:t>
      </w:r>
      <w:bookmarkEnd w:id="271"/>
      <w:bookmarkEnd w:id="272"/>
      <w:bookmarkEnd w:id="273"/>
      <w:bookmarkEnd w:id="274"/>
    </w:p>
    <w:p w14:paraId="5232AE97" w14:textId="77777777" w:rsidR="0007177B" w:rsidRPr="00BE1ECD" w:rsidRDefault="0007177B" w:rsidP="00840E2E">
      <w:pPr>
        <w:pStyle w:val="Heading3"/>
        <w:numPr>
          <w:ilvl w:val="0"/>
          <w:numId w:val="62"/>
        </w:numPr>
      </w:pPr>
      <w:r w:rsidRPr="00BE1ECD">
        <w:t>Nacionalni ciljevi za jačanje diversifikacije izvora energije i opskrbe iz trećih zemalja, skladištenja i odgovora na potražnju;</w:t>
      </w:r>
    </w:p>
    <w:p w14:paraId="1DB27A96" w14:textId="77777777" w:rsidR="003D53F5" w:rsidRDefault="003D53F5" w:rsidP="003D53F5">
      <w:r>
        <w:t>Najvažniji cilj unutar dimenzije energetska sigurnost je osigurati trajnu, sigurnu i kvalitetnu opskrbu svim energentima. Kako bi se ostvario taj cilj, potrebno je pokrenuti integralno i sustavno planiranje opskrbe svim energentima i oblicima energije.</w:t>
      </w:r>
    </w:p>
    <w:p w14:paraId="1DEAE0EC" w14:textId="1F926FE9" w:rsidR="007C50A0" w:rsidRDefault="004B5942" w:rsidP="00495F18">
      <w:r>
        <w:t>Ostali n</w:t>
      </w:r>
      <w:r w:rsidR="00236365">
        <w:t>acionalni ciljevi u pogledu energetske sigurnosti su:</w:t>
      </w:r>
    </w:p>
    <w:p w14:paraId="36814D63" w14:textId="719ACFCF" w:rsidR="00236365" w:rsidRPr="00602568" w:rsidRDefault="00236365" w:rsidP="00840E2E">
      <w:pPr>
        <w:pStyle w:val="ListParagraph"/>
        <w:numPr>
          <w:ilvl w:val="0"/>
          <w:numId w:val="100"/>
        </w:numPr>
        <w:rPr>
          <w:lang w:val="it-IT"/>
        </w:rPr>
      </w:pPr>
      <w:r w:rsidRPr="00602568">
        <w:rPr>
          <w:lang w:val="it-IT"/>
        </w:rPr>
        <w:t>diverzifikacija dobavnih pravaca</w:t>
      </w:r>
      <w:r w:rsidR="008332B4" w:rsidRPr="00602568">
        <w:rPr>
          <w:lang w:val="it-IT"/>
        </w:rPr>
        <w:t xml:space="preserve"> energije i energenata</w:t>
      </w:r>
    </w:p>
    <w:p w14:paraId="6948473F" w14:textId="203508BA" w:rsidR="00236365" w:rsidRPr="00602568" w:rsidRDefault="00236365" w:rsidP="00840E2E">
      <w:pPr>
        <w:pStyle w:val="ListParagraph"/>
        <w:numPr>
          <w:ilvl w:val="0"/>
          <w:numId w:val="100"/>
        </w:numPr>
        <w:rPr>
          <w:lang w:val="it-IT"/>
        </w:rPr>
      </w:pPr>
      <w:r w:rsidRPr="00602568">
        <w:rPr>
          <w:lang w:val="it-IT"/>
        </w:rPr>
        <w:t>povećanje kapaciteta skladišt</w:t>
      </w:r>
      <w:r w:rsidR="004466CF" w:rsidRPr="00602568">
        <w:rPr>
          <w:lang w:val="it-IT"/>
        </w:rPr>
        <w:t>enj</w:t>
      </w:r>
      <w:r w:rsidRPr="00602568">
        <w:rPr>
          <w:lang w:val="it-IT"/>
        </w:rPr>
        <w:t>a plina</w:t>
      </w:r>
      <w:r w:rsidR="00D86D07" w:rsidRPr="00602568">
        <w:rPr>
          <w:lang w:val="it-IT"/>
        </w:rPr>
        <w:t xml:space="preserve"> i energije u elektroenergetskom sustavu</w:t>
      </w:r>
    </w:p>
    <w:p w14:paraId="39584D84" w14:textId="61E9641D" w:rsidR="00D86D07" w:rsidRPr="00602568" w:rsidRDefault="00D86D07" w:rsidP="00840E2E">
      <w:pPr>
        <w:pStyle w:val="ListParagraph"/>
        <w:numPr>
          <w:ilvl w:val="0"/>
          <w:numId w:val="100"/>
        </w:numPr>
        <w:rPr>
          <w:lang w:val="it-IT"/>
        </w:rPr>
      </w:pPr>
      <w:r w:rsidRPr="00602568">
        <w:rPr>
          <w:lang w:val="it-IT"/>
        </w:rPr>
        <w:t>povećanje fleksibilnosti (a time i otpornosti) energetskih sustava</w:t>
      </w:r>
    </w:p>
    <w:p w14:paraId="13B5C7C8" w14:textId="23BAC374" w:rsidR="00F71435" w:rsidRPr="00602568" w:rsidRDefault="00741630" w:rsidP="00840E2E">
      <w:pPr>
        <w:pStyle w:val="ListParagraph"/>
        <w:numPr>
          <w:ilvl w:val="0"/>
          <w:numId w:val="100"/>
        </w:numPr>
        <w:rPr>
          <w:lang w:val="it-IT"/>
        </w:rPr>
      </w:pPr>
      <w:r w:rsidRPr="00602568">
        <w:rPr>
          <w:lang w:val="it-IT"/>
        </w:rPr>
        <w:t xml:space="preserve">zaštita kritične infrastrukture i ublažavanje rizika vezanih za </w:t>
      </w:r>
      <w:r w:rsidR="004741A1" w:rsidRPr="00602568">
        <w:rPr>
          <w:lang w:val="it-IT"/>
        </w:rPr>
        <w:t>kibernetičku sigurnost i klimatske promjene.</w:t>
      </w:r>
    </w:p>
    <w:p w14:paraId="6E441526" w14:textId="70DD2502" w:rsidR="009A7980" w:rsidRDefault="00BB10F4" w:rsidP="00495F18">
      <w:r w:rsidRPr="00462AD9">
        <w:lastRenderedPageBreak/>
        <w:t>U smislu sigurnosti opskrbe plin</w:t>
      </w:r>
      <w:r>
        <w:t>om</w:t>
      </w:r>
      <w:r w:rsidRPr="00462AD9">
        <w:t>, potrebno je osigurati unutarnju operativnu sigurnost opskrbe plinom, kao i sigurnost dobave plina. Hrvatska se u ovom trenutku opskrbljuje plinom iz domaće proizvodnje</w:t>
      </w:r>
      <w:r>
        <w:t xml:space="preserve"> i</w:t>
      </w:r>
      <w:r w:rsidRPr="00462AD9">
        <w:t xml:space="preserve"> iz uvoza preko dobavnih pravaca iz Slovenije i Mađarske, a vršne potrebe zadovoljava opskrbom iz </w:t>
      </w:r>
      <w:r>
        <w:t>podzemnog skladišta plina</w:t>
      </w:r>
      <w:r w:rsidRPr="00462AD9">
        <w:t xml:space="preserve"> Okoli.</w:t>
      </w:r>
      <w:r>
        <w:t xml:space="preserve"> </w:t>
      </w:r>
      <w:r w:rsidR="0026179A">
        <w:t xml:space="preserve">Jedan od ciljeva u kontekstu energetske sigurnosti </w:t>
      </w:r>
      <w:r w:rsidR="004B5942">
        <w:t xml:space="preserve">je </w:t>
      </w:r>
      <w:r w:rsidR="0026179A">
        <w:t>povećanje kap</w:t>
      </w:r>
      <w:r w:rsidR="004C3108">
        <w:t>a</w:t>
      </w:r>
      <w:r w:rsidR="0026179A">
        <w:t xml:space="preserve">citeta </w:t>
      </w:r>
      <w:r>
        <w:t>skladišta plina</w:t>
      </w:r>
      <w:r w:rsidR="00841D53">
        <w:t xml:space="preserve">, </w:t>
      </w:r>
      <w:r w:rsidR="004B5942">
        <w:t>diverzifikacija dobavnih pravaca</w:t>
      </w:r>
      <w:r w:rsidR="004E15B6">
        <w:t xml:space="preserve"> </w:t>
      </w:r>
      <w:r w:rsidR="004E15B6">
        <w:rPr>
          <w:rFonts w:eastAsia="Arial"/>
          <w:color w:val="000000"/>
        </w:rPr>
        <w:t>i ispunjavanje obveza o sigurnosti opskrbe i prema infrastrukturnom standardu (N-1 kriterij) sukladno Uredbi (EU) 2017/1938 o mjerama zaštite sigurnosti opskrbe plinom.</w:t>
      </w:r>
    </w:p>
    <w:p w14:paraId="44EC491E" w14:textId="77777777" w:rsidR="009A7980" w:rsidRDefault="009A7980" w:rsidP="009A7980">
      <w:r w:rsidRPr="00521A1F">
        <w:t>Radi očuvanja sigurnosti opskrbe prirodnim plinom interes Republike Hrvatske je osigurati realizaciju projekta terminala za</w:t>
      </w:r>
      <w:r>
        <w:t xml:space="preserve"> </w:t>
      </w:r>
      <w:r w:rsidRPr="00E16791">
        <w:t>ukapljeni prirodni plin</w:t>
      </w:r>
      <w:r w:rsidRPr="00521A1F">
        <w:t xml:space="preserve"> </w:t>
      </w:r>
      <w:r>
        <w:t>(</w:t>
      </w:r>
      <w:r w:rsidRPr="00521A1F">
        <w:t>UPP</w:t>
      </w:r>
      <w:r>
        <w:t>)</w:t>
      </w:r>
      <w:r w:rsidRPr="00521A1F">
        <w:t xml:space="preserve"> na otoku Krku sukladno Strategiji energetskog razvoja Republike Hrvatske, Strategiji skladištenja prirodnog plina Europske unije i Strategiji sigurne opskrbe energijom Europske unije.</w:t>
      </w:r>
      <w:r>
        <w:t xml:space="preserve"> Realizacija projekta terminala za UPP na otoku Krku osigurat će novi dobavni pravac prirodnog plina te će diversificirati putove i izvore opskrbe prirodnim plinom na tržištu Republike Hrvatske i Europske unije, a što će bitno utjecati na sigurnost opskrbe prirodnim plinom.</w:t>
      </w:r>
    </w:p>
    <w:p w14:paraId="3DD81BD2" w14:textId="1B93341A" w:rsidR="00BB10F4" w:rsidRDefault="00E15CDD" w:rsidP="00495F18">
      <w:r>
        <w:t xml:space="preserve">U svrhu diverzifikacije dobavnih pravaca plina, </w:t>
      </w:r>
      <w:r w:rsidR="00CF2A2F">
        <w:t xml:space="preserve">uz </w:t>
      </w:r>
      <w:r>
        <w:t>izgra</w:t>
      </w:r>
      <w:r w:rsidR="00CF2A2F">
        <w:t>d</w:t>
      </w:r>
      <w:r>
        <w:t>nj</w:t>
      </w:r>
      <w:r w:rsidR="00CF2A2F">
        <w:t>u</w:t>
      </w:r>
      <w:r>
        <w:t xml:space="preserve"> terminala</w:t>
      </w:r>
      <w:r w:rsidR="00173662">
        <w:t xml:space="preserve"> za UPP</w:t>
      </w:r>
      <w:r>
        <w:t xml:space="preserve"> </w:t>
      </w:r>
      <w:r w:rsidR="00CF2A2F">
        <w:t xml:space="preserve">planira se </w:t>
      </w:r>
      <w:r>
        <w:t xml:space="preserve">i uključivanje u Jadransko-jonski plinovod. </w:t>
      </w:r>
      <w:r w:rsidR="00BA4A96">
        <w:t>U svrhu d</w:t>
      </w:r>
      <w:r>
        <w:t>iverzifikacij</w:t>
      </w:r>
      <w:r w:rsidR="00BA4A96">
        <w:t>e</w:t>
      </w:r>
      <w:r>
        <w:t xml:space="preserve"> dobavnih pravaca električne energije </w:t>
      </w:r>
      <w:r w:rsidR="00BA4A96">
        <w:t>razmatra se izgradnja interkonek</w:t>
      </w:r>
      <w:r w:rsidR="009C2657">
        <w:t>t</w:t>
      </w:r>
      <w:r w:rsidR="00BA4A96">
        <w:t>ivnih vodova prema Bosni i Hercegovini</w:t>
      </w:r>
      <w:r w:rsidR="007643EE">
        <w:t>, Mađarskoj i Srbiji.</w:t>
      </w:r>
    </w:p>
    <w:p w14:paraId="61BA907F" w14:textId="4AAEE0E7" w:rsidR="00206CE7" w:rsidRDefault="007E6B81" w:rsidP="00223709">
      <w:r>
        <w:t>U svrhu povećanja kapaciteta sk</w:t>
      </w:r>
      <w:r w:rsidR="004C3108">
        <w:t>l</w:t>
      </w:r>
      <w:r>
        <w:t xml:space="preserve">adištenja plina, planira se </w:t>
      </w:r>
      <w:r w:rsidR="005B392B">
        <w:t xml:space="preserve">razvoj sustava za skladištenje plina (dogradnja postojećih skladišta i </w:t>
      </w:r>
      <w:r w:rsidR="00206CE7">
        <w:t>iz</w:t>
      </w:r>
      <w:r w:rsidR="002708DF">
        <w:t>g</w:t>
      </w:r>
      <w:r w:rsidR="00206CE7">
        <w:t>radnja novog podzemnog skladišta</w:t>
      </w:r>
      <w:r w:rsidR="007D42F8">
        <w:t>)</w:t>
      </w:r>
      <w:r w:rsidR="00206CE7">
        <w:t>. S</w:t>
      </w:r>
      <w:r w:rsidR="00847248">
        <w:t>k</w:t>
      </w:r>
      <w:r w:rsidR="00206CE7">
        <w:t xml:space="preserve">ladištenje energije u EES-u omogućit će se izgradnjom crpnih elektrana, čime će se također osigurati i veća fleksibilnost sustava i </w:t>
      </w:r>
      <w:r w:rsidR="00BB10F4">
        <w:t>već</w:t>
      </w:r>
      <w:r w:rsidR="00206CE7">
        <w:t>a</w:t>
      </w:r>
      <w:r w:rsidR="00BB10F4">
        <w:t xml:space="preserve"> </w:t>
      </w:r>
      <w:r w:rsidR="00206CE7">
        <w:t xml:space="preserve">integracija </w:t>
      </w:r>
      <w:r w:rsidR="00BB10F4">
        <w:t>v</w:t>
      </w:r>
      <w:r w:rsidR="00D43BFD">
        <w:t>a</w:t>
      </w:r>
      <w:r w:rsidR="00BB10F4">
        <w:t>rijabilnih obnovljivih izvora energije, prvenstveno sunca i vjetra.</w:t>
      </w:r>
      <w:r w:rsidR="00206CE7">
        <w:t xml:space="preserve"> Uz skladištenje energije, fleksibilnosti sustava doprinijet će i omogućavanje sudjelovanja odziva potrošnje u pogonu EES-a.</w:t>
      </w:r>
    </w:p>
    <w:p w14:paraId="6A1D7812" w14:textId="77777777" w:rsidR="008A2B2A" w:rsidRPr="00BE1ECD" w:rsidRDefault="008A2B2A" w:rsidP="00840E2E">
      <w:pPr>
        <w:pStyle w:val="Heading3"/>
        <w:numPr>
          <w:ilvl w:val="0"/>
          <w:numId w:val="62"/>
        </w:numPr>
      </w:pPr>
      <w:r w:rsidRPr="00BE1ECD">
        <w:t>Ako je primjenjivo, nacionalni ciljevi u pogledu smanjenja ovisnosti o energiji uvezenoj iz trećih zemalja</w:t>
      </w:r>
    </w:p>
    <w:p w14:paraId="72FB5082" w14:textId="38FB7918" w:rsidR="000B22EA" w:rsidRDefault="00621272" w:rsidP="00223709">
      <w:pPr>
        <w:suppressAutoHyphens w:val="0"/>
        <w:contextualSpacing/>
        <w:jc w:val="left"/>
      </w:pPr>
      <w:bookmarkStart w:id="275" w:name="_Hlk531787102"/>
      <w:r>
        <w:t xml:space="preserve">Povećanje udjela OIE u strukturi korištenih energenata doprinijet će smanjenju ovisnosti o uvozu, pa tako i uvozu iz trećih zemalja. </w:t>
      </w:r>
      <w:r w:rsidR="00340385">
        <w:t>Također, u</w:t>
      </w:r>
      <w:r w:rsidR="00495F18">
        <w:t xml:space="preserve"> cilju smanjenja uvoza energenata iz trećih zemalja, </w:t>
      </w:r>
      <w:r w:rsidR="006F64BF" w:rsidRPr="006F64BF">
        <w:t>potrebno je istražiti potencijalna ležišta ugljikovodika u Slavoniji, Dinaridima i Jadranu</w:t>
      </w:r>
      <w:r w:rsidR="00495F18">
        <w:t>.</w:t>
      </w:r>
    </w:p>
    <w:bookmarkEnd w:id="275"/>
    <w:p w14:paraId="41813C6B" w14:textId="0663DCF4" w:rsidR="000141CE" w:rsidRPr="00BE1ECD" w:rsidRDefault="000141CE" w:rsidP="00840E2E">
      <w:pPr>
        <w:pStyle w:val="Heading3"/>
        <w:numPr>
          <w:ilvl w:val="0"/>
          <w:numId w:val="62"/>
        </w:numPr>
      </w:pPr>
      <w:r w:rsidRPr="00BE1ECD">
        <w:t>Nacionalni ciljevi u pogledu spremnosti na suočavanje s ograničenom opskrbom ili prekidom opskrbe iz određenog izvora energije (uključujući plin i električnu energiju) i, ako je primjenjivo, vremenski okvir u kojem će ti ciljevi biti ostvareni</w:t>
      </w:r>
    </w:p>
    <w:p w14:paraId="58F80534" w14:textId="77777777" w:rsidR="00F04ABD" w:rsidRPr="00381452" w:rsidRDefault="00F04ABD" w:rsidP="00602568">
      <w:pPr>
        <w:keepNext/>
        <w:suppressAutoHyphens w:val="0"/>
        <w:spacing w:after="160" w:line="259" w:lineRule="auto"/>
        <w:contextualSpacing/>
        <w:jc w:val="left"/>
        <w:rPr>
          <w:u w:val="single"/>
        </w:rPr>
      </w:pPr>
      <w:r>
        <w:rPr>
          <w:u w:val="single"/>
        </w:rPr>
        <w:t>Elektroenergetski</w:t>
      </w:r>
      <w:r w:rsidRPr="00381452">
        <w:rPr>
          <w:u w:val="single"/>
        </w:rPr>
        <w:t xml:space="preserve"> sektor</w:t>
      </w:r>
    </w:p>
    <w:p w14:paraId="54588B20" w14:textId="6E2FF540" w:rsidR="00F04ABD" w:rsidRDefault="00F04ABD" w:rsidP="00F04ABD">
      <w:pPr>
        <w:suppressAutoHyphens w:val="0"/>
        <w:spacing w:after="160" w:line="259" w:lineRule="auto"/>
        <w:contextualSpacing/>
      </w:pPr>
      <w:r>
        <w:t>Nacionalni ciljevi u pogledu sigurnosti opskrbe električnom energijom su:</w:t>
      </w:r>
    </w:p>
    <w:p w14:paraId="5D82AB62" w14:textId="333EAF1E" w:rsidR="00F04ABD" w:rsidRDefault="00F04ABD" w:rsidP="00840E2E">
      <w:pPr>
        <w:pStyle w:val="ListParagraph"/>
        <w:numPr>
          <w:ilvl w:val="0"/>
          <w:numId w:val="18"/>
        </w:numPr>
        <w:suppressAutoHyphens w:val="0"/>
        <w:spacing w:after="160" w:line="259" w:lineRule="auto"/>
        <w:contextualSpacing/>
      </w:pPr>
      <w:r>
        <w:lastRenderedPageBreak/>
        <w:t>stvaranje povoljnog investicijskog okruženja za ulaganja u nova postrojenja za proizvodnju električne energije te revitalizaciju postojećih postrojenja, u cilju smanjenja ovisnosti o uvozu električne energije s tržišta</w:t>
      </w:r>
      <w:r w:rsidR="008E0B11">
        <w:t xml:space="preserve">, </w:t>
      </w:r>
      <w:r>
        <w:t>povećanju konkurentnosti elektrana smještenih na prostoru države</w:t>
      </w:r>
      <w:r w:rsidR="008E0B11">
        <w:t xml:space="preserve"> te</w:t>
      </w:r>
      <w:r w:rsidR="00094058">
        <w:t xml:space="preserve"> </w:t>
      </w:r>
      <w:r w:rsidR="008E0B11">
        <w:t>u cilju daljnjih povećanja mogućnosti proizvodnje električne energije na teritoriju države i rasterećenja mreža.</w:t>
      </w:r>
    </w:p>
    <w:p w14:paraId="78F5AC2F" w14:textId="77777777" w:rsidR="00F04ABD" w:rsidRDefault="00F04ABD" w:rsidP="00840E2E">
      <w:pPr>
        <w:pStyle w:val="ListParagraph"/>
        <w:numPr>
          <w:ilvl w:val="0"/>
          <w:numId w:val="18"/>
        </w:numPr>
        <w:suppressAutoHyphens w:val="0"/>
        <w:spacing w:after="160" w:line="259" w:lineRule="auto"/>
        <w:contextualSpacing/>
      </w:pPr>
      <w:r>
        <w:t>izgradnja različitih tipova elektrana s obzirom na karakteristike sustava u cjelini (temeljne, regulacijske-vršne, ostale), u cilju tehnički ispravnog funkcioniranja elektroenergetskog sustava u cjelini i osiguravanja dostatnih rezervi za uravnoteženje proizvodnje i potrošnje električne energije u svakom trenutku (kratkom razdoblju),</w:t>
      </w:r>
    </w:p>
    <w:p w14:paraId="03DB8243" w14:textId="4E25B9D4" w:rsidR="00F04ABD" w:rsidRDefault="00F04ABD" w:rsidP="00840E2E">
      <w:pPr>
        <w:pStyle w:val="ListParagraph"/>
        <w:numPr>
          <w:ilvl w:val="0"/>
          <w:numId w:val="18"/>
        </w:numPr>
        <w:suppressAutoHyphens w:val="0"/>
        <w:spacing w:after="160" w:line="259" w:lineRule="auto"/>
        <w:contextualSpacing/>
      </w:pPr>
      <w:r>
        <w:t xml:space="preserve">diversifikacija elektrana prema vrstama korištenog primarnog energenta, u cilju izbjegavanja većih poremećaja u </w:t>
      </w:r>
      <w:r w:rsidR="008E0B11">
        <w:t>proizvodnji električne energije</w:t>
      </w:r>
      <w:r>
        <w:t xml:space="preserve"> za vrijeme razdoblja nedostupnosti pojedinih primarnih energenata,</w:t>
      </w:r>
    </w:p>
    <w:p w14:paraId="61B25A66" w14:textId="77777777" w:rsidR="00F04ABD" w:rsidRDefault="00F04ABD" w:rsidP="00840E2E">
      <w:pPr>
        <w:pStyle w:val="ListParagraph"/>
        <w:numPr>
          <w:ilvl w:val="0"/>
          <w:numId w:val="18"/>
        </w:numPr>
        <w:suppressAutoHyphens w:val="0"/>
        <w:spacing w:after="160" w:line="259" w:lineRule="auto"/>
        <w:contextualSpacing/>
      </w:pPr>
      <w:r>
        <w:t>pravovremeno provođenje investicijskih planova operatora prijenosnog i distribucijskog sustava uz regulatorni nadzor, radi izbjegavanja poremećaja u opskrbi kupaca tijekom kvarova u mrežama,</w:t>
      </w:r>
    </w:p>
    <w:p w14:paraId="1242F2F1" w14:textId="77777777" w:rsidR="00F04ABD" w:rsidRDefault="00F04ABD" w:rsidP="00840E2E">
      <w:pPr>
        <w:pStyle w:val="ListParagraph"/>
        <w:numPr>
          <w:ilvl w:val="0"/>
          <w:numId w:val="18"/>
        </w:numPr>
        <w:suppressAutoHyphens w:val="0"/>
        <w:spacing w:after="160" w:line="259" w:lineRule="auto"/>
        <w:contextualSpacing/>
      </w:pPr>
      <w:r>
        <w:t>primjena mjera energetske efikasnosti radi smanjenja potrošnje električne energije, u cilju smanjenja potreba za električnom energijom, te</w:t>
      </w:r>
    </w:p>
    <w:p w14:paraId="2D6ED301" w14:textId="305B241F" w:rsidR="00F04ABD" w:rsidRDefault="00477FBE" w:rsidP="00840E2E">
      <w:pPr>
        <w:pStyle w:val="ListParagraph"/>
        <w:numPr>
          <w:ilvl w:val="0"/>
          <w:numId w:val="18"/>
        </w:numPr>
        <w:suppressAutoHyphens w:val="0"/>
        <w:spacing w:after="160" w:line="259" w:lineRule="auto"/>
        <w:contextualSpacing/>
      </w:pPr>
      <w:r>
        <w:t xml:space="preserve">izgradnja distribuiranih izvora električne energije s priključkom na </w:t>
      </w:r>
      <w:r w:rsidR="00094058">
        <w:t>srednjenaponsku i niskonaponsku</w:t>
      </w:r>
      <w:r>
        <w:t xml:space="preserve"> </w:t>
      </w:r>
      <w:r w:rsidR="00094058">
        <w:t>mrežu</w:t>
      </w:r>
      <w:r>
        <w:t xml:space="preserve"> u blizini potrošnje, u cilju daljnjih povećanja mogućnosti proizvodnje električne energije na teritoriju države i rasterećenja mreža.</w:t>
      </w:r>
    </w:p>
    <w:p w14:paraId="18961045" w14:textId="34014201" w:rsidR="00A626AB" w:rsidRDefault="00A626AB" w:rsidP="00223709">
      <w:pPr>
        <w:suppressAutoHyphens w:val="0"/>
        <w:spacing w:after="160"/>
        <w:contextualSpacing/>
        <w:jc w:val="left"/>
        <w:rPr>
          <w:u w:val="single"/>
        </w:rPr>
      </w:pPr>
      <w:r>
        <w:rPr>
          <w:u w:val="single"/>
        </w:rPr>
        <w:t>Plinski sektor</w:t>
      </w:r>
    </w:p>
    <w:p w14:paraId="4E3C7D9D" w14:textId="77777777" w:rsidR="00A626AB" w:rsidRDefault="00A626AB" w:rsidP="00A626AB">
      <w:r>
        <w:t xml:space="preserve">Osnovni okvir za uređenje sigurnosti opskrbe prirodnim plinom u Republici Hrvatskoj propisuje Uredba br. 1938/2017 Europskog parlamenta i Europskog vijeća o mjerama zaštite sigurnosti opskrbe plinom i stavljanju izvan snage Uredbe (EU) br. 994/2010. </w:t>
      </w:r>
      <w:r w:rsidRPr="00FC00F5">
        <w:t xml:space="preserve">Ovom Uredbom nastoji se osigurati poduzimanje svih potrebnih mjera za zaštitu neprekinute opskrbe plinom, a posebno opskrbe zaštićenih kupaca u slučaju teških klimatskih uvjeta ili poremećaja u opskrbi plinom. </w:t>
      </w:r>
    </w:p>
    <w:p w14:paraId="01ABC30F" w14:textId="77777777" w:rsidR="00A626AB" w:rsidRDefault="00A626AB" w:rsidP="00A626AB">
      <w:r>
        <w:t>Uredba 1938/2017 je stupila na snagu 1. studenog 2017., a cilj Uredbe je povećanje solidarnosti i povjerenja među državama članicama i uspostava mjera potrebnih za ostvarenje tih ciljeva</w:t>
      </w:r>
      <w:r w:rsidRPr="00FC00F5">
        <w:t xml:space="preserve"> troškovno najučinkovitijim mjerama i na način kojim se neće narušiti tržišta plina.</w:t>
      </w:r>
      <w:r>
        <w:t xml:space="preserve"> Glavna poboljšanja u odnosu na prethodnu Uredbu 994/2010 su:</w:t>
      </w:r>
    </w:p>
    <w:p w14:paraId="3566D3D1" w14:textId="77777777" w:rsidR="00A626AB" w:rsidRDefault="00A626AB" w:rsidP="00840E2E">
      <w:pPr>
        <w:pStyle w:val="ListParagraph"/>
        <w:numPr>
          <w:ilvl w:val="0"/>
          <w:numId w:val="22"/>
        </w:numPr>
        <w:tabs>
          <w:tab w:val="clear" w:pos="431"/>
        </w:tabs>
        <w:suppressAutoHyphens w:val="0"/>
        <w:spacing w:after="160" w:line="288" w:lineRule="auto"/>
        <w:ind w:left="788" w:hanging="357"/>
        <w:contextualSpacing/>
      </w:pPr>
      <w:r>
        <w:t>uvođenje mehanizma solidarnosti prema kojem će u slučaju ozbiljne krizne situacije susjedne države članice pomagati u osiguranju opskrbe kućanstava i ključnih javnih usluga,</w:t>
      </w:r>
    </w:p>
    <w:p w14:paraId="44D8C9B3" w14:textId="77777777" w:rsidR="00A626AB" w:rsidRDefault="00A626AB" w:rsidP="00840E2E">
      <w:pPr>
        <w:pStyle w:val="ListParagraph"/>
        <w:numPr>
          <w:ilvl w:val="0"/>
          <w:numId w:val="22"/>
        </w:numPr>
        <w:tabs>
          <w:tab w:val="clear" w:pos="431"/>
        </w:tabs>
        <w:suppressAutoHyphens w:val="0"/>
        <w:spacing w:after="160" w:line="288" w:lineRule="auto"/>
        <w:ind w:left="788" w:hanging="357"/>
        <w:contextualSpacing/>
      </w:pPr>
      <w:r>
        <w:t xml:space="preserve">jačanje regionalne suradnje putem regionalnih skupina za rizik, te zajedničke procjene sigurnosnih rizika i usuglašenih zajedničkih preventivnih i kriznih mjera, te </w:t>
      </w:r>
    </w:p>
    <w:p w14:paraId="4BBEC187" w14:textId="77777777" w:rsidR="00A626AB" w:rsidRDefault="00A626AB" w:rsidP="00840E2E">
      <w:pPr>
        <w:pStyle w:val="ListParagraph"/>
        <w:numPr>
          <w:ilvl w:val="0"/>
          <w:numId w:val="22"/>
        </w:numPr>
        <w:tabs>
          <w:tab w:val="clear" w:pos="431"/>
        </w:tabs>
        <w:suppressAutoHyphens w:val="0"/>
        <w:spacing w:after="160" w:line="288" w:lineRule="auto"/>
        <w:ind w:left="788" w:hanging="357"/>
        <w:contextualSpacing/>
      </w:pPr>
      <w:r>
        <w:t>veća transparentnost kroz uvođenje obveze priopćivanja nadležnom tijelu ugovora između opskrbljivača i kupca kojima je obuhvaćeno 28 % ili više godišnje potrošnje plina na nacionalnom tržištu.</w:t>
      </w:r>
    </w:p>
    <w:p w14:paraId="7013284A" w14:textId="77777777" w:rsidR="00A626AB" w:rsidRDefault="00A626AB" w:rsidP="00A626AB">
      <w:r>
        <w:t>U skladu s odredbama Zakona o tržištu plina, sudionici na tržištu plina odgovorni su za sigurnost opskrbe plinom u okviru svoje djelatnosti. Nadležno tijelo zaduženo za provedbu mjera iz Uredbe 1938/2017 je Ministarstvo nadležno za energetiku te je odgovorno za:</w:t>
      </w:r>
    </w:p>
    <w:p w14:paraId="29FD8D54" w14:textId="05DA307E" w:rsidR="00A626AB" w:rsidRDefault="00A626AB" w:rsidP="00840E2E">
      <w:pPr>
        <w:pStyle w:val="ListParagraph"/>
        <w:numPr>
          <w:ilvl w:val="0"/>
          <w:numId w:val="23"/>
        </w:numPr>
      </w:pPr>
      <w:r>
        <w:t>praćenje odnosa između ponude i potražnje na tržištu plina,</w:t>
      </w:r>
    </w:p>
    <w:p w14:paraId="7F239F76" w14:textId="23C935C9" w:rsidR="00A626AB" w:rsidRDefault="00A626AB" w:rsidP="00840E2E">
      <w:pPr>
        <w:pStyle w:val="ListParagraph"/>
        <w:numPr>
          <w:ilvl w:val="0"/>
          <w:numId w:val="23"/>
        </w:numPr>
      </w:pPr>
      <w:r>
        <w:lastRenderedPageBreak/>
        <w:t>izradu procjena buduće potrošnje i raspoložive ponude,</w:t>
      </w:r>
    </w:p>
    <w:p w14:paraId="14A96ACE" w14:textId="08205C58" w:rsidR="00A626AB" w:rsidRDefault="00A626AB" w:rsidP="00840E2E">
      <w:pPr>
        <w:pStyle w:val="ListParagraph"/>
        <w:numPr>
          <w:ilvl w:val="0"/>
          <w:numId w:val="23"/>
        </w:numPr>
      </w:pPr>
      <w:r>
        <w:t>planiranje izgradnje i razvoja dodatnih kapaciteta plinskog sustava i</w:t>
      </w:r>
    </w:p>
    <w:p w14:paraId="42731AE8" w14:textId="32CB2E43" w:rsidR="00A626AB" w:rsidRDefault="00A626AB" w:rsidP="00840E2E">
      <w:pPr>
        <w:pStyle w:val="ListParagraph"/>
        <w:numPr>
          <w:ilvl w:val="0"/>
          <w:numId w:val="23"/>
        </w:numPr>
      </w:pPr>
      <w:r>
        <w:t>predlaganje i poduzimanje mjera u slučaju proglašenja kriznog stanja.</w:t>
      </w:r>
    </w:p>
    <w:p w14:paraId="54DC075A" w14:textId="77777777" w:rsidR="00A626AB" w:rsidRDefault="00A626AB" w:rsidP="00A626AB">
      <w:r>
        <w:t>Jedinice područne (regionalne) samouprave odgovorne su za:</w:t>
      </w:r>
    </w:p>
    <w:p w14:paraId="1812F611" w14:textId="2495431E" w:rsidR="00A626AB" w:rsidRDefault="00A626AB" w:rsidP="00840E2E">
      <w:pPr>
        <w:pStyle w:val="ListParagraph"/>
        <w:numPr>
          <w:ilvl w:val="0"/>
          <w:numId w:val="24"/>
        </w:numPr>
      </w:pPr>
      <w:r>
        <w:t>praćenje odnosa između ponude i potražnje plina na svom području,</w:t>
      </w:r>
    </w:p>
    <w:p w14:paraId="2A76B302" w14:textId="6AFE050A" w:rsidR="00A626AB" w:rsidRDefault="00A626AB" w:rsidP="00840E2E">
      <w:pPr>
        <w:pStyle w:val="ListParagraph"/>
        <w:numPr>
          <w:ilvl w:val="0"/>
          <w:numId w:val="24"/>
        </w:numPr>
      </w:pPr>
      <w:r>
        <w:t>izradu procjena buduće potrošnje i raspoložive ponude,</w:t>
      </w:r>
    </w:p>
    <w:p w14:paraId="26BE1C7C" w14:textId="58D61CDF" w:rsidR="00A626AB" w:rsidRDefault="00A626AB" w:rsidP="00840E2E">
      <w:pPr>
        <w:pStyle w:val="ListParagraph"/>
        <w:numPr>
          <w:ilvl w:val="0"/>
          <w:numId w:val="24"/>
        </w:numPr>
      </w:pPr>
      <w:r>
        <w:t>planiranje izgradnje dodatnih kapaciteta i razvoj distribucijskog sustava na svom području te</w:t>
      </w:r>
    </w:p>
    <w:p w14:paraId="665782D5" w14:textId="12FE28CA" w:rsidR="00A626AB" w:rsidRDefault="00A626AB" w:rsidP="00840E2E">
      <w:pPr>
        <w:pStyle w:val="ListParagraph"/>
        <w:numPr>
          <w:ilvl w:val="0"/>
          <w:numId w:val="24"/>
        </w:numPr>
      </w:pPr>
      <w:r>
        <w:t>predlaganje i poduzimanje mjera u okviru svoje nadležnosti utvrđene zakonom.</w:t>
      </w:r>
    </w:p>
    <w:p w14:paraId="464311A6" w14:textId="3F133FC7" w:rsidR="00A626AB" w:rsidRDefault="00A626AB" w:rsidP="00A626AB">
      <w:r>
        <w:t>Nadalje, Uredbom (EU) 1938/2017 utvrđena je obveza nadležnih institucija za izradu:</w:t>
      </w:r>
    </w:p>
    <w:p w14:paraId="1608F934" w14:textId="7B7F5688" w:rsidR="00A626AB" w:rsidRDefault="00A626AB" w:rsidP="00840E2E">
      <w:pPr>
        <w:pStyle w:val="ListParagraph"/>
        <w:numPr>
          <w:ilvl w:val="0"/>
          <w:numId w:val="25"/>
        </w:numPr>
      </w:pPr>
      <w:r>
        <w:t>plana prevencije koji sadrži mjere potrebne za uklanjanje i ublažavanje utvrđenih rizika</w:t>
      </w:r>
      <w:r w:rsidR="00993CB6">
        <w:t>,</w:t>
      </w:r>
    </w:p>
    <w:p w14:paraId="714D08F1" w14:textId="7B4CC652" w:rsidR="00A626AB" w:rsidRDefault="00A626AB" w:rsidP="00840E2E">
      <w:pPr>
        <w:pStyle w:val="ListParagraph"/>
        <w:numPr>
          <w:ilvl w:val="0"/>
          <w:numId w:val="25"/>
        </w:numPr>
      </w:pPr>
      <w:r>
        <w:t>interventnog plana koji sadrži mjere koje se poduzimaju radi uklanjanja, odnosno, ublažavanja utjecaja poremećaja u opskrbi plinom.</w:t>
      </w:r>
    </w:p>
    <w:p w14:paraId="335D0993" w14:textId="0A0F5D52" w:rsidR="00A626AB" w:rsidRDefault="00A626AB" w:rsidP="00A626AB">
      <w:r>
        <w:t>Vlada RH je, radi utvrđivanja plana prevencije koji sadrži mjere potrebne za uklanjanje i ublažavanje utvrđenih rizika, sukladno s procjenom rizika provedenom na temelju članka 9. Uredbe (EU) 994/2010 i utvrđivanja interventnog plana koji sadrži mjere koje se poduzimaju radi uklanjanja ili ublažavanja utjecaja poremećaja u opskrbi plinom sukladno članku 10. Uredbe (EU) 994/2010, donijela Plan intervencije o mjerama zaštite sigurnosti opskrbe plinom Republike Hrvatske (</w:t>
      </w:r>
      <w:r w:rsidR="00880054">
        <w:t>NN</w:t>
      </w:r>
      <w:r w:rsidR="00E16791">
        <w:t xml:space="preserve"> </w:t>
      </w:r>
      <w:r>
        <w:t xml:space="preserve">78/14), kojim su, između ostalog, definirane i obveze operatora sustava skladišta plina vezane uz sigurnost opskrbe (npr. </w:t>
      </w:r>
      <w:r w:rsidRPr="00580F86">
        <w:t>osigurati maksimalnu zapunjenost skladišta plina prije početka ogrjevne sezone</w:t>
      </w:r>
      <w:r>
        <w:t>)</w:t>
      </w:r>
      <w:r w:rsidRPr="00580F86">
        <w:t>.</w:t>
      </w:r>
    </w:p>
    <w:p w14:paraId="3E355C9E" w14:textId="7A24E1CE" w:rsidR="00A626AB" w:rsidRDefault="00A626AB" w:rsidP="00A626AB">
      <w:r>
        <w:t>U svrhu utvrđivanja kriterija za stjecanje statusa zaštićenog kupca i mjera zaštite s ciljem pouzdane opskrbe zaštićenih kupaca, Vlada RH je donijela Uredbu o kriterijima za stjecanje statusa zaštićenog kupca u uvjetima kriznih stanja u opskrbi plinom (</w:t>
      </w:r>
      <w:r w:rsidR="00880054">
        <w:t>NN</w:t>
      </w:r>
      <w:r w:rsidR="00E16791">
        <w:t xml:space="preserve"> </w:t>
      </w:r>
      <w:r>
        <w:t>65/15).</w:t>
      </w:r>
    </w:p>
    <w:p w14:paraId="202EFEC7" w14:textId="77777777" w:rsidR="00A626AB" w:rsidRDefault="00A626AB" w:rsidP="00A626AB">
      <w:r>
        <w:t>Planovi prevencije i interventni planovi izrađeni u skladu s Uredbom 994/2010 ostaju na snazi dok ne budu doneseni novi planovi prevencije i interventni planovi izrađeni u skladu s Uredbom 1938/2017.</w:t>
      </w:r>
    </w:p>
    <w:p w14:paraId="462443EE" w14:textId="77777777" w:rsidR="00A626AB" w:rsidRDefault="00A626AB" w:rsidP="00A626AB">
      <w:r w:rsidRPr="006A796A">
        <w:t xml:space="preserve">Sukladno Uredbi (EU) </w:t>
      </w:r>
      <w:r>
        <w:t>1938/</w:t>
      </w:r>
      <w:r w:rsidRPr="006A796A">
        <w:t>2017</w:t>
      </w:r>
      <w:r>
        <w:t>, preventivne mjere za sigurnost opskrbe uključuju i mjere diversifikacije putova i izvora opskrbe prirodnim plinom., a realizacija projekta terminala za UPP na otoku Krku identificirana je kao glavna mjera diversifikacije putova i izvora opskrbe prirodnim plinom.</w:t>
      </w:r>
    </w:p>
    <w:p w14:paraId="784EE304" w14:textId="7A37495B" w:rsidR="00A626AB" w:rsidRDefault="00A626AB" w:rsidP="00A626AB">
      <w:r>
        <w:t>Radi osiguranja ove mjere, sukladno Zakonu o terminalu za ukapljeni prirodni plin (</w:t>
      </w:r>
      <w:r w:rsidR="00880054">
        <w:t>NN</w:t>
      </w:r>
      <w:r w:rsidR="00E16791">
        <w:t xml:space="preserve"> </w:t>
      </w:r>
      <w:r>
        <w:t xml:space="preserve">57/18) </w:t>
      </w:r>
      <w:r w:rsidR="00E16791">
        <w:t>HERA</w:t>
      </w:r>
      <w:r>
        <w:t xml:space="preserve"> može odlukom odrediti visinu i način prikupljanja naknade za sigurnost opskrbe prema zahtjevu operatora transportnog sustava, a nastavno na prijedlog operatora terminala za UPP. O</w:t>
      </w:r>
      <w:r w:rsidRPr="006A796A">
        <w:t>perator transportnog sustava prikuplja naknadu za sigurnost opskrbe te je isplaćuje u korist operatora terminala za UPP.</w:t>
      </w:r>
    </w:p>
    <w:p w14:paraId="1D68D58A" w14:textId="7D5C5D8E" w:rsidR="0011696B" w:rsidRPr="00223709" w:rsidRDefault="0011696B" w:rsidP="00A626AB">
      <w:pPr>
        <w:rPr>
          <w:u w:val="single"/>
        </w:rPr>
      </w:pPr>
      <w:r w:rsidRPr="00223709">
        <w:rPr>
          <w:u w:val="single"/>
        </w:rPr>
        <w:t>Sektor toplinarstva</w:t>
      </w:r>
    </w:p>
    <w:p w14:paraId="55254196" w14:textId="20E23B36" w:rsidR="00A626AB" w:rsidRPr="00276CE9" w:rsidRDefault="00142E37" w:rsidP="00223709">
      <w:pPr>
        <w:suppressAutoHyphens w:val="0"/>
      </w:pPr>
      <w:r w:rsidRPr="00142E37">
        <w:lastRenderedPageBreak/>
        <w:t>Potrebno je osigurati ulogu sektora toplinarstva u zadovoljavanju potreba za grijanjem. U tu svrhu, poželjno je uvođenje zoniranja na području toplinarstva kao što je to već napravljeno u drugim članicama EU.</w:t>
      </w:r>
      <w:r w:rsidDel="00142E37">
        <w:t xml:space="preserve"> </w:t>
      </w:r>
    </w:p>
    <w:p w14:paraId="789283C5" w14:textId="1FD3B06A" w:rsidR="00E34EC8" w:rsidRPr="00276CE9" w:rsidRDefault="00B33677" w:rsidP="00223709">
      <w:pPr>
        <w:suppressAutoHyphens w:val="0"/>
        <w:rPr>
          <w:u w:val="single"/>
        </w:rPr>
      </w:pPr>
      <w:r w:rsidRPr="00276CE9">
        <w:rPr>
          <w:u w:val="single"/>
        </w:rPr>
        <w:t>Naftni sektor</w:t>
      </w:r>
    </w:p>
    <w:p w14:paraId="7EA17062" w14:textId="378B55F0" w:rsidR="00A824B2" w:rsidRDefault="00D87BF8" w:rsidP="0051602C">
      <w:pPr>
        <w:rPr>
          <w:rFonts w:cs="Arial"/>
        </w:rPr>
      </w:pPr>
      <w:r>
        <w:rPr>
          <w:rFonts w:cs="Arial"/>
        </w:rPr>
        <w:t>Uspostava i provođenje mjera za sigurnu i pouzdanu opskrbu naftom i naftnim derivatima</w:t>
      </w:r>
      <w:r w:rsidR="00C10F94">
        <w:rPr>
          <w:rFonts w:cs="Arial"/>
        </w:rPr>
        <w:t xml:space="preserve"> određena je Zakonom o tržištu nafte i naftnim derivatima (NN</w:t>
      </w:r>
      <w:r w:rsidR="00A917E2">
        <w:rPr>
          <w:rFonts w:cs="Arial"/>
        </w:rPr>
        <w:t xml:space="preserve"> 19/14, </w:t>
      </w:r>
      <w:r w:rsidR="00C4264E">
        <w:rPr>
          <w:rFonts w:cs="Arial"/>
        </w:rPr>
        <w:t xml:space="preserve">73/17). </w:t>
      </w:r>
      <w:r w:rsidR="00DB57A9">
        <w:rPr>
          <w:rFonts w:cs="Arial"/>
        </w:rPr>
        <w:t>Na osnovu spomenutog Zakona dones</w:t>
      </w:r>
      <w:r w:rsidR="00841035">
        <w:rPr>
          <w:rFonts w:cs="Arial"/>
        </w:rPr>
        <w:t>en je Plan intervencije u slučaju izvanrednog poremećaja opskrbe tržišta nafte i naftnim derivatima</w:t>
      </w:r>
      <w:r w:rsidR="004D3D9A">
        <w:rPr>
          <w:rFonts w:cs="Arial"/>
        </w:rPr>
        <w:t xml:space="preserve"> </w:t>
      </w:r>
      <w:r w:rsidR="00F50848">
        <w:rPr>
          <w:rFonts w:cs="Arial"/>
        </w:rPr>
        <w:t>(</w:t>
      </w:r>
      <w:r w:rsidR="00880054">
        <w:rPr>
          <w:rFonts w:cs="Arial"/>
        </w:rPr>
        <w:t>NN</w:t>
      </w:r>
      <w:r w:rsidR="00E16791">
        <w:rPr>
          <w:rFonts w:cs="Arial"/>
        </w:rPr>
        <w:t xml:space="preserve"> </w:t>
      </w:r>
      <w:r w:rsidR="00F50848">
        <w:rPr>
          <w:rFonts w:cs="Arial"/>
        </w:rPr>
        <w:t xml:space="preserve">111/12). </w:t>
      </w:r>
      <w:r w:rsidR="004D473C">
        <w:rPr>
          <w:rFonts w:cs="Arial"/>
        </w:rPr>
        <w:t>Planom intervencije utvrđuju se:</w:t>
      </w:r>
    </w:p>
    <w:p w14:paraId="573C956F" w14:textId="465228B6" w:rsidR="00A824B2" w:rsidRPr="00A824B2" w:rsidRDefault="00A824B2" w:rsidP="00840E2E">
      <w:pPr>
        <w:pStyle w:val="ListParagraph"/>
        <w:numPr>
          <w:ilvl w:val="0"/>
          <w:numId w:val="34"/>
        </w:numPr>
        <w:spacing w:line="288" w:lineRule="auto"/>
        <w:ind w:left="714" w:hanging="357"/>
        <w:rPr>
          <w:rFonts w:cs="Arial"/>
        </w:rPr>
      </w:pPr>
      <w:r w:rsidRPr="00A824B2">
        <w:rPr>
          <w:rFonts w:cs="Arial"/>
        </w:rPr>
        <w:t>p</w:t>
      </w:r>
      <w:r w:rsidR="009A2EB5" w:rsidRPr="00A824B2">
        <w:rPr>
          <w:rFonts w:cs="Arial"/>
        </w:rPr>
        <w:t xml:space="preserve">ostupci i kriteriji za utvrđivanje izvanrednog poremećaja </w:t>
      </w:r>
      <w:r w:rsidR="009450B2" w:rsidRPr="00A824B2">
        <w:rPr>
          <w:rFonts w:cs="Arial"/>
        </w:rPr>
        <w:t>opskrbe tržišta nafte i naftnih derivata</w:t>
      </w:r>
      <w:r w:rsidR="00237B4D" w:rsidRPr="00A824B2">
        <w:rPr>
          <w:rFonts w:cs="Arial"/>
        </w:rPr>
        <w:t>,</w:t>
      </w:r>
    </w:p>
    <w:p w14:paraId="0CBADDF8" w14:textId="77777777" w:rsidR="00A824B2" w:rsidRPr="00A824B2" w:rsidRDefault="00A824B2" w:rsidP="00840E2E">
      <w:pPr>
        <w:pStyle w:val="ListParagraph"/>
        <w:numPr>
          <w:ilvl w:val="0"/>
          <w:numId w:val="34"/>
        </w:numPr>
        <w:spacing w:line="288" w:lineRule="auto"/>
        <w:ind w:left="714" w:hanging="357"/>
        <w:rPr>
          <w:rFonts w:cs="Arial"/>
        </w:rPr>
      </w:pPr>
      <w:r w:rsidRPr="00A824B2">
        <w:rPr>
          <w:rFonts w:cs="Arial"/>
        </w:rPr>
        <w:t>n</w:t>
      </w:r>
      <w:r w:rsidR="009450B2" w:rsidRPr="00A824B2">
        <w:rPr>
          <w:rFonts w:cs="Arial"/>
        </w:rPr>
        <w:t xml:space="preserve">adležnosti i odgovornosti u slučaju </w:t>
      </w:r>
      <w:r w:rsidR="00237B4D" w:rsidRPr="00A824B2">
        <w:rPr>
          <w:rFonts w:cs="Arial"/>
        </w:rPr>
        <w:t>poremećaja opskrbe,</w:t>
      </w:r>
    </w:p>
    <w:p w14:paraId="7A88CD20" w14:textId="77777777" w:rsidR="00A824B2" w:rsidRPr="00A824B2" w:rsidRDefault="00A824B2" w:rsidP="00840E2E">
      <w:pPr>
        <w:pStyle w:val="ListParagraph"/>
        <w:numPr>
          <w:ilvl w:val="0"/>
          <w:numId w:val="34"/>
        </w:numPr>
        <w:spacing w:line="288" w:lineRule="auto"/>
        <w:ind w:left="714" w:hanging="357"/>
        <w:rPr>
          <w:rFonts w:cs="Arial"/>
        </w:rPr>
      </w:pPr>
      <w:r w:rsidRPr="00A824B2">
        <w:rPr>
          <w:rFonts w:cs="Arial"/>
        </w:rPr>
        <w:t>p</w:t>
      </w:r>
      <w:r w:rsidR="00237B4D" w:rsidRPr="00A824B2">
        <w:rPr>
          <w:rFonts w:cs="Arial"/>
        </w:rPr>
        <w:t>ostupci za normalizaciju opskrbe tržišta nafte</w:t>
      </w:r>
      <w:r w:rsidR="00FC6978" w:rsidRPr="00A824B2">
        <w:rPr>
          <w:rFonts w:cs="Arial"/>
        </w:rPr>
        <w:t xml:space="preserve"> i naftnih derivata i</w:t>
      </w:r>
    </w:p>
    <w:p w14:paraId="4F5B3FA8" w14:textId="2DA672B9" w:rsidR="00FC6978" w:rsidRPr="00A824B2" w:rsidRDefault="00A824B2" w:rsidP="00840E2E">
      <w:pPr>
        <w:pStyle w:val="ListParagraph"/>
        <w:numPr>
          <w:ilvl w:val="0"/>
          <w:numId w:val="34"/>
        </w:numPr>
        <w:spacing w:line="288" w:lineRule="auto"/>
        <w:ind w:left="714" w:hanging="357"/>
        <w:rPr>
          <w:rFonts w:cs="Arial"/>
        </w:rPr>
      </w:pPr>
      <w:r w:rsidRPr="00A824B2">
        <w:rPr>
          <w:rFonts w:cs="Arial"/>
        </w:rPr>
        <w:t>p</w:t>
      </w:r>
      <w:r w:rsidR="00FC6978" w:rsidRPr="00A824B2">
        <w:rPr>
          <w:rFonts w:cs="Arial"/>
        </w:rPr>
        <w:t>ostupci u slučaju međunarodne odluke o puštanju obveznih zaliha nafte i naftnih derivata na tržište.</w:t>
      </w:r>
    </w:p>
    <w:p w14:paraId="03662833" w14:textId="20703FB7" w:rsidR="000C2C2E" w:rsidRPr="00896B83" w:rsidRDefault="003E4692" w:rsidP="00241507">
      <w:pPr>
        <w:rPr>
          <w:rFonts w:cs="Arial"/>
        </w:rPr>
      </w:pPr>
      <w:r w:rsidRPr="003E4692">
        <w:rPr>
          <w:rFonts w:cs="Arial"/>
        </w:rPr>
        <w:t xml:space="preserve">Osim formiranja i držanja obveznih zaliha, a s ciljem povećanja sigurnosti opskrbe, </w:t>
      </w:r>
      <w:r w:rsidR="00896B83">
        <w:rPr>
          <w:rFonts w:cs="Arial"/>
        </w:rPr>
        <w:t>cilj</w:t>
      </w:r>
      <w:r w:rsidRPr="003E4692">
        <w:rPr>
          <w:rFonts w:cs="Arial"/>
        </w:rPr>
        <w:t xml:space="preserve"> je kontinuirana analiza naftnog sektora i to kako sa strane opskrbe tržišta tako i sa strane postojeće i buduće potrošnje, a sve s ciljem pravovremene procjene even</w:t>
      </w:r>
      <w:r w:rsidRPr="00896B83">
        <w:rPr>
          <w:rFonts w:cs="Arial"/>
        </w:rPr>
        <w:t xml:space="preserve">tualnih rizika vezanih za sigurnost opskrbe. </w:t>
      </w:r>
      <w:r w:rsidR="002373AD">
        <w:rPr>
          <w:rFonts w:cs="Arial"/>
        </w:rPr>
        <w:t>Nadalje,</w:t>
      </w:r>
      <w:r w:rsidR="00731390">
        <w:rPr>
          <w:rFonts w:cs="Arial"/>
        </w:rPr>
        <w:t xml:space="preserve"> točka 1 članka 1</w:t>
      </w:r>
      <w:r w:rsidR="002373AD">
        <w:rPr>
          <w:rFonts w:cs="Arial"/>
        </w:rPr>
        <w:t xml:space="preserve"> Zakon</w:t>
      </w:r>
      <w:r w:rsidR="00731390">
        <w:rPr>
          <w:rFonts w:cs="Arial"/>
        </w:rPr>
        <w:t>a</w:t>
      </w:r>
      <w:r w:rsidR="002373AD">
        <w:rPr>
          <w:rFonts w:cs="Arial"/>
        </w:rPr>
        <w:t xml:space="preserve"> o tržištu nafte i naftnih derivata </w:t>
      </w:r>
      <w:r w:rsidR="00731390" w:rsidRPr="002373AD">
        <w:rPr>
          <w:rFonts w:cs="Arial"/>
        </w:rPr>
        <w:t>kojim se uređuju pravila i mjere za siguran i pouzdan transport nafte i naftnih derivata te skladištenje nafte i naftnih derivata</w:t>
      </w:r>
      <w:r w:rsidR="007835BF">
        <w:rPr>
          <w:rFonts w:cs="Arial"/>
        </w:rPr>
        <w:t xml:space="preserve"> zadaje obvezu ko</w:t>
      </w:r>
      <w:r w:rsidR="002373AD" w:rsidRPr="002373AD">
        <w:rPr>
          <w:rFonts w:cs="Arial"/>
        </w:rPr>
        <w:t>ntinuiran</w:t>
      </w:r>
      <w:r w:rsidR="007835BF">
        <w:rPr>
          <w:rFonts w:cs="Arial"/>
        </w:rPr>
        <w:t>og</w:t>
      </w:r>
      <w:r w:rsidR="002373AD" w:rsidRPr="002373AD">
        <w:rPr>
          <w:rFonts w:cs="Arial"/>
        </w:rPr>
        <w:t xml:space="preserve"> održavanja i ulaganja u sigurnost transporta i skladištenje nafte i naftnih derivata.</w:t>
      </w:r>
      <w:r w:rsidR="00C90DEB">
        <w:rPr>
          <w:rFonts w:cs="Arial"/>
        </w:rPr>
        <w:t xml:space="preserve"> </w:t>
      </w:r>
      <w:r w:rsidRPr="00896B83">
        <w:rPr>
          <w:rFonts w:cs="Arial"/>
        </w:rPr>
        <w:t>Također je potrebno raditi na razvoju metodologije i alata za procjenu sigurnosti opskrbe.</w:t>
      </w:r>
    </w:p>
    <w:p w14:paraId="2276E2D3" w14:textId="776CA3A3" w:rsidR="000D7A99" w:rsidRPr="00BE1ECD" w:rsidRDefault="000D7A99" w:rsidP="00840E2E">
      <w:pPr>
        <w:pStyle w:val="Heading3"/>
        <w:numPr>
          <w:ilvl w:val="0"/>
          <w:numId w:val="62"/>
        </w:numPr>
      </w:pPr>
      <w:r w:rsidRPr="00BE1ECD">
        <w:t xml:space="preserve">Ako je primjenjivo, nacionalni ciljevi u pogledu razvoja domaćih izvora energije </w:t>
      </w:r>
    </w:p>
    <w:p w14:paraId="275DD86F" w14:textId="4BC7BE93" w:rsidR="00CC28F0" w:rsidRDefault="00781513" w:rsidP="00CC28F0">
      <w:r>
        <w:t>Prema cilju provedbe energetske tranzicije, u</w:t>
      </w:r>
      <w:r w:rsidR="00CC28F0" w:rsidRPr="00462AD9">
        <w:t xml:space="preserve">kupna potrošnja energije do 2050. godine se smanjuje </w:t>
      </w:r>
      <w:r w:rsidR="00014559">
        <w:t xml:space="preserve">za </w:t>
      </w:r>
      <w:r w:rsidR="00246591">
        <w:t xml:space="preserve">oko </w:t>
      </w:r>
      <w:r w:rsidR="00CC28F0" w:rsidRPr="00462AD9">
        <w:t>1</w:t>
      </w:r>
      <w:r w:rsidR="00246591">
        <w:t>6</w:t>
      </w:r>
      <w:r w:rsidR="00CC28F0" w:rsidRPr="00462AD9">
        <w:t xml:space="preserve"> % u odnosu na </w:t>
      </w:r>
      <w:r w:rsidR="008201E1">
        <w:t>201</w:t>
      </w:r>
      <w:r w:rsidR="00246591">
        <w:t>7</w:t>
      </w:r>
      <w:r w:rsidR="008201E1">
        <w:t>. godinu</w:t>
      </w:r>
      <w:r w:rsidR="00CC28F0" w:rsidRPr="00462AD9">
        <w:t xml:space="preserve">. </w:t>
      </w:r>
      <w:r w:rsidR="00014559">
        <w:t>V</w:t>
      </w:r>
      <w:r w:rsidR="00CC28F0" w:rsidRPr="00462AD9">
        <w:t>lastita opskrbljenost se najprije povećava na 5</w:t>
      </w:r>
      <w:r w:rsidR="00246591">
        <w:t>5,2</w:t>
      </w:r>
      <w:r w:rsidR="00CC28F0" w:rsidRPr="00462AD9">
        <w:t xml:space="preserve"> % u 2030. godini, te se smanjuje </w:t>
      </w:r>
      <w:r w:rsidR="00246591">
        <w:t>u 2050. na 51,7%</w:t>
      </w:r>
      <w:r w:rsidR="00CC28F0" w:rsidRPr="00462AD9">
        <w:t xml:space="preserve">. </w:t>
      </w:r>
    </w:p>
    <w:p w14:paraId="255BBE48" w14:textId="5F85A5CE" w:rsidR="00246591" w:rsidRDefault="00246591" w:rsidP="00CC28F0">
      <w:r>
        <w:rPr>
          <w:noProof/>
        </w:rPr>
        <w:lastRenderedPageBreak/>
        <w:drawing>
          <wp:inline distT="0" distB="0" distL="0" distR="0" wp14:anchorId="713BEAA6" wp14:editId="71D04F78">
            <wp:extent cx="5761355" cy="28898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1355" cy="2889885"/>
                    </a:xfrm>
                    <a:prstGeom prst="rect">
                      <a:avLst/>
                    </a:prstGeom>
                    <a:noFill/>
                  </pic:spPr>
                </pic:pic>
              </a:graphicData>
            </a:graphic>
          </wp:inline>
        </w:drawing>
      </w:r>
    </w:p>
    <w:p w14:paraId="2E57C0EE" w14:textId="664F9229" w:rsidR="00CC28F0" w:rsidRPr="00462AD9" w:rsidRDefault="00CC28F0" w:rsidP="00CC28F0">
      <w:pPr>
        <w:pStyle w:val="Naslovslike"/>
      </w:pPr>
      <w:bookmarkStart w:id="276" w:name="_Toc528673014"/>
      <w:bookmarkStart w:id="277" w:name="_Toc27396150"/>
      <w:r w:rsidRPr="00781513">
        <w:t xml:space="preserve">Slika </w:t>
      </w:r>
      <w:fldSimple w:instr=" STYLEREF 1 \s ">
        <w:r w:rsidR="00154150">
          <w:rPr>
            <w:noProof/>
          </w:rPr>
          <w:t>2</w:t>
        </w:r>
      </w:fldSimple>
      <w:r w:rsidR="00C3092A">
        <w:noBreakHyphen/>
      </w:r>
      <w:fldSimple w:instr=" SEQ Slika \* ARABIC \s 1 ">
        <w:r w:rsidR="00154150">
          <w:rPr>
            <w:noProof/>
          </w:rPr>
          <w:t>10</w:t>
        </w:r>
      </w:fldSimple>
      <w:r w:rsidRPr="00725326">
        <w:t xml:space="preserve">. </w:t>
      </w:r>
      <w:r w:rsidR="00781513" w:rsidRPr="00781513">
        <w:t>Ukupna potrošnja</w:t>
      </w:r>
      <w:r w:rsidR="00781513">
        <w:t xml:space="preserve"> energije</w:t>
      </w:r>
      <w:r w:rsidR="00781513" w:rsidRPr="00781513">
        <w:t xml:space="preserve"> i vlastita opskrbljenost</w:t>
      </w:r>
      <w:bookmarkEnd w:id="276"/>
      <w:bookmarkEnd w:id="277"/>
    </w:p>
    <w:p w14:paraId="779143D9" w14:textId="75406920" w:rsidR="00CC28F0" w:rsidRDefault="00D26F83" w:rsidP="00CC28F0">
      <w:r>
        <w:t>P</w:t>
      </w:r>
      <w:r w:rsidR="00CC28F0">
        <w:t>redviđa se snažan porast udjela promjenjivih OIE (vjetroelektrana i sunčan</w:t>
      </w:r>
      <w:r w:rsidR="00094058">
        <w:t>ih</w:t>
      </w:r>
      <w:r w:rsidR="00CC28F0">
        <w:t xml:space="preserve"> elektran</w:t>
      </w:r>
      <w:r w:rsidR="00094058">
        <w:t>a</w:t>
      </w:r>
      <w:r w:rsidR="00CC28F0">
        <w:t>) te se u razdoblju do 2030. godine očekuju aktivnosti na povećanju fleks</w:t>
      </w:r>
      <w:r w:rsidR="00D43BFD">
        <w:t>i</w:t>
      </w:r>
      <w:r w:rsidR="00CC28F0">
        <w:t>bilnosti sustava koja će se osiguravati iz postojećih i planiranih akumulacijskih hidroelektrana, postojećih i planiranih reverzibilnih hidroelektrana, baterijskih sustava na razini sustava i na razini potrošnje, plinskih elektrana, organizacijom tržišta uravnoteženja (za dobavu usluga iz domaćih izvora i iz drugih sustava; uvođenje odgovornosti za uravnoteženje za sudionike tržišta i dr.), poboljšanjem predviđanja proizvodnje iz promjenjivih OIE, pojačanjem elemenata prijenosne mreže i razvojem sustava naprednih mreža i upravljanja sustavom.</w:t>
      </w:r>
    </w:p>
    <w:p w14:paraId="1AE4D06C" w14:textId="0BEF78EA" w:rsidR="00CC28F0" w:rsidRDefault="00CC28F0" w:rsidP="00CC28F0">
      <w:r>
        <w:t xml:space="preserve">Do sada izvršene analize upućuju da do razine integracije od oko </w:t>
      </w:r>
      <w:r w:rsidR="00987D7B">
        <w:t>1.0</w:t>
      </w:r>
      <w:r>
        <w:t xml:space="preserve">00 MW neće biti potrebni veći zahvati u prijenosnoj mreži u pogledu izgradnje novih </w:t>
      </w:r>
      <w:r w:rsidR="00541B4C">
        <w:t xml:space="preserve">magistralnih </w:t>
      </w:r>
      <w:r>
        <w:t xml:space="preserve">vodova i </w:t>
      </w:r>
      <w:r w:rsidR="00A824B2">
        <w:t>transformatorskih stanica</w:t>
      </w:r>
      <w:r>
        <w:t xml:space="preserve"> (za veće razine integracije HOPS planira primijeniti princip „zonskog priključka“), no značajno se povećavaju zahtjevi na </w:t>
      </w:r>
      <w:r w:rsidR="00541B4C">
        <w:t xml:space="preserve">mehanizam uravnoteženja i </w:t>
      </w:r>
      <w:r>
        <w:t>osiguravanje pomoćnih usluga sekundarne i/ili brze tercijarne regulacijske rezerve (regulacija snage i frekvencije).</w:t>
      </w:r>
    </w:p>
    <w:p w14:paraId="436770A5" w14:textId="5FC245C3" w:rsidR="00495F18" w:rsidRDefault="00495F18" w:rsidP="00276CE9">
      <w:pPr>
        <w:suppressAutoHyphens w:val="0"/>
        <w:spacing w:after="160" w:line="259" w:lineRule="auto"/>
        <w:rPr>
          <w:u w:val="single"/>
        </w:rPr>
      </w:pPr>
    </w:p>
    <w:p w14:paraId="1A4C4C75" w14:textId="3CB9EA89" w:rsidR="00375B8F" w:rsidRPr="00276CE9" w:rsidRDefault="00375B8F" w:rsidP="00276CE9">
      <w:pPr>
        <w:suppressAutoHyphens w:val="0"/>
        <w:spacing w:after="160" w:line="259" w:lineRule="auto"/>
        <w:rPr>
          <w:u w:val="single"/>
        </w:rPr>
      </w:pPr>
      <w:r w:rsidRPr="00276CE9">
        <w:rPr>
          <w:u w:val="single"/>
        </w:rPr>
        <w:t>Naftni sektor</w:t>
      </w:r>
    </w:p>
    <w:p w14:paraId="360B7AF3" w14:textId="454BB75B" w:rsidR="00BE0BA0" w:rsidRDefault="00156005" w:rsidP="00F223A2">
      <w:r>
        <w:t>I</w:t>
      </w:r>
      <w:r w:rsidR="00493F73">
        <w:t>straživanje</w:t>
      </w:r>
      <w:r w:rsidR="00735AC1">
        <w:t xml:space="preserve"> novih rezervi i </w:t>
      </w:r>
      <w:r w:rsidR="004C77D8">
        <w:t xml:space="preserve">time </w:t>
      </w:r>
      <w:r w:rsidR="00735AC1">
        <w:t>povećanje</w:t>
      </w:r>
      <w:r w:rsidR="00953EB9">
        <w:t xml:space="preserve"> </w:t>
      </w:r>
      <w:r w:rsidR="004C77D8">
        <w:t xml:space="preserve">proizvodnje ugljikovodika iz domaćih izvora </w:t>
      </w:r>
      <w:r w:rsidR="008B30DC">
        <w:t xml:space="preserve">jedan je od bitnih ciljeva </w:t>
      </w:r>
      <w:r w:rsidR="000C21BE">
        <w:t xml:space="preserve">povećanja domaće opskrbljenosti naftom i plinom. </w:t>
      </w:r>
      <w:r w:rsidR="006E4C22">
        <w:t>Na sli</w:t>
      </w:r>
      <w:r w:rsidR="00350951">
        <w:t>kama</w:t>
      </w:r>
      <w:r w:rsidR="006E4C22">
        <w:t xml:space="preserve"> u nastavku prikazana je postojeća proizvodnja </w:t>
      </w:r>
      <w:r w:rsidR="00243A46">
        <w:t>nafte</w:t>
      </w:r>
      <w:r w:rsidR="00E446ED">
        <w:t>,</w:t>
      </w:r>
      <w:r w:rsidR="00243A46">
        <w:t xml:space="preserve"> kondenzata</w:t>
      </w:r>
      <w:r w:rsidR="00E446ED">
        <w:t xml:space="preserve"> i prirodnog plina</w:t>
      </w:r>
      <w:r w:rsidR="00243A46">
        <w:t xml:space="preserve"> te su dane projekcije proizvodnje iz postojećih polja </w:t>
      </w:r>
      <w:r w:rsidR="00781C0F">
        <w:t>i</w:t>
      </w:r>
      <w:r w:rsidR="00243A46">
        <w:t xml:space="preserve"> </w:t>
      </w:r>
      <w:r w:rsidR="00F80C53">
        <w:t xml:space="preserve">nove proizvodnje </w:t>
      </w:r>
      <w:r w:rsidR="00DB65CA">
        <w:t xml:space="preserve">kao rezultat </w:t>
      </w:r>
      <w:r w:rsidR="00BE0BA0">
        <w:t>dodatnih ulaganja u istraživanje novih rezervi ugljikovodika</w:t>
      </w:r>
      <w:r w:rsidR="00495F18">
        <w:t xml:space="preserve"> </w:t>
      </w:r>
      <w:r w:rsidR="00A824B2">
        <w:t>[</w:t>
      </w:r>
      <w:r w:rsidR="00495F18">
        <w:fldChar w:fldCharType="begin"/>
      </w:r>
      <w:r w:rsidR="00495F18">
        <w:instrText xml:space="preserve"> REF _Ref531599476 \r \h </w:instrText>
      </w:r>
      <w:r w:rsidR="00F223A2">
        <w:instrText xml:space="preserve"> \* MERGEFORMAT </w:instrText>
      </w:r>
      <w:r w:rsidR="00495F18">
        <w:fldChar w:fldCharType="separate"/>
      </w:r>
      <w:r w:rsidR="00154150">
        <w:t>2</w:t>
      </w:r>
      <w:r w:rsidR="00495F18">
        <w:fldChar w:fldCharType="end"/>
      </w:r>
      <w:r w:rsidR="00A824B2">
        <w:t>]</w:t>
      </w:r>
      <w:r w:rsidR="00BE0BA0">
        <w:t>.</w:t>
      </w:r>
    </w:p>
    <w:p w14:paraId="386C025C" w14:textId="77777777" w:rsidR="00BE0BA0" w:rsidRDefault="00BE0BA0" w:rsidP="00276CE9">
      <w:pPr>
        <w:suppressAutoHyphens w:val="0"/>
        <w:spacing w:after="160" w:line="259" w:lineRule="auto"/>
        <w:contextualSpacing/>
      </w:pPr>
    </w:p>
    <w:p w14:paraId="4AD43695" w14:textId="77777777" w:rsidR="00BE0BA0" w:rsidRPr="00462AD9" w:rsidRDefault="00BE0BA0" w:rsidP="00BE0BA0">
      <w:pPr>
        <w:keepNext/>
        <w:jc w:val="center"/>
      </w:pPr>
      <w:r w:rsidRPr="001211AE">
        <w:rPr>
          <w:noProof/>
        </w:rPr>
        <w:lastRenderedPageBreak/>
        <w:drawing>
          <wp:inline distT="0" distB="0" distL="0" distR="0" wp14:anchorId="647A4DE7" wp14:editId="430B92C6">
            <wp:extent cx="5400000" cy="3045600"/>
            <wp:effectExtent l="0" t="0" r="0" b="2540"/>
            <wp:docPr id="1964968964" name="Picture 196496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3045600"/>
                    </a:xfrm>
                    <a:prstGeom prst="rect">
                      <a:avLst/>
                    </a:prstGeom>
                    <a:noFill/>
                    <a:ln>
                      <a:noFill/>
                    </a:ln>
                  </pic:spPr>
                </pic:pic>
              </a:graphicData>
            </a:graphic>
          </wp:inline>
        </w:drawing>
      </w:r>
    </w:p>
    <w:p w14:paraId="4A3EC0E1" w14:textId="48413D23" w:rsidR="00BE0BA0" w:rsidRPr="00462AD9" w:rsidRDefault="00BE0BA0" w:rsidP="00BE0BA0">
      <w:pPr>
        <w:pStyle w:val="Caption"/>
      </w:pPr>
      <w:bookmarkStart w:id="278" w:name="_Toc528672871"/>
      <w:bookmarkStart w:id="279" w:name="_Toc27396151"/>
      <w:bookmarkStart w:id="280" w:name="_Hlk528311430"/>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2</w:t>
      </w:r>
      <w:r w:rsidR="005A7E31">
        <w:rPr>
          <w:noProof/>
        </w:rPr>
        <w:fldChar w:fldCharType="end"/>
      </w:r>
      <w:r w:rsidR="00C3092A">
        <w:noBreakHyphen/>
      </w:r>
      <w:fldSimple w:instr=" SEQ Slika \* ARABIC \s 1 ">
        <w:r w:rsidR="00154150">
          <w:rPr>
            <w:noProof/>
          </w:rPr>
          <w:t>11</w:t>
        </w:r>
      </w:fldSimple>
      <w:r w:rsidRPr="00462AD9">
        <w:t>. Projekcija proizvodnje nafte i kondenzata do 2050. godine</w:t>
      </w:r>
      <w:bookmarkEnd w:id="278"/>
      <w:bookmarkEnd w:id="279"/>
    </w:p>
    <w:bookmarkEnd w:id="280"/>
    <w:p w14:paraId="1676136F" w14:textId="77777777" w:rsidR="00BE0BA0" w:rsidRDefault="00BE0BA0" w:rsidP="00276CE9">
      <w:pPr>
        <w:suppressAutoHyphens w:val="0"/>
        <w:spacing w:after="160" w:line="259" w:lineRule="auto"/>
        <w:contextualSpacing/>
        <w:jc w:val="left"/>
      </w:pPr>
    </w:p>
    <w:p w14:paraId="59E8CC01" w14:textId="77777777" w:rsidR="00BE0BA0" w:rsidRPr="00462AD9" w:rsidRDefault="00BE0BA0" w:rsidP="00BE0BA0">
      <w:pPr>
        <w:keepNext/>
        <w:jc w:val="center"/>
      </w:pPr>
      <w:r w:rsidRPr="001211AE">
        <w:rPr>
          <w:noProof/>
        </w:rPr>
        <w:drawing>
          <wp:inline distT="0" distB="0" distL="0" distR="0" wp14:anchorId="0703CAA3" wp14:editId="37817774">
            <wp:extent cx="5400000" cy="2984400"/>
            <wp:effectExtent l="0" t="0" r="0" b="6985"/>
            <wp:docPr id="1964968965" name="Picture 196496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2984400"/>
                    </a:xfrm>
                    <a:prstGeom prst="rect">
                      <a:avLst/>
                    </a:prstGeom>
                    <a:noFill/>
                    <a:ln>
                      <a:noFill/>
                    </a:ln>
                  </pic:spPr>
                </pic:pic>
              </a:graphicData>
            </a:graphic>
          </wp:inline>
        </w:drawing>
      </w:r>
    </w:p>
    <w:p w14:paraId="52E71B01" w14:textId="1546A42B" w:rsidR="00BE0BA0" w:rsidRPr="00462AD9" w:rsidRDefault="00BE0BA0" w:rsidP="00BE0BA0">
      <w:pPr>
        <w:pStyle w:val="Caption"/>
      </w:pPr>
      <w:bookmarkStart w:id="281" w:name="_Toc528672872"/>
      <w:bookmarkStart w:id="282" w:name="_Toc27396152"/>
      <w:bookmarkStart w:id="283" w:name="_Hlk528311434"/>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2</w:t>
      </w:r>
      <w:r w:rsidR="005A7E31">
        <w:rPr>
          <w:noProof/>
        </w:rPr>
        <w:fldChar w:fldCharType="end"/>
      </w:r>
      <w:r w:rsidR="00C3092A">
        <w:noBreakHyphen/>
      </w:r>
      <w:fldSimple w:instr=" SEQ Slika \* ARABIC \s 1 ">
        <w:r w:rsidR="00154150">
          <w:rPr>
            <w:noProof/>
          </w:rPr>
          <w:t>12</w:t>
        </w:r>
      </w:fldSimple>
      <w:r w:rsidRPr="00462AD9">
        <w:t>. Projekcija proizvodnje prirodnog plina do 2050. godine</w:t>
      </w:r>
      <w:bookmarkEnd w:id="281"/>
      <w:bookmarkEnd w:id="282"/>
    </w:p>
    <w:bookmarkEnd w:id="283"/>
    <w:p w14:paraId="2007A8F4" w14:textId="348E1476" w:rsidR="00375B8F" w:rsidRDefault="00375B8F" w:rsidP="00276CE9">
      <w:pPr>
        <w:suppressAutoHyphens w:val="0"/>
        <w:spacing w:after="160" w:line="259" w:lineRule="auto"/>
        <w:contextualSpacing/>
        <w:jc w:val="left"/>
      </w:pPr>
    </w:p>
    <w:p w14:paraId="6A604301" w14:textId="6C6D58EC" w:rsidR="00FF0CF3" w:rsidRDefault="004E40FF" w:rsidP="00FF0CF3">
      <w:pPr>
        <w:pStyle w:val="Heading2"/>
      </w:pPr>
      <w:bookmarkStart w:id="284" w:name="_Toc531702957"/>
      <w:bookmarkStart w:id="285" w:name="_Toc531801541"/>
      <w:bookmarkStart w:id="286" w:name="_Toc531801670"/>
      <w:bookmarkStart w:id="287" w:name="_Toc531801796"/>
      <w:bookmarkStart w:id="288" w:name="_Toc531801924"/>
      <w:bookmarkStart w:id="289" w:name="_Toc531702958"/>
      <w:bookmarkStart w:id="290" w:name="_Toc531801542"/>
      <w:bookmarkStart w:id="291" w:name="_Toc531801671"/>
      <w:bookmarkStart w:id="292" w:name="_Toc531801797"/>
      <w:bookmarkStart w:id="293" w:name="_Toc531801925"/>
      <w:bookmarkStart w:id="294" w:name="_Toc531702959"/>
      <w:bookmarkStart w:id="295" w:name="_Toc531801543"/>
      <w:bookmarkStart w:id="296" w:name="_Toc531801672"/>
      <w:bookmarkStart w:id="297" w:name="_Toc531801798"/>
      <w:bookmarkStart w:id="298" w:name="_Toc531801926"/>
      <w:bookmarkStart w:id="299" w:name="_Toc531702960"/>
      <w:bookmarkStart w:id="300" w:name="_Toc531801544"/>
      <w:bookmarkStart w:id="301" w:name="_Toc531801673"/>
      <w:bookmarkStart w:id="302" w:name="_Toc531801799"/>
      <w:bookmarkStart w:id="303" w:name="_Toc531801927"/>
      <w:bookmarkStart w:id="304" w:name="_Toc531702961"/>
      <w:bookmarkStart w:id="305" w:name="_Toc531801545"/>
      <w:bookmarkStart w:id="306" w:name="_Toc531801674"/>
      <w:bookmarkStart w:id="307" w:name="_Toc531801800"/>
      <w:bookmarkStart w:id="308" w:name="_Toc531801928"/>
      <w:bookmarkStart w:id="309" w:name="_Toc531702962"/>
      <w:bookmarkStart w:id="310" w:name="_Toc531801546"/>
      <w:bookmarkStart w:id="311" w:name="_Toc531801675"/>
      <w:bookmarkStart w:id="312" w:name="_Toc531801801"/>
      <w:bookmarkStart w:id="313" w:name="_Toc531801929"/>
      <w:bookmarkStart w:id="314" w:name="_Toc531935143"/>
      <w:bookmarkStart w:id="315" w:name="_Toc531945093"/>
      <w:bookmarkStart w:id="316" w:name="_Toc6302350"/>
      <w:bookmarkStart w:id="317" w:name="_Toc27396106"/>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lastRenderedPageBreak/>
        <w:t>2.4</w:t>
      </w:r>
      <w:r>
        <w:tab/>
      </w:r>
      <w:r w:rsidR="00FF0CF3">
        <w:t>Dimenzija: unutarnje energetsko tržište</w:t>
      </w:r>
      <w:bookmarkEnd w:id="314"/>
      <w:bookmarkEnd w:id="315"/>
      <w:bookmarkEnd w:id="316"/>
      <w:bookmarkEnd w:id="317"/>
    </w:p>
    <w:p w14:paraId="59A53269" w14:textId="77777777" w:rsidR="006B26C8" w:rsidRPr="00BE1ECD" w:rsidRDefault="006B26C8" w:rsidP="006B26C8">
      <w:pPr>
        <w:pStyle w:val="Heading3"/>
      </w:pPr>
      <w:bookmarkStart w:id="318" w:name="_Toc531935144"/>
      <w:bookmarkStart w:id="319" w:name="_Toc531945094"/>
      <w:bookmarkStart w:id="320" w:name="_Toc6302351"/>
      <w:r>
        <w:t>2.4.1</w:t>
      </w:r>
      <w:r>
        <w:tab/>
      </w:r>
      <w:r w:rsidRPr="00BE1ECD">
        <w:t>Elektroenergetska međupovezivost</w:t>
      </w:r>
    </w:p>
    <w:p w14:paraId="318BBCC3" w14:textId="04323F21" w:rsidR="006B26C8" w:rsidRDefault="006B26C8" w:rsidP="00840E2E">
      <w:pPr>
        <w:pStyle w:val="Heading3"/>
        <w:numPr>
          <w:ilvl w:val="0"/>
          <w:numId w:val="63"/>
        </w:numPr>
      </w:pPr>
      <w:r>
        <w:t>Razina elektroenergetske povezanosti</w:t>
      </w:r>
    </w:p>
    <w:bookmarkEnd w:id="318"/>
    <w:bookmarkEnd w:id="319"/>
    <w:bookmarkEnd w:id="320"/>
    <w:p w14:paraId="08BD9B7B" w14:textId="3CD02826" w:rsidR="004D362D" w:rsidRDefault="004D362D" w:rsidP="004D362D">
      <w:r>
        <w:t>U pogledu ciljeva EU vezani</w:t>
      </w:r>
      <w:r w:rsidR="00433EE2">
        <w:t>h</w:t>
      </w:r>
      <w:r>
        <w:t xml:space="preserve"> za željenu razinu interkonekcijske povezanosti od najmanje 15</w:t>
      </w:r>
      <w:r w:rsidR="006549C0">
        <w:t> </w:t>
      </w:r>
      <w:r>
        <w:t xml:space="preserve">% u odnosu na instaliranu snagu elektrana u promatranoj državi </w:t>
      </w:r>
      <w:r w:rsidR="000A1F2F">
        <w:t xml:space="preserve">članici </w:t>
      </w:r>
      <w:r>
        <w:t>do 2030. godine</w:t>
      </w:r>
      <w:r w:rsidR="0049141A">
        <w:t>,</w:t>
      </w:r>
      <w:r>
        <w:t xml:space="preserve"> prijenosni sustav na području RH već sad</w:t>
      </w:r>
      <w:r w:rsidR="00E66169">
        <w:t>a</w:t>
      </w:r>
      <w:r>
        <w:t xml:space="preserve"> višestruko premašuje taj cilj. Isto vrijedi i </w:t>
      </w:r>
      <w:r w:rsidR="004C3108">
        <w:t>ako</w:t>
      </w:r>
      <w:r>
        <w:t xml:space="preserve"> se postojeći interkonekcijski kapaciteti uspoređuju s vršnim opterećenjem sustava odnosno s instaliranom snagom O</w:t>
      </w:r>
      <w:r w:rsidR="00A824B2">
        <w:t>I</w:t>
      </w:r>
      <w:r>
        <w:t>E na teritoriju RH.</w:t>
      </w:r>
      <w:r w:rsidR="008B0323" w:rsidRPr="008B0323">
        <w:t xml:space="preserve"> </w:t>
      </w:r>
      <w:r w:rsidR="00967712">
        <w:t>Naime, s</w:t>
      </w:r>
      <w:r w:rsidR="008B0323">
        <w:t xml:space="preserve">uma </w:t>
      </w:r>
      <w:r w:rsidR="00541B4C">
        <w:t>instaliranih</w:t>
      </w:r>
      <w:r w:rsidR="008B0323">
        <w:t xml:space="preserve"> prijenosnih moći interkonektivnih/međudržavnih dalekovoda u postojećem stanju iznosi</w:t>
      </w:r>
      <w:r w:rsidR="00F1102C">
        <w:t xml:space="preserve"> oko</w:t>
      </w:r>
      <w:r w:rsidR="008B0323">
        <w:t xml:space="preserve"> 13</w:t>
      </w:r>
      <w:r w:rsidR="00EC4378">
        <w:t>.</w:t>
      </w:r>
      <w:r w:rsidR="000A1F2F">
        <w:t>450 </w:t>
      </w:r>
      <w:r w:rsidR="008B0323">
        <w:t>MVA, što u odnosu na ukupnu instaliranu snagu elektrana od 4</w:t>
      </w:r>
      <w:r w:rsidR="00EC4378">
        <w:t>.</w:t>
      </w:r>
      <w:r w:rsidR="008B0323">
        <w:t>639 MW (krajem 2016. godine) iznosi 290</w:t>
      </w:r>
      <w:r w:rsidR="000A1F2F">
        <w:t> </w:t>
      </w:r>
      <w:r w:rsidR="008B0323">
        <w:t>%, dok u odnosu na vršno opterećenje sustava od oko 3</w:t>
      </w:r>
      <w:r w:rsidR="00EC4378">
        <w:t>.</w:t>
      </w:r>
      <w:r w:rsidR="008B0323">
        <w:t>100 MW to iznosi 434</w:t>
      </w:r>
      <w:r w:rsidR="000A1F2F">
        <w:t> </w:t>
      </w:r>
      <w:r w:rsidR="008B0323">
        <w:t xml:space="preserve">%. Ukupan </w:t>
      </w:r>
      <w:r w:rsidR="00541B4C">
        <w:t>raspoloživi</w:t>
      </w:r>
      <w:r w:rsidR="008B0323">
        <w:t xml:space="preserve"> uvozni prekogranični kapacitet procijenjen je na 4</w:t>
      </w:r>
      <w:r w:rsidR="00EC4378">
        <w:t>.</w:t>
      </w:r>
      <w:r w:rsidR="008B0323">
        <w:t>210</w:t>
      </w:r>
      <w:r w:rsidR="000A1F2F">
        <w:t> </w:t>
      </w:r>
      <w:r w:rsidR="008B0323">
        <w:t>MW, dok je ukupan izvozni prekogranični kapacitet procijenjen na iznos 3</w:t>
      </w:r>
      <w:r w:rsidR="00EC4378">
        <w:t>.</w:t>
      </w:r>
      <w:r w:rsidR="008B0323">
        <w:t>830 MW, a u odnosu na sumu prijenosnih moći interkonektivnih dalekovoda ograničavaju ga eventualna zagušenja u internoj mreži s aspekta zadovoljenja kriterija sigurnosti pogona.</w:t>
      </w:r>
      <w:r w:rsidR="00E223DA">
        <w:t xml:space="preserve"> </w:t>
      </w:r>
    </w:p>
    <w:p w14:paraId="23E1BFAA" w14:textId="7C7CE822" w:rsidR="00993FA3" w:rsidRDefault="004D362D" w:rsidP="008B0323">
      <w:r>
        <w:t>U pogledu daljnjih povećanja prekograničnih kapaciteta do 2030. godine ne postavljaju se posebni zahtjevi</w:t>
      </w:r>
      <w:r w:rsidR="008B0323">
        <w:t xml:space="preserve">. Razvoj novih interkonektivnih projekata bit će zasnovan na tehno-ekonomskim sagledavanjima te temeljen na analizi </w:t>
      </w:r>
      <w:r w:rsidR="00E13B81">
        <w:t xml:space="preserve">troškova i koristi </w:t>
      </w:r>
      <w:r w:rsidR="008B0323">
        <w:t xml:space="preserve">u skladu s metodologijom ENTSO-E. Susjedni </w:t>
      </w:r>
      <w:r w:rsidR="00541B4C">
        <w:t>operatori prijenosnih sustava</w:t>
      </w:r>
      <w:r w:rsidR="008B0323">
        <w:t xml:space="preserve"> (BiH, Srbija) pri tom pokazuju određeni interes za izgradnjom novih </w:t>
      </w:r>
      <w:r w:rsidR="00541B4C">
        <w:t xml:space="preserve">400 kV </w:t>
      </w:r>
      <w:r w:rsidR="008B0323">
        <w:t>interkonekcija prema BiH (Lika – Banja Luka) te Srbiji (Ernestinovo – Sombor), te se iste analiziraju kroz izradu</w:t>
      </w:r>
      <w:r w:rsidR="00891523" w:rsidRPr="002435E9">
        <w:t xml:space="preserve"> </w:t>
      </w:r>
      <w:r w:rsidR="00891523" w:rsidRPr="00602568">
        <w:t>desetogodišnj</w:t>
      </w:r>
      <w:r w:rsidR="00891523">
        <w:t xml:space="preserve">eg </w:t>
      </w:r>
      <w:r w:rsidR="00891523" w:rsidRPr="00602568">
        <w:t>plan</w:t>
      </w:r>
      <w:r w:rsidR="00891523">
        <w:t>a</w:t>
      </w:r>
      <w:r w:rsidR="00891523" w:rsidRPr="00602568">
        <w:t xml:space="preserve"> razvoja prijenosne mrež</w:t>
      </w:r>
      <w:r w:rsidR="00891523">
        <w:t>e</w:t>
      </w:r>
      <w:r w:rsidR="008B0323">
        <w:t xml:space="preserve"> </w:t>
      </w:r>
      <w:r w:rsidR="00891523">
        <w:t>(</w:t>
      </w:r>
      <w:r w:rsidR="008B0323">
        <w:t>TYNDP</w:t>
      </w:r>
      <w:r w:rsidR="00891523">
        <w:t>)</w:t>
      </w:r>
      <w:r w:rsidR="008B0323">
        <w:t xml:space="preserve"> u sklopu ENTSO-E.</w:t>
      </w:r>
    </w:p>
    <w:p w14:paraId="13BE8C6C" w14:textId="69E613F3" w:rsidR="004D362D" w:rsidRDefault="004D362D" w:rsidP="0051602C">
      <w:r>
        <w:t xml:space="preserve">U pogledu daljnjih povećanja mogućnosti razmjena postojećim prekograničnim kapacitetima cilj je kontinuirano povećanje vrijednosti </w:t>
      </w:r>
      <w:r w:rsidR="00472934" w:rsidRPr="00A824B2">
        <w:t xml:space="preserve">neto prijenosnog kapaciteta </w:t>
      </w:r>
      <w:r w:rsidR="00472934">
        <w:t xml:space="preserve">(NTC) </w:t>
      </w:r>
      <w:r>
        <w:t>na granicama kroz otklanjanje zagušenja/ograničenja prvenstveno u internoj mreži.</w:t>
      </w:r>
    </w:p>
    <w:p w14:paraId="6671DF18" w14:textId="77777777" w:rsidR="00700963" w:rsidRDefault="00700963" w:rsidP="004D362D"/>
    <w:p w14:paraId="48B17500" w14:textId="77777777" w:rsidR="00862C99" w:rsidRPr="00BE1ECD" w:rsidRDefault="00862C99" w:rsidP="00862C99">
      <w:pPr>
        <w:pStyle w:val="Heading3"/>
      </w:pPr>
      <w:bookmarkStart w:id="321" w:name="_Toc531801550"/>
      <w:bookmarkStart w:id="322" w:name="_Toc531801677"/>
      <w:bookmarkStart w:id="323" w:name="_Toc531801805"/>
      <w:bookmarkStart w:id="324" w:name="_Toc531801933"/>
      <w:bookmarkStart w:id="325" w:name="_Toc531702966"/>
      <w:bookmarkStart w:id="326" w:name="_Toc531801551"/>
      <w:bookmarkStart w:id="327" w:name="_Toc531801678"/>
      <w:bookmarkStart w:id="328" w:name="_Toc531801806"/>
      <w:bookmarkStart w:id="329" w:name="_Toc531801934"/>
      <w:bookmarkStart w:id="330" w:name="_Toc531935145"/>
      <w:bookmarkStart w:id="331" w:name="_Toc531945095"/>
      <w:bookmarkStart w:id="332" w:name="_Toc6302352"/>
      <w:bookmarkEnd w:id="321"/>
      <w:bookmarkEnd w:id="322"/>
      <w:bookmarkEnd w:id="323"/>
      <w:bookmarkEnd w:id="324"/>
      <w:bookmarkEnd w:id="325"/>
      <w:bookmarkEnd w:id="326"/>
      <w:bookmarkEnd w:id="327"/>
      <w:bookmarkEnd w:id="328"/>
      <w:bookmarkEnd w:id="329"/>
      <w:r>
        <w:t>2.4.2</w:t>
      </w:r>
      <w:r>
        <w:tab/>
      </w:r>
      <w:r w:rsidRPr="00BE1ECD">
        <w:t>Infrastruktura za prijenos energije</w:t>
      </w:r>
    </w:p>
    <w:p w14:paraId="5AE253F2" w14:textId="4C4BF49B" w:rsidR="00862C99" w:rsidRPr="00492FA8" w:rsidRDefault="00682B30" w:rsidP="00840E2E">
      <w:pPr>
        <w:pStyle w:val="Heading3"/>
        <w:numPr>
          <w:ilvl w:val="0"/>
          <w:numId w:val="64"/>
        </w:numPr>
      </w:pPr>
      <w:r w:rsidRPr="00682B30">
        <w:t>Ključni projekti za prijenos električne energije i transport plina i, prema potrebi, projekti modernizacije, koji su potrebni za ostvarivanje ciljeva u okviru pet dimenzija Strategije energetske unije</w:t>
      </w:r>
    </w:p>
    <w:bookmarkEnd w:id="330"/>
    <w:bookmarkEnd w:id="331"/>
    <w:bookmarkEnd w:id="332"/>
    <w:p w14:paraId="5B7B438C" w14:textId="2287ED3C" w:rsidR="00B004B4" w:rsidRPr="00223709" w:rsidRDefault="00262A38" w:rsidP="00B004B4">
      <w:pPr>
        <w:rPr>
          <w:u w:val="single"/>
        </w:rPr>
      </w:pPr>
      <w:r>
        <w:rPr>
          <w:u w:val="single"/>
        </w:rPr>
        <w:t>Ključni</w:t>
      </w:r>
      <w:r w:rsidR="00B004B4" w:rsidRPr="00223709">
        <w:rPr>
          <w:u w:val="single"/>
        </w:rPr>
        <w:t xml:space="preserve"> ciljevi za infrastrukturu za prijenos električne energije</w:t>
      </w:r>
    </w:p>
    <w:p w14:paraId="22DB3B6F" w14:textId="77777777" w:rsidR="00B004B4" w:rsidRDefault="00B004B4" w:rsidP="00840E2E">
      <w:pPr>
        <w:pStyle w:val="ListParagraph"/>
        <w:numPr>
          <w:ilvl w:val="0"/>
          <w:numId w:val="12"/>
        </w:numPr>
        <w:tabs>
          <w:tab w:val="clear" w:pos="431"/>
          <w:tab w:val="left" w:pos="709"/>
        </w:tabs>
        <w:spacing w:line="288" w:lineRule="auto"/>
        <w:ind w:left="714" w:hanging="357"/>
      </w:pPr>
      <w:r>
        <w:t>održavanje visoke pouzdanosti prijenosnog sustava i sigurnosti opskrbe kupaca električnom energijom propisane kvalitete,</w:t>
      </w:r>
    </w:p>
    <w:p w14:paraId="4F83E88A" w14:textId="1DAE1EFE" w:rsidR="00B004B4" w:rsidRDefault="00B004B4" w:rsidP="00840E2E">
      <w:pPr>
        <w:pStyle w:val="ListParagraph"/>
        <w:numPr>
          <w:ilvl w:val="0"/>
          <w:numId w:val="12"/>
        </w:numPr>
        <w:tabs>
          <w:tab w:val="clear" w:pos="431"/>
          <w:tab w:val="left" w:pos="709"/>
        </w:tabs>
        <w:spacing w:line="288" w:lineRule="auto"/>
        <w:ind w:left="714" w:hanging="357"/>
      </w:pPr>
      <w:r>
        <w:t>ubrzana integracija varijabilnih OiE u elektroenergetski sustav, te veća dostupnost regulacijskih rezervi radi uravnoteženja njihove proizvodnje,</w:t>
      </w:r>
    </w:p>
    <w:p w14:paraId="127CE076" w14:textId="77777777" w:rsidR="00B004B4" w:rsidRDefault="00B004B4" w:rsidP="00840E2E">
      <w:pPr>
        <w:pStyle w:val="ListParagraph"/>
        <w:numPr>
          <w:ilvl w:val="0"/>
          <w:numId w:val="12"/>
        </w:numPr>
        <w:tabs>
          <w:tab w:val="clear" w:pos="431"/>
          <w:tab w:val="left" w:pos="709"/>
        </w:tabs>
        <w:spacing w:line="288" w:lineRule="auto"/>
        <w:ind w:left="714" w:hanging="357"/>
      </w:pPr>
      <w:r>
        <w:lastRenderedPageBreak/>
        <w:t>pravovremena realizacija investicijskih planova, posebno kapitalnih investicija koje omogućavaju integraciju OiE u EES,</w:t>
      </w:r>
    </w:p>
    <w:p w14:paraId="5BBBB8AD" w14:textId="7DDB27A0" w:rsidR="00B004B4" w:rsidRDefault="00B004B4" w:rsidP="00840E2E">
      <w:pPr>
        <w:pStyle w:val="ListParagraph"/>
        <w:numPr>
          <w:ilvl w:val="0"/>
          <w:numId w:val="12"/>
        </w:numPr>
        <w:tabs>
          <w:tab w:val="clear" w:pos="431"/>
          <w:tab w:val="left" w:pos="709"/>
        </w:tabs>
        <w:spacing w:line="288" w:lineRule="auto"/>
        <w:ind w:left="714" w:hanging="357"/>
      </w:pPr>
      <w:r>
        <w:t xml:space="preserve">podržavanje tržišnih transakcija na teritoriju države i u njenom okruženju </w:t>
      </w:r>
      <w:r w:rsidR="00D43BFD">
        <w:t xml:space="preserve">tako </w:t>
      </w:r>
      <w:r>
        <w:t>da prijenosna mreža ne predstavlja ograničenje u nadmetanju,</w:t>
      </w:r>
    </w:p>
    <w:p w14:paraId="4BA8AC53" w14:textId="77777777" w:rsidR="00B004B4" w:rsidRDefault="00B004B4" w:rsidP="00840E2E">
      <w:pPr>
        <w:pStyle w:val="ListParagraph"/>
        <w:numPr>
          <w:ilvl w:val="0"/>
          <w:numId w:val="12"/>
        </w:numPr>
        <w:tabs>
          <w:tab w:val="clear" w:pos="431"/>
          <w:tab w:val="left" w:pos="709"/>
        </w:tabs>
        <w:spacing w:line="288" w:lineRule="auto"/>
        <w:ind w:left="714" w:hanging="357"/>
      </w:pPr>
      <w:r>
        <w:t>revitalizacija i zamjena starijih/dotrajalih jedinica mreže,</w:t>
      </w:r>
    </w:p>
    <w:p w14:paraId="20E7C013" w14:textId="55F289AB" w:rsidR="00B004B4" w:rsidRDefault="00B004B4" w:rsidP="00840E2E">
      <w:pPr>
        <w:pStyle w:val="ListParagraph"/>
        <w:numPr>
          <w:ilvl w:val="0"/>
          <w:numId w:val="12"/>
        </w:numPr>
        <w:tabs>
          <w:tab w:val="clear" w:pos="431"/>
          <w:tab w:val="left" w:pos="709"/>
        </w:tabs>
        <w:spacing w:line="288" w:lineRule="auto"/>
        <w:ind w:left="714" w:hanging="357"/>
      </w:pPr>
      <w:r>
        <w:t xml:space="preserve">povećanje prijenosnih moći pojedinih vodova predviđenih za revitalizaciju korištenjem </w:t>
      </w:r>
      <w:r w:rsidR="00A824B2" w:rsidRPr="00A824B2">
        <w:t>visokotemperaturni</w:t>
      </w:r>
      <w:r w:rsidR="00A824B2">
        <w:t>h</w:t>
      </w:r>
      <w:r w:rsidR="00A824B2" w:rsidRPr="00A824B2">
        <w:t xml:space="preserve"> niskoprovjesni</w:t>
      </w:r>
      <w:r w:rsidR="00A824B2">
        <w:t>h</w:t>
      </w:r>
      <w:r w:rsidR="00A824B2" w:rsidRPr="00A824B2">
        <w:t xml:space="preserve"> vodič</w:t>
      </w:r>
      <w:r w:rsidR="00A824B2">
        <w:t xml:space="preserve">a (eng. </w:t>
      </w:r>
      <w:r w:rsidR="00A824B2" w:rsidRPr="00A824B2">
        <w:t>High Temperature Low Sag</w:t>
      </w:r>
      <w:r w:rsidR="00A824B2">
        <w:t>,</w:t>
      </w:r>
      <w:r w:rsidR="00A824B2" w:rsidRPr="00A824B2">
        <w:t xml:space="preserve"> </w:t>
      </w:r>
      <w:r>
        <w:t>HTLS</w:t>
      </w:r>
      <w:r w:rsidR="00A824B2">
        <w:t>)</w:t>
      </w:r>
      <w:r>
        <w:t xml:space="preserve"> vodiča, te smanjenje gubitaka u prijenosu električne energije,</w:t>
      </w:r>
    </w:p>
    <w:p w14:paraId="75C05D29" w14:textId="53A4EDF0" w:rsidR="00B004B4" w:rsidRDefault="00B004B4" w:rsidP="00840E2E">
      <w:pPr>
        <w:pStyle w:val="ListParagraph"/>
        <w:numPr>
          <w:ilvl w:val="0"/>
          <w:numId w:val="12"/>
        </w:numPr>
        <w:tabs>
          <w:tab w:val="clear" w:pos="431"/>
          <w:tab w:val="left" w:pos="709"/>
        </w:tabs>
        <w:spacing w:line="288" w:lineRule="auto"/>
        <w:ind w:left="714" w:hanging="357"/>
      </w:pPr>
      <w:r>
        <w:t>primjen</w:t>
      </w:r>
      <w:r w:rsidR="004F7AA6">
        <w:t>a</w:t>
      </w:r>
      <w:r>
        <w:t xml:space="preserve"> novih tehnologija u prijenosu, </w:t>
      </w:r>
      <w:r w:rsidR="00D43BFD">
        <w:t>ako</w:t>
      </w:r>
      <w:r>
        <w:t xml:space="preserve"> je ista tehno-ekonomski opravdana. </w:t>
      </w:r>
    </w:p>
    <w:p w14:paraId="62D1CCC9" w14:textId="1A4FE73B" w:rsidR="006600AC" w:rsidRDefault="006600AC">
      <w:r>
        <w:t>Postojeća izgrađenost prijenosne mreže i interkonekcije prema susjednim zemljama omogućavaju integraciju značajne instalirane snage OIE. S obzirom na klimatske karakteristike</w:t>
      </w:r>
      <w:r w:rsidR="00D73763">
        <w:t>,</w:t>
      </w:r>
      <w:r>
        <w:t xml:space="preserve"> regija Dalmacija posebno je atraktivna za razvoj vjetroelektrana i sunčanih elektrana te se na tom području primjećuje velik interes investitora za izgradnju novih objekata. U trenutku kad instalirana snaga vjetroelektrana premaši iznos od oko 1.000 MW (postojeća izgrađenost VE u RH je oko 600 MW) bit će potrebno pojačati internu 400 kV mrežu na pravcu TS Konjsko (Split) – TS Melina (Rijeka) kako bi se energija proizvedena iz OIE mogla prenositi u udaljenija konzumna područja. Priprema izgradnje ovog voda je započela, trenutno se izvode detaljna studijska ispitivanja potreba njegove gradnje, određivanje trase i procjena utjecaja na okoliš. </w:t>
      </w:r>
    </w:p>
    <w:p w14:paraId="39802662" w14:textId="76CECEDC" w:rsidR="00A758BE" w:rsidRPr="0051602C" w:rsidRDefault="00A758BE" w:rsidP="00A758BE">
      <w:r w:rsidRPr="00924173">
        <w:t xml:space="preserve">U skladu s Uredbom (EU) br. 347/2013, popis projekata od zajedničkog interesa </w:t>
      </w:r>
      <w:r w:rsidR="00110C9D">
        <w:t>EU</w:t>
      </w:r>
      <w:r w:rsidR="00110C9D" w:rsidRPr="00924173">
        <w:t xml:space="preserve"> </w:t>
      </w:r>
      <w:r w:rsidRPr="00924173">
        <w:t>utvrđuje se svake dvije godine.</w:t>
      </w:r>
      <w:r>
        <w:t xml:space="preserve"> </w:t>
      </w:r>
      <w:r w:rsidR="000452B7">
        <w:t>Aktualni</w:t>
      </w:r>
      <w:r w:rsidR="000452B7" w:rsidRPr="00223709">
        <w:t xml:space="preserve"> </w:t>
      </w:r>
      <w:r w:rsidRPr="00223709">
        <w:t>popis projekata od zajedničkog interesa, utvrđen Prilogom VII Uredbe (EU) 347/2013 od 23. studenog 2017., uključuje sljedeće grupe projekata od zajedničkog interesa vezanih uz električnu energiju na teritoriju RH:</w:t>
      </w:r>
    </w:p>
    <w:p w14:paraId="044D612F" w14:textId="77777777" w:rsidR="00A758BE" w:rsidRPr="00223709" w:rsidRDefault="00A758BE" w:rsidP="00840E2E">
      <w:pPr>
        <w:pStyle w:val="ListParagraph"/>
        <w:numPr>
          <w:ilvl w:val="0"/>
          <w:numId w:val="50"/>
        </w:numPr>
        <w:spacing w:line="288" w:lineRule="auto"/>
        <w:ind w:left="714" w:hanging="357"/>
      </w:pPr>
      <w:r w:rsidRPr="00223709">
        <w:t>SINCRO.GRID (Slovenia, Croatia) - An innovative integration of synergetic, mature technology-based solutions in order to increase the security of operations of the Slovenian and Croatian electricity systems simultaneously</w:t>
      </w:r>
    </w:p>
    <w:p w14:paraId="290F0D2D" w14:textId="43144927" w:rsidR="00872585" w:rsidRPr="0051602C" w:rsidRDefault="00A758BE" w:rsidP="00840E2E">
      <w:pPr>
        <w:pStyle w:val="ListParagraph"/>
        <w:numPr>
          <w:ilvl w:val="0"/>
          <w:numId w:val="50"/>
        </w:numPr>
        <w:spacing w:line="288" w:lineRule="auto"/>
        <w:ind w:left="714" w:hanging="357"/>
      </w:pPr>
      <w:r w:rsidRPr="00223709">
        <w:t>Interconnection between Žerjav</w:t>
      </w:r>
      <w:r w:rsidR="00B245B3">
        <w:t>i</w:t>
      </w:r>
      <w:r w:rsidRPr="00223709">
        <w:t>nec (HR)/ Hévíz (HU) and Cirkovce (SI).</w:t>
      </w:r>
    </w:p>
    <w:p w14:paraId="41E2B784" w14:textId="77777777" w:rsidR="00700963" w:rsidRDefault="00700963" w:rsidP="00FF0CF3"/>
    <w:p w14:paraId="45E6B799" w14:textId="7948F38A" w:rsidR="00FF0CF3" w:rsidRDefault="00FF0CF3" w:rsidP="00FF0CF3">
      <w:pPr>
        <w:rPr>
          <w:u w:val="single"/>
        </w:rPr>
      </w:pPr>
      <w:r w:rsidRPr="003A2943">
        <w:rPr>
          <w:u w:val="single"/>
        </w:rPr>
        <w:t>Ključni ciljevi za infrastrukturu za prijenos plina</w:t>
      </w:r>
    </w:p>
    <w:p w14:paraId="572A83E9" w14:textId="204BA298" w:rsidR="00677E9A" w:rsidRDefault="00677E9A" w:rsidP="00677E9A">
      <w:r>
        <w:t>Očekuje se razvoj sustava za skladištenje plina, prije svega u funkciji domaće potrošnje prirodnog plina, ali i u funkciji novih dobavnih projekata. Razvoj sustava za skladištenje plina obuhvaća dogradnju postojećeg podzemnog skladišta plina Okoli (</w:t>
      </w:r>
      <w:r w:rsidR="00A761C4">
        <w:t>u</w:t>
      </w:r>
      <w:r>
        <w:t xml:space="preserve"> tijeku), izgradnju i puštanje u rad novog (vršnog) podzemnog skladišta plina u Grubišnom Polju (planirano u 2022. godini) te potencijalna izgradnja novog sezonskog skladišta plina sukladno mogućnostima i potrebama.</w:t>
      </w:r>
    </w:p>
    <w:p w14:paraId="238EF97F" w14:textId="24FFCE12" w:rsidR="00A626AB" w:rsidRDefault="00A626AB" w:rsidP="00A626AB">
      <w:r>
        <w:t>E</w:t>
      </w:r>
      <w:r w:rsidRPr="00AD5AC8">
        <w:t>nergetski skladišni prostori i objekti za prihvat, skladištenje i uplinjavanje ili dekompresiju ukapljenog prirodnog plina (</w:t>
      </w:r>
      <w:r>
        <w:t>UPP</w:t>
      </w:r>
      <w:r w:rsidRPr="00AD5AC8">
        <w:t xml:space="preserve">) i </w:t>
      </w:r>
      <w:r>
        <w:t>stlačenog</w:t>
      </w:r>
      <w:r w:rsidRPr="00AD5AC8">
        <w:t xml:space="preserve"> prirodnog plina (</w:t>
      </w:r>
      <w:r>
        <w:t>SPP</w:t>
      </w:r>
      <w:r w:rsidRPr="00AD5AC8">
        <w:t xml:space="preserve">) imaju sve značajniju ulogu </w:t>
      </w:r>
      <w:r w:rsidRPr="00AD5AC8">
        <w:lastRenderedPageBreak/>
        <w:t>u europskoj energetskoj infrastrukturi. Proširenje takvih infrastrukturnih objekata sastavni</w:t>
      </w:r>
      <w:r>
        <w:t xml:space="preserve"> je</w:t>
      </w:r>
      <w:r w:rsidRPr="00AD5AC8">
        <w:t xml:space="preserve"> dio </w:t>
      </w:r>
      <w:r>
        <w:t>funkcionalne</w:t>
      </w:r>
      <w:r w:rsidRPr="00AD5AC8">
        <w:t xml:space="preserve"> mrežne infrastrukture.</w:t>
      </w:r>
    </w:p>
    <w:p w14:paraId="67BE7BEF" w14:textId="47BA47AA" w:rsidR="00A626AB" w:rsidRDefault="00A626AB" w:rsidP="00223709">
      <w:pPr>
        <w:suppressAutoHyphens w:val="0"/>
        <w:contextualSpacing/>
      </w:pPr>
      <w:r>
        <w:t>E</w:t>
      </w:r>
      <w:r w:rsidRPr="00A304FF">
        <w:t>nergetsk</w:t>
      </w:r>
      <w:r>
        <w:t>a</w:t>
      </w:r>
      <w:r w:rsidRPr="00A304FF">
        <w:t xml:space="preserve"> infrastruktur</w:t>
      </w:r>
      <w:r>
        <w:t>a</w:t>
      </w:r>
      <w:r w:rsidRPr="00A304FF">
        <w:t xml:space="preserve"> </w:t>
      </w:r>
      <w:r>
        <w:t xml:space="preserve">za plin </w:t>
      </w:r>
      <w:r w:rsidRPr="00A304FF">
        <w:t>koj</w:t>
      </w:r>
      <w:r>
        <w:t>u</w:t>
      </w:r>
      <w:r w:rsidRPr="00A304FF">
        <w:t xml:space="preserve"> treba iz</w:t>
      </w:r>
      <w:r>
        <w:t>g</w:t>
      </w:r>
      <w:r w:rsidRPr="00A304FF">
        <w:t xml:space="preserve">raditi </w:t>
      </w:r>
      <w:r>
        <w:t>u cilju</w:t>
      </w:r>
      <w:r w:rsidRPr="00A304FF">
        <w:t xml:space="preserve"> provedbe prioriteta </w:t>
      </w:r>
      <w:r>
        <w:t xml:space="preserve">iz područja </w:t>
      </w:r>
      <w:r w:rsidRPr="00A304FF">
        <w:t>energetske infrastrukture</w:t>
      </w:r>
      <w:r>
        <w:t xml:space="preserve"> od zajedničkog interesa su</w:t>
      </w:r>
      <w:r w:rsidR="00CB59B5">
        <w:t xml:space="preserve"> definirani Desetgod</w:t>
      </w:r>
      <w:r w:rsidR="00F50C4E">
        <w:t>i</w:t>
      </w:r>
      <w:r w:rsidR="00CB59B5">
        <w:t xml:space="preserve">šnjim planom </w:t>
      </w:r>
      <w:r w:rsidR="00960FD9" w:rsidRPr="00960FD9">
        <w:t>razvoja plinskog transportnog sustava</w:t>
      </w:r>
      <w:r>
        <w:t>.</w:t>
      </w:r>
    </w:p>
    <w:p w14:paraId="539BBCD2" w14:textId="28C8F2E4" w:rsidR="00355A3C" w:rsidRPr="00223709" w:rsidRDefault="00A626AB" w:rsidP="00840E2E">
      <w:r w:rsidRPr="0051602C">
        <w:t xml:space="preserve">U skladu s Uredbom (EU) 347/2013, </w:t>
      </w:r>
      <w:r w:rsidRPr="0014103D">
        <w:t xml:space="preserve">popis projekata od zajedničkog interesa Unije utvrđuje se svake dvije godine. </w:t>
      </w:r>
    </w:p>
    <w:p w14:paraId="5B8A8E08" w14:textId="7B716C7C" w:rsidR="0041452B" w:rsidRPr="00492FA8" w:rsidRDefault="006B004D" w:rsidP="00840E2E">
      <w:pPr>
        <w:pStyle w:val="Heading3"/>
        <w:numPr>
          <w:ilvl w:val="0"/>
          <w:numId w:val="64"/>
        </w:numPr>
      </w:pPr>
      <w:r w:rsidRPr="006B004D">
        <w:t>Ako je primjenjivo, glavni infrastrukturni projekti koji su predviđeni, osim projekata od zajedničkog interesa</w:t>
      </w:r>
    </w:p>
    <w:p w14:paraId="19DB2DAF" w14:textId="401AD052" w:rsidR="00CB59B5" w:rsidRDefault="00532700" w:rsidP="00223709">
      <w:r>
        <w:t xml:space="preserve">Glavni infrastrukturni projekti </w:t>
      </w:r>
      <w:r w:rsidR="00CB59B5">
        <w:t xml:space="preserve">su </w:t>
      </w:r>
    </w:p>
    <w:p w14:paraId="08744980" w14:textId="5FB6BC2B" w:rsidR="00CB59B5" w:rsidRDefault="00CB59B5" w:rsidP="00CB59B5">
      <w:pPr>
        <w:pStyle w:val="ListParagraph"/>
        <w:numPr>
          <w:ilvl w:val="0"/>
          <w:numId w:val="22"/>
        </w:numPr>
        <w:tabs>
          <w:tab w:val="clear" w:pos="431"/>
        </w:tabs>
        <w:suppressAutoHyphens w:val="0"/>
        <w:spacing w:line="288" w:lineRule="auto"/>
        <w:ind w:left="788" w:hanging="357"/>
        <w:contextualSpacing/>
      </w:pPr>
      <w:r>
        <w:t>plinovodi za transport prirodnog plina i bio</w:t>
      </w:r>
      <w:r w:rsidR="00D411DC">
        <w:t>metana</w:t>
      </w:r>
      <w:r>
        <w:t xml:space="preserve"> koji su dio mreže koja uglavnom sadrži visokotlačne plinovode, isključujući visokotlačne plinovode koji se koriste za potrebe proizvodnje ili lokalne distribucije prirodnog plina;</w:t>
      </w:r>
    </w:p>
    <w:p w14:paraId="70346C71" w14:textId="77777777" w:rsidR="00CB59B5" w:rsidRDefault="00CB59B5" w:rsidP="00CB59B5">
      <w:pPr>
        <w:pStyle w:val="ListParagraph"/>
        <w:numPr>
          <w:ilvl w:val="0"/>
          <w:numId w:val="22"/>
        </w:numPr>
        <w:tabs>
          <w:tab w:val="clear" w:pos="431"/>
        </w:tabs>
        <w:suppressAutoHyphens w:val="0"/>
        <w:spacing w:line="288" w:lineRule="auto"/>
        <w:ind w:left="788" w:hanging="357"/>
        <w:contextualSpacing/>
      </w:pPr>
      <w:r>
        <w:t>podzemna skladišta plina;</w:t>
      </w:r>
    </w:p>
    <w:p w14:paraId="26312D0E" w14:textId="77777777" w:rsidR="00CB59B5" w:rsidRDefault="00CB59B5" w:rsidP="00CB59B5">
      <w:pPr>
        <w:pStyle w:val="ListParagraph"/>
        <w:numPr>
          <w:ilvl w:val="0"/>
          <w:numId w:val="22"/>
        </w:numPr>
        <w:tabs>
          <w:tab w:val="clear" w:pos="431"/>
        </w:tabs>
        <w:suppressAutoHyphens w:val="0"/>
        <w:spacing w:line="288" w:lineRule="auto"/>
        <w:ind w:left="788" w:hanging="357"/>
        <w:contextualSpacing/>
      </w:pPr>
      <w:r>
        <w:t>objekti za prihvat, skladištenje i uplinjavanje ili dekompresiju UPP i SPP;</w:t>
      </w:r>
    </w:p>
    <w:p w14:paraId="479A2B42" w14:textId="77777777" w:rsidR="00CB59B5" w:rsidRDefault="00CB59B5" w:rsidP="00CB59B5">
      <w:pPr>
        <w:pStyle w:val="ListParagraph"/>
        <w:numPr>
          <w:ilvl w:val="0"/>
          <w:numId w:val="22"/>
        </w:numPr>
        <w:tabs>
          <w:tab w:val="clear" w:pos="431"/>
        </w:tabs>
        <w:suppressAutoHyphens w:val="0"/>
        <w:spacing w:line="288" w:lineRule="auto"/>
        <w:ind w:left="788" w:hanging="357"/>
        <w:contextualSpacing/>
      </w:pPr>
      <w:r>
        <w:t>sva oprema važna za zaštićen, siguran i učinkovit rad sustava ili omogućavanje dvosmjernog kapaciteta, uključujući kompresorske stanice,</w:t>
      </w:r>
    </w:p>
    <w:p w14:paraId="0788419F" w14:textId="007A4D29" w:rsidR="00950EEE" w:rsidRPr="003F363D" w:rsidRDefault="00CB59B5" w:rsidP="00CB59B5">
      <w:r>
        <w:t xml:space="preserve">pod uvjetom da je izgradnja tehnički i ekonomski opravdana </w:t>
      </w:r>
      <w:r w:rsidRPr="00FB4C84">
        <w:t>ili se izgradnjom omogućuje ispunjavanje obveza o sigurnosti opskrbe i prema infrastrukturnom standardu (N-1 kriterij) sukladno Uredbi (EU) 2017/1938 o mjerama zaštite sigurnosti opskrbe plinom</w:t>
      </w:r>
      <w:r w:rsidR="00532700">
        <w:t>.</w:t>
      </w:r>
    </w:p>
    <w:p w14:paraId="64F4D593" w14:textId="77777777" w:rsidR="00950EEE" w:rsidRPr="00BE1ECD" w:rsidRDefault="00950EEE" w:rsidP="00950EEE">
      <w:pPr>
        <w:pStyle w:val="Heading3"/>
      </w:pPr>
      <w:bookmarkStart w:id="333" w:name="_Toc531801553"/>
      <w:bookmarkStart w:id="334" w:name="_Toc531801680"/>
      <w:bookmarkStart w:id="335" w:name="_Toc531801808"/>
      <w:bookmarkStart w:id="336" w:name="_Toc531801936"/>
      <w:bookmarkStart w:id="337" w:name="_Toc531935146"/>
      <w:bookmarkStart w:id="338" w:name="_Toc531945096"/>
      <w:bookmarkStart w:id="339" w:name="_Toc6302353"/>
      <w:bookmarkEnd w:id="333"/>
      <w:bookmarkEnd w:id="334"/>
      <w:bookmarkEnd w:id="335"/>
      <w:bookmarkEnd w:id="336"/>
      <w:r>
        <w:t>2.4.3</w:t>
      </w:r>
      <w:r>
        <w:tab/>
      </w:r>
      <w:r w:rsidRPr="00BE1ECD">
        <w:t>Integracija tržišta</w:t>
      </w:r>
    </w:p>
    <w:p w14:paraId="1FB24E15" w14:textId="53145237" w:rsidR="00950EEE" w:rsidRPr="00BE1ECD" w:rsidRDefault="008C2031" w:rsidP="00840E2E">
      <w:pPr>
        <w:pStyle w:val="Heading3"/>
        <w:numPr>
          <w:ilvl w:val="0"/>
          <w:numId w:val="65"/>
        </w:numPr>
      </w:pPr>
      <w:r w:rsidRPr="008C2031">
        <w:t>Nacionalni ciljevi povezani s drugim aspektima unutarnjeg energetskog tržišta, poput povećanja fleksibilnosti sustava, osobito u vezi s promicanjem tržišnih cijena električne energije u skladu s relevantnim sektorskim pravom</w:t>
      </w:r>
      <w:r w:rsidRPr="0051602C">
        <w:t>, integracije tržišta i uparivanja s ciljem nastojanja da se poveća utrživi kapacitet postojećih spojnih vodova,</w:t>
      </w:r>
      <w:r w:rsidRPr="008C2031">
        <w:t xml:space="preserve"> pametnih mreža, agregacije, upravljanja potražnjom, skladištenja, distribuirane proizvodnje energije, mehanizama za otpremu, ponovnu otpremu i ograničavanje usluge i cjenovnih signala u stvarnom vremenu, uključujući vremenski okvir za ostvarenje ciljeva.</w:t>
      </w:r>
      <w:r w:rsidRPr="008C2031" w:rsidDel="008C2031">
        <w:t xml:space="preserve"> </w:t>
      </w:r>
    </w:p>
    <w:bookmarkEnd w:id="337"/>
    <w:bookmarkEnd w:id="338"/>
    <w:bookmarkEnd w:id="339"/>
    <w:p w14:paraId="0AFD093B" w14:textId="7904E457" w:rsidR="004808FA" w:rsidRPr="00725326" w:rsidRDefault="004808FA" w:rsidP="004808FA">
      <w:r w:rsidRPr="00725326">
        <w:t xml:space="preserve">Povezivanjem dan unaprijed tržišta na granici </w:t>
      </w:r>
      <w:r>
        <w:t>Republike Hrvatske i Republike Slovenije</w:t>
      </w:r>
      <w:r w:rsidRPr="00725326">
        <w:t xml:space="preserve"> pokazalo je značajne učinke na povećanje likvidnosti </w:t>
      </w:r>
      <w:r w:rsidR="002A17A3">
        <w:t xml:space="preserve">hrvatske </w:t>
      </w:r>
      <w:r w:rsidRPr="00725326">
        <w:t>burze električne energije</w:t>
      </w:r>
      <w:r w:rsidR="002A17A3">
        <w:t xml:space="preserve"> (CROPEX)</w:t>
      </w:r>
      <w:r w:rsidRPr="00725326">
        <w:t>, povećanje mogućnosti plasmana energije i harmonizaciju cijena. Započete aktivnosti u tržišnom povezivanju trebaju se nastaviti s ciljem postizanja potpune integracije u unutarnje tržište EU</w:t>
      </w:r>
      <w:r w:rsidR="002905AF">
        <w:t xml:space="preserve">, prvenstveno kroz povezivanje </w:t>
      </w:r>
      <w:r w:rsidR="0030152E">
        <w:t xml:space="preserve">s </w:t>
      </w:r>
      <w:r w:rsidR="001A4BE5">
        <w:t>mađarskim</w:t>
      </w:r>
      <w:r w:rsidR="0055627D">
        <w:t xml:space="preserve"> dan unaprijed tržištem</w:t>
      </w:r>
      <w:r w:rsidRPr="00725326">
        <w:t xml:space="preserve">. Tržišta u jugoistočnom okruženju su vrlo značajna za Hrvatsku s obzirom na dobru prekograničnu povezanost te dostupnost energije, ali je </w:t>
      </w:r>
      <w:r w:rsidR="00AC36D0">
        <w:t xml:space="preserve">tržišna </w:t>
      </w:r>
      <w:r w:rsidRPr="00725326">
        <w:t xml:space="preserve">integracija ograničena stupnjem razvoja nacionalnih </w:t>
      </w:r>
      <w:r w:rsidR="00613A5F">
        <w:t xml:space="preserve">elektroenergetskih </w:t>
      </w:r>
      <w:r w:rsidRPr="00725326">
        <w:t xml:space="preserve">tržišta u tim zemljama. Bosna i Hercegovina </w:t>
      </w:r>
      <w:r w:rsidRPr="00725326">
        <w:lastRenderedPageBreak/>
        <w:t>još nema uspostavljenu burzu električne energije, dok se povezivanje dan unaprijed tržišta sa Srbijom može postići u relativno kratkom roku.</w:t>
      </w:r>
      <w:r w:rsidR="000C3300" w:rsidRPr="000C3300">
        <w:t xml:space="preserve"> </w:t>
      </w:r>
      <w:r w:rsidR="000C3300">
        <w:t>Projektom povezivanja dan-unaprijed tržišta na području WB6 zemalja očekuje se potpuna integracija tržišta u regiji u razdoblju do 2025. godine.</w:t>
      </w:r>
    </w:p>
    <w:p w14:paraId="00652ACD" w14:textId="342BA540" w:rsidR="004808FA" w:rsidRPr="00FC773E" w:rsidRDefault="00FC773E" w:rsidP="00F3374E">
      <w:r>
        <w:t>O</w:t>
      </w:r>
      <w:r w:rsidR="004808FA" w:rsidRPr="00602568">
        <w:t>čekuje se druga faza proširenj</w:t>
      </w:r>
      <w:r w:rsidR="00E44F34" w:rsidRPr="00602568">
        <w:t>a</w:t>
      </w:r>
      <w:r w:rsidR="004808FA" w:rsidRPr="00602568">
        <w:t xml:space="preserve"> unutardnevnog tržišta </w:t>
      </w:r>
      <w:r w:rsidR="00EC2CA2" w:rsidRPr="00602568">
        <w:t xml:space="preserve">kroz XBID projekt, </w:t>
      </w:r>
      <w:r w:rsidR="004808FA" w:rsidRPr="00602568">
        <w:t>koja obuhvaća sljedeće zemlje: Bugarska, Hrvatska, Češka, Mađarska, Poljska, Rumunjska i Slovenija, zajedno s već operativnim zemljama s kojima graniče.</w:t>
      </w:r>
      <w:r w:rsidR="004808FA" w:rsidRPr="00FC773E">
        <w:t xml:space="preserve"> </w:t>
      </w:r>
    </w:p>
    <w:p w14:paraId="31D32F47" w14:textId="33526E04" w:rsidR="00CD48D5" w:rsidRPr="00570A3E" w:rsidRDefault="00CD48D5" w:rsidP="00CD48D5">
      <w:r w:rsidRPr="007E6B7D">
        <w:t>Premda je veleprodajn</w:t>
      </w:r>
      <w:r w:rsidRPr="00F66804">
        <w:t>o tržište električne energije u Hrvatskoj u potpunosti otvoreno, ono je karakterizirano postojanjem domina</w:t>
      </w:r>
      <w:r w:rsidR="00D27138">
        <w:t>n</w:t>
      </w:r>
      <w:r w:rsidRPr="00F66804">
        <w:t>tnog proizvođača električne energije. Potrebno je povećati broj sudionika na veleprodajnom tržištu, a osobito u po</w:t>
      </w:r>
      <w:r w:rsidRPr="00570A3E">
        <w:t xml:space="preserve">dručju proizvodnje električne energije kako bi se bi se povećala konkurentnost na strani ponude. </w:t>
      </w:r>
    </w:p>
    <w:p w14:paraId="383BA8CC" w14:textId="59D836FD" w:rsidR="00271565" w:rsidRDefault="00271565" w:rsidP="00271565">
      <w:pPr>
        <w:suppressAutoHyphens w:val="0"/>
      </w:pPr>
      <w:r w:rsidRPr="003B2254">
        <w:t>Potrebno je povećati sudjelovanje</w:t>
      </w:r>
      <w:r>
        <w:t xml:space="preserve"> krajnjih kupaca s vlastitom proizvodnjom na tržištu električne energije, o</w:t>
      </w:r>
      <w:r w:rsidRPr="000B2546">
        <w:t xml:space="preserve">sigurati fleksibilnost i dostatnost </w:t>
      </w:r>
      <w:r w:rsidR="00FC773E">
        <w:t>te razmotriti mogućnost</w:t>
      </w:r>
      <w:r w:rsidRPr="000B2546">
        <w:t xml:space="preserve"> formiranja tržišta kapaciteta</w:t>
      </w:r>
      <w:r>
        <w:t xml:space="preserve"> (engl. capacity markets).</w:t>
      </w:r>
    </w:p>
    <w:p w14:paraId="63C77213" w14:textId="1D25F32E" w:rsidR="00271565" w:rsidRDefault="0034440B" w:rsidP="00223709">
      <w:pPr>
        <w:suppressAutoHyphens w:val="0"/>
        <w:jc w:val="left"/>
      </w:pPr>
      <w:r>
        <w:t xml:space="preserve">Potrebno je omogućiti agregiranje krajnjih kupaca kao i </w:t>
      </w:r>
      <w:r w:rsidR="00271565">
        <w:t xml:space="preserve">sudjelovanje odziva potrošnje na tržištu električne energije. </w:t>
      </w:r>
    </w:p>
    <w:p w14:paraId="27A623D1" w14:textId="77777777" w:rsidR="00ED3F8C" w:rsidRDefault="00ED3F8C" w:rsidP="00ED3F8C">
      <w:pPr>
        <w:rPr>
          <w:lang w:val="en-US"/>
        </w:rPr>
      </w:pPr>
      <w:r>
        <w:rPr>
          <w:lang w:val="en-US"/>
        </w:rPr>
        <w:t>Ciljevi :</w:t>
      </w:r>
    </w:p>
    <w:p w14:paraId="2BB8C013" w14:textId="77777777" w:rsidR="00ED3F8C" w:rsidRDefault="00ED3F8C" w:rsidP="00840E2E">
      <w:pPr>
        <w:pStyle w:val="ListParagraph"/>
        <w:numPr>
          <w:ilvl w:val="0"/>
          <w:numId w:val="30"/>
        </w:numPr>
        <w:tabs>
          <w:tab w:val="clear" w:pos="431"/>
        </w:tabs>
        <w:suppressAutoHyphens w:val="0"/>
        <w:spacing w:after="160" w:line="259" w:lineRule="auto"/>
        <w:contextualSpacing/>
        <w:jc w:val="left"/>
        <w:rPr>
          <w:lang w:val="en-US"/>
        </w:rPr>
      </w:pPr>
      <w:r>
        <w:rPr>
          <w:lang w:val="en-US"/>
        </w:rPr>
        <w:t>Daljnja integracija tržišta električne energije sa susjednim tržištima i EU tržištem</w:t>
      </w:r>
    </w:p>
    <w:p w14:paraId="348D9FE3" w14:textId="69BE63E3" w:rsidR="00271565" w:rsidRDefault="00ED3F8C" w:rsidP="00840E2E">
      <w:pPr>
        <w:pStyle w:val="ListParagraph"/>
        <w:numPr>
          <w:ilvl w:val="0"/>
          <w:numId w:val="30"/>
        </w:numPr>
        <w:tabs>
          <w:tab w:val="clear" w:pos="431"/>
        </w:tabs>
        <w:suppressAutoHyphens w:val="0"/>
        <w:spacing w:after="160" w:line="259" w:lineRule="auto"/>
        <w:contextualSpacing/>
        <w:jc w:val="left"/>
      </w:pPr>
      <w:r w:rsidRPr="00673364">
        <w:rPr>
          <w:lang w:val="en-US"/>
        </w:rPr>
        <w:t>Jačanje konkurentnosti i likvidnosti veleprodajnog tržišta kroz povećanje broja tržišnih sudionika i udjela burzovnog trgovanja</w:t>
      </w:r>
    </w:p>
    <w:p w14:paraId="23755733" w14:textId="127E51DD" w:rsidR="00F738A5" w:rsidRPr="00BE1ECD" w:rsidRDefault="00215347" w:rsidP="00840E2E">
      <w:pPr>
        <w:pStyle w:val="Heading3"/>
        <w:numPr>
          <w:ilvl w:val="0"/>
          <w:numId w:val="65"/>
        </w:numPr>
      </w:pPr>
      <w:r w:rsidRPr="00215347">
        <w:t>Ako je primjenjivo, nacionalni ciljevi povezani s nediskriminatornim sudjelovanjem obnovljivih izvora energije, upravljanjem potrošnjom i skladištenjem, među ostalim putem agregacije, na svim energetskim tržištima, uključujući vremenski okvir za ostvarenje ciljeva</w:t>
      </w:r>
      <w:r w:rsidRPr="00215347" w:rsidDel="00215347">
        <w:t xml:space="preserve"> </w:t>
      </w:r>
    </w:p>
    <w:p w14:paraId="13331325" w14:textId="50C496FD" w:rsidR="00A824B2" w:rsidRPr="00725326" w:rsidRDefault="00A824B2" w:rsidP="00A824B2">
      <w:r w:rsidRPr="00725326">
        <w:t>U segmentu pomoćnih usluga i uravnoteženja sustava potrebno je uspostaviti tržišne mehanizme koj</w:t>
      </w:r>
      <w:r w:rsidR="00045A68" w:rsidRPr="00725326">
        <w:t>i</w:t>
      </w:r>
      <w:r w:rsidRPr="00725326">
        <w:t xml:space="preserve"> će omogućiti većem broju tržišnih sudionika, ali i krajnjih potrošača</w:t>
      </w:r>
      <w:r w:rsidR="00045A68" w:rsidRPr="00725326">
        <w:t>,</w:t>
      </w:r>
      <w:r w:rsidRPr="00725326">
        <w:t xml:space="preserve"> pružanje takvih usluga.</w:t>
      </w:r>
    </w:p>
    <w:p w14:paraId="5DC62D3A" w14:textId="1821FD5F" w:rsidR="00A824B2" w:rsidRPr="00602568" w:rsidRDefault="00A824B2" w:rsidP="00223709">
      <w:r w:rsidRPr="00602568">
        <w:t>Cilj</w:t>
      </w:r>
      <w:r w:rsidR="00ED3F8C" w:rsidRPr="00602568">
        <w:t>: razvoj kompetitivnog tržišta uravnoteženja i pomoćnih usluga</w:t>
      </w:r>
    </w:p>
    <w:p w14:paraId="5ACA3CC9" w14:textId="54EB18A3" w:rsidR="00430132" w:rsidRDefault="00430132" w:rsidP="00840E2E">
      <w:pPr>
        <w:pStyle w:val="Heading3"/>
        <w:numPr>
          <w:ilvl w:val="0"/>
          <w:numId w:val="101"/>
        </w:numPr>
      </w:pPr>
      <w:r w:rsidRPr="00A5135E">
        <w:t>Nacionalni ciljevi u pogledu osiguranja adekvatnosti elektroenergetskog sustava kao i u pogledu fleksibilnosti elektroenergetskog sustava s obzirom na proizvodnju energije iz obnovljivih izvora, uključujući vremenski okvir za ostvarenje ciljeva</w:t>
      </w:r>
    </w:p>
    <w:p w14:paraId="57A727BF" w14:textId="1F0F17E7" w:rsidR="00E41C01" w:rsidRDefault="00E41C01" w:rsidP="00E41C01">
      <w:r>
        <w:t xml:space="preserve">U pogledu buduće adekvatnosti EES-a, potrebno je voditi računa o očekivanim promjenama u EES-u. Prema projekcijama udjela OIE iz poglavlja 2.1.2., potrebno je osigurati odgovarajuća ulaganja u prijenosnu mrežu i sustav vođenja, te dostatne (raspoložive) mogućnosti uravnoteženja sustava, kako bi se osigurala zadovoljavajuća adekvatnost EES-a, te podržala </w:t>
      </w:r>
      <w:r>
        <w:lastRenderedPageBreak/>
        <w:t>očekivana fleksibilnost njegovog pogona.</w:t>
      </w:r>
      <w:r w:rsidR="00AC3676">
        <w:t xml:space="preserve"> </w:t>
      </w:r>
      <w:r>
        <w:t xml:space="preserve">Također, </w:t>
      </w:r>
      <w:r w:rsidRPr="004854DB">
        <w:t>fleksibilnost</w:t>
      </w:r>
      <w:r>
        <w:t>i</w:t>
      </w:r>
      <w:r w:rsidRPr="004854DB">
        <w:t xml:space="preserve"> </w:t>
      </w:r>
      <w:r>
        <w:t>EES-a doprinijet će i</w:t>
      </w:r>
      <w:r w:rsidRPr="004854DB">
        <w:t xml:space="preserve"> aktivn</w:t>
      </w:r>
      <w:r>
        <w:t>o</w:t>
      </w:r>
      <w:r w:rsidRPr="004854DB">
        <w:t xml:space="preserve"> sudjelovanje </w:t>
      </w:r>
      <w:r>
        <w:t>korisnika mreže</w:t>
      </w:r>
      <w:r w:rsidRPr="004854DB">
        <w:t xml:space="preserve"> u pružanju usluga operatorima sustava</w:t>
      </w:r>
      <w:r>
        <w:t>.</w:t>
      </w:r>
    </w:p>
    <w:p w14:paraId="559D76E8" w14:textId="7B5895D6" w:rsidR="00923059" w:rsidRDefault="00673CD8" w:rsidP="00E41C01">
      <w:r>
        <w:t>Potrebno je izraditi analizu utjecaja klimatskih promjena na adekvatnost EES-a</w:t>
      </w:r>
      <w:r w:rsidR="00827CA2">
        <w:t>, koja može biti smanjena uslijed ispada ključnih proizvodnih i prijenosnih objekata uzrokovanih ekstremnim vremenskim prilikam</w:t>
      </w:r>
      <w:r w:rsidR="00A84FE6">
        <w:t>a</w:t>
      </w:r>
      <w:r w:rsidR="00134284">
        <w:t>,</w:t>
      </w:r>
      <w:r w:rsidR="00EE2F7B">
        <w:t xml:space="preserve"> uslijed</w:t>
      </w:r>
      <w:r w:rsidR="00134284">
        <w:t xml:space="preserve"> </w:t>
      </w:r>
      <w:r w:rsidR="00A84FE6">
        <w:t>smanjenj</w:t>
      </w:r>
      <w:r w:rsidR="00EE2F7B">
        <w:t>a</w:t>
      </w:r>
      <w:r w:rsidR="00A84FE6">
        <w:t xml:space="preserve"> proizvodnje električne energije iz hidroelektrana</w:t>
      </w:r>
      <w:r w:rsidR="00134284">
        <w:t xml:space="preserve"> zbog smanjenja </w:t>
      </w:r>
      <w:r w:rsidR="00A11832">
        <w:t>raspoložive količ</w:t>
      </w:r>
      <w:r w:rsidR="00B35C77">
        <w:t>i</w:t>
      </w:r>
      <w:r w:rsidR="00A11832">
        <w:t>ne vode</w:t>
      </w:r>
      <w:r w:rsidR="00A84FE6">
        <w:t xml:space="preserve"> te</w:t>
      </w:r>
      <w:r w:rsidR="0065330C">
        <w:t xml:space="preserve"> uslijed</w:t>
      </w:r>
      <w:r w:rsidR="00A84FE6">
        <w:t xml:space="preserve"> </w:t>
      </w:r>
      <w:r w:rsidR="0011117D">
        <w:t>ograničavanj</w:t>
      </w:r>
      <w:r w:rsidR="0065330C">
        <w:t>a</w:t>
      </w:r>
      <w:r w:rsidR="0011117D">
        <w:t xml:space="preserve"> pogona termoelektrana zbog smanjenja dostupnosti rashladnog medija</w:t>
      </w:r>
      <w:r w:rsidR="00C85481">
        <w:t xml:space="preserve"> smanjen</w:t>
      </w:r>
      <w:r w:rsidR="00691C7C">
        <w:t>og</w:t>
      </w:r>
      <w:r w:rsidR="00C85481">
        <w:t xml:space="preserve"> </w:t>
      </w:r>
      <w:r w:rsidR="00171B84">
        <w:t>protoka</w:t>
      </w:r>
      <w:r w:rsidR="00C85481">
        <w:t>.</w:t>
      </w:r>
    </w:p>
    <w:p w14:paraId="061B4D48" w14:textId="77777777" w:rsidR="00EF72F7" w:rsidRPr="00EF72F7" w:rsidRDefault="00EF72F7" w:rsidP="00EF72F7">
      <w:r w:rsidRPr="00EF72F7">
        <w:t>Imajući u vidu postojeće kapacitete prekograničnih vodova, očekuje se da će prekogranična razmjena električne energije bitno pridonijeti adekvatnosti EES-a u uvjetima rastuće intermitentne proizvodnje iz OIE. Bit će neophodno dodatno ojačati prekograničnu i regionalnu suradnju operatora prijenosnih elektroenergetskih sustava, s ciljem osiguranja kvalitete i sigurnosti pogona sustava.</w:t>
      </w:r>
    </w:p>
    <w:p w14:paraId="1F8A4996" w14:textId="64C10BE0" w:rsidR="00952801" w:rsidRPr="00BE1ECD" w:rsidRDefault="00952801" w:rsidP="00840E2E">
      <w:pPr>
        <w:pStyle w:val="Heading3"/>
        <w:numPr>
          <w:ilvl w:val="0"/>
          <w:numId w:val="102"/>
        </w:numPr>
      </w:pPr>
      <w:r w:rsidRPr="00A2378C">
        <w:t>Ako je primjenjivo, nacionalni ciljevi u pogledu osiguranja da potrošači sudjeluju u energetskom sustavu te da imaju koristi od vlastite proizvodnje i novih tehnologija, uključujući pametna brojila</w:t>
      </w:r>
      <w:r w:rsidRPr="00A2378C" w:rsidDel="00A2378C">
        <w:t xml:space="preserve"> </w:t>
      </w:r>
    </w:p>
    <w:p w14:paraId="4A4A4D74" w14:textId="681BFA2C" w:rsidR="00952801" w:rsidRPr="0051602C" w:rsidRDefault="00107465" w:rsidP="00223709">
      <w:pPr>
        <w:suppressAutoHyphens w:val="0"/>
        <w:contextualSpacing/>
      </w:pPr>
      <w:r w:rsidRPr="00223709">
        <w:t xml:space="preserve">Analitičke podloge izrađene za potrebe donošenja </w:t>
      </w:r>
      <w:r w:rsidR="00C734C6">
        <w:t>Strategije energetskog razvoja</w:t>
      </w:r>
      <w:r>
        <w:t xml:space="preserve"> </w:t>
      </w:r>
      <w:r w:rsidRPr="00107465">
        <w:t>(</w:t>
      </w:r>
      <w:r w:rsidR="00F05B6C">
        <w:t>[</w:t>
      </w:r>
      <w:r w:rsidR="007B65B7">
        <w:fldChar w:fldCharType="begin"/>
      </w:r>
      <w:r w:rsidR="007B65B7">
        <w:instrText xml:space="preserve"> REF _Ref19885351 \w \h </w:instrText>
      </w:r>
      <w:r w:rsidR="002826CC">
        <w:instrText xml:space="preserve"> \* MERGEFORMAT </w:instrText>
      </w:r>
      <w:r w:rsidR="007B65B7">
        <w:fldChar w:fldCharType="separate"/>
      </w:r>
      <w:r w:rsidR="00154150">
        <w:t>2</w:t>
      </w:r>
      <w:r w:rsidR="007B65B7">
        <w:fldChar w:fldCharType="end"/>
      </w:r>
      <w:r w:rsidR="007B65B7">
        <w:t>], [</w:t>
      </w:r>
      <w:r w:rsidR="007B65B7">
        <w:fldChar w:fldCharType="begin"/>
      </w:r>
      <w:r w:rsidR="007B65B7">
        <w:instrText xml:space="preserve"> REF _Ref19784013 \w \h </w:instrText>
      </w:r>
      <w:r w:rsidR="002826CC">
        <w:instrText xml:space="preserve"> \* MERGEFORMAT </w:instrText>
      </w:r>
      <w:r w:rsidR="007B65B7">
        <w:fldChar w:fldCharType="separate"/>
      </w:r>
      <w:r w:rsidR="00154150">
        <w:t>4</w:t>
      </w:r>
      <w:r w:rsidR="007B65B7">
        <w:fldChar w:fldCharType="end"/>
      </w:r>
      <w:r w:rsidR="00F05B6C">
        <w:t>]</w:t>
      </w:r>
      <w:r w:rsidRPr="00107465">
        <w:t xml:space="preserve">) </w:t>
      </w:r>
      <w:r w:rsidR="00F05B6C">
        <w:t xml:space="preserve">kao </w:t>
      </w:r>
      <w:r w:rsidRPr="00107465">
        <w:t>prioritet</w:t>
      </w:r>
      <w:r w:rsidR="00F05B6C">
        <w:t>e</w:t>
      </w:r>
      <w:r w:rsidRPr="00107465">
        <w:t xml:space="preserve"> ulaganja u distribucijski sustav </w:t>
      </w:r>
      <w:r w:rsidR="00F05B6C">
        <w:t xml:space="preserve">definiraju </w:t>
      </w:r>
      <w:r w:rsidR="00D776C0">
        <w:t xml:space="preserve">uvođenje </w:t>
      </w:r>
      <w:r w:rsidRPr="00107465">
        <w:t>napredni</w:t>
      </w:r>
      <w:r w:rsidR="00D776C0">
        <w:t>h</w:t>
      </w:r>
      <w:r w:rsidRPr="00107465">
        <w:t xml:space="preserve"> mjerni</w:t>
      </w:r>
      <w:r w:rsidR="00D776C0">
        <w:t>h</w:t>
      </w:r>
      <w:r w:rsidRPr="00107465">
        <w:t xml:space="preserve"> sustav</w:t>
      </w:r>
      <w:r w:rsidR="00D776C0">
        <w:t>a</w:t>
      </w:r>
      <w:r w:rsidRPr="00107465">
        <w:t xml:space="preserve"> do 2025. godine</w:t>
      </w:r>
      <w:r w:rsidR="00D776C0">
        <w:t xml:space="preserve">. Također, predviđa se provedba </w:t>
      </w:r>
      <w:r w:rsidRPr="00107465">
        <w:t>pilot projek</w:t>
      </w:r>
      <w:r w:rsidR="00D776C0">
        <w:t>ata</w:t>
      </w:r>
      <w:r w:rsidRPr="00107465">
        <w:t xml:space="preserve"> naprednih mreža</w:t>
      </w:r>
      <w:r w:rsidR="00D776C0">
        <w:t>, na temelju kojih će se steći</w:t>
      </w:r>
      <w:r w:rsidR="008B6FA9">
        <w:t xml:space="preserve"> dodatni</w:t>
      </w:r>
      <w:r w:rsidR="00D776C0">
        <w:t xml:space="preserve"> uvidi u</w:t>
      </w:r>
      <w:r w:rsidR="008B6FA9">
        <w:t xml:space="preserve"> karakteristike korisnika mreže</w:t>
      </w:r>
      <w:r w:rsidR="00953171">
        <w:t xml:space="preserve"> i istražiti mogućnosti njihovog aktivnog sudjelovanja u EES-u</w:t>
      </w:r>
      <w:r w:rsidRPr="00107465">
        <w:t>.</w:t>
      </w:r>
    </w:p>
    <w:p w14:paraId="409506E2" w14:textId="21C84489" w:rsidR="00675D1E" w:rsidRPr="00BE1ECD" w:rsidRDefault="00952801" w:rsidP="00840E2E">
      <w:pPr>
        <w:pStyle w:val="Heading3"/>
        <w:numPr>
          <w:ilvl w:val="0"/>
          <w:numId w:val="102"/>
        </w:numPr>
      </w:pPr>
      <w:r w:rsidRPr="00952801">
        <w:t>Ako je primjenjivo, nacionalni ciljevi za zaštitu potrošača energije i poboljšanje konkurentnosti na maloprodajnom tržištu elektroenergetskog sektora</w:t>
      </w:r>
      <w:r w:rsidRPr="00952801" w:rsidDel="00952801">
        <w:t xml:space="preserve"> </w:t>
      </w:r>
    </w:p>
    <w:p w14:paraId="10BA20EE" w14:textId="77777777" w:rsidR="00066B43" w:rsidRDefault="00066B43" w:rsidP="00066B43">
      <w:r>
        <w:t>Stopa promjene opskrbljivača krajnjih kupaca električne energije jedan je od ključnih pokazatelja razvoja maloprodajnog tržišta električne energije. Na stopu promjene opskrbljivača kod krajnjih kupaca iz kategorije poduzetništvo znatan utjecaj ima zakonodavni okvir kojim se propisuje javna nabava, pri čemu se dio krajnjih kupaca obvezuje na redovito objavljivanje natječaja za odabir najpovoljnijeg opskrbljivača električnom energijom.</w:t>
      </w:r>
    </w:p>
    <w:p w14:paraId="1D17B45E" w14:textId="0A78B202" w:rsidR="00066B43" w:rsidRDefault="00066B43" w:rsidP="0051602C">
      <w:r>
        <w:t xml:space="preserve">Hrvatski cilj u pogledu poboljšanja konkurentnost na maloprodajnom tržištu električne energije </w:t>
      </w:r>
      <w:r w:rsidR="006E29A9">
        <w:t xml:space="preserve">je </w:t>
      </w:r>
      <w:r>
        <w:t>proširenje izbora opskrbljivača (</w:t>
      </w:r>
      <w:r w:rsidR="003D06E8">
        <w:t xml:space="preserve">smanjenje </w:t>
      </w:r>
      <w:r>
        <w:t>HHI indeksa za obračunska mjerna mjesta iz kategorija kućanstvo i poduzetništvo</w:t>
      </w:r>
      <w:r w:rsidR="00C41A7E">
        <w:t>) i</w:t>
      </w:r>
      <w:r w:rsidR="00B82EA3">
        <w:t xml:space="preserve"> broja proizvoda</w:t>
      </w:r>
      <w:r w:rsidR="00CD48D5">
        <w:t>.</w:t>
      </w:r>
    </w:p>
    <w:p w14:paraId="4A1ACC24" w14:textId="77777777" w:rsidR="00E47D84" w:rsidRPr="00BE1ECD" w:rsidRDefault="00E47D84" w:rsidP="00E47D84">
      <w:pPr>
        <w:pStyle w:val="Heading3"/>
      </w:pPr>
      <w:bookmarkStart w:id="340" w:name="_Toc531935147"/>
      <w:bookmarkStart w:id="341" w:name="_Toc531945097"/>
      <w:bookmarkStart w:id="342" w:name="_Toc6302354"/>
      <w:r>
        <w:t>2.4.4</w:t>
      </w:r>
      <w:r>
        <w:tab/>
      </w:r>
      <w:r w:rsidRPr="00BE1ECD">
        <w:t xml:space="preserve">Energetsko siromaštvo </w:t>
      </w:r>
    </w:p>
    <w:bookmarkEnd w:id="340"/>
    <w:bookmarkEnd w:id="341"/>
    <w:bookmarkEnd w:id="342"/>
    <w:p w14:paraId="04D549F8" w14:textId="77777777" w:rsidR="00FF0CF3" w:rsidRDefault="00FF0CF3" w:rsidP="00840E2E">
      <w:pPr>
        <w:pStyle w:val="ListParagraph"/>
        <w:numPr>
          <w:ilvl w:val="0"/>
          <w:numId w:val="11"/>
        </w:numPr>
        <w:tabs>
          <w:tab w:val="clear" w:pos="431"/>
        </w:tabs>
        <w:suppressAutoHyphens w:val="0"/>
        <w:spacing w:after="160" w:line="259" w:lineRule="auto"/>
        <w:contextualSpacing/>
        <w:jc w:val="left"/>
      </w:pPr>
      <w:r>
        <w:t>Ako je primjenjivo, nacionalni ciljevi u pogledu energetskog siromaštva, uključujući vremenski okvir tijekom kojeg ciljevi trebaju biti ostvareni</w:t>
      </w:r>
    </w:p>
    <w:p w14:paraId="2E6C1B24" w14:textId="1FB00020" w:rsidR="006A427C" w:rsidRDefault="006A427C" w:rsidP="006A427C">
      <w:r>
        <w:t>Do početka provedbe Integriranog</w:t>
      </w:r>
      <w:r w:rsidR="00C41A7E">
        <w:t xml:space="preserve"> nacionalnog</w:t>
      </w:r>
      <w:r>
        <w:t xml:space="preserve"> energetskog i klimatskog plana, izradit će se Program za suzbijanje energetskog siromaštva</w:t>
      </w:r>
      <w:r w:rsidR="00821024">
        <w:t xml:space="preserve"> te u okviru njega razraditi i model potpore </w:t>
      </w:r>
      <w:r w:rsidR="00821024">
        <w:lastRenderedPageBreak/>
        <w:t>potrebitim kućanstvima. Provedba Programa izgradnj</w:t>
      </w:r>
      <w:r w:rsidR="00E808AC">
        <w:t>e</w:t>
      </w:r>
      <w:r w:rsidR="00821024">
        <w:t xml:space="preserve"> </w:t>
      </w:r>
      <w:r>
        <w:t>kapaciteta za suzbijanje energetskog siromaštva, sukladno 4. Nacionalnom akcijskom planu za energetsku učinkovitost za razdoblje do</w:t>
      </w:r>
      <w:r w:rsidR="00C41A7E">
        <w:t xml:space="preserve"> kraja</w:t>
      </w:r>
      <w:r>
        <w:t xml:space="preserve"> 2019. godine</w:t>
      </w:r>
      <w:r w:rsidR="00821024">
        <w:t>,</w:t>
      </w:r>
      <w:r w:rsidR="00200DAB">
        <w:t xml:space="preserve"> također će</w:t>
      </w:r>
      <w:r w:rsidR="00821024">
        <w:t xml:space="preserve"> započet</w:t>
      </w:r>
      <w:r w:rsidR="00200DAB">
        <w:t>i</w:t>
      </w:r>
      <w:r w:rsidR="00821024">
        <w:t xml:space="preserve"> prije razdoblja provedbe ovog Plana</w:t>
      </w:r>
      <w:r>
        <w:t>.</w:t>
      </w:r>
    </w:p>
    <w:p w14:paraId="3E019581" w14:textId="35E8B3B0" w:rsidR="00EA504F" w:rsidRDefault="00DF33DB" w:rsidP="006A427C">
      <w:r>
        <w:t xml:space="preserve">Potrebno je napomenuti kako je </w:t>
      </w:r>
      <w:r w:rsidRPr="00DF33DB">
        <w:t>MGIPU do sada izradilo dva Programa koja su uzela u obzir energetsko siromaštvo: „Program suzbijanja energetskog siromaštva koji uključuje korištenje obnovljivih izvora energije u stambenim zgradama na potpomognutim područjima i područjima posebne državne skrbi za razdoblje 2019. do 2021. godine“, koji je izrađen u suradnji s Državnim uredom za obnovu i stambeno zbrinjavanje te „Izmjene i dopune Programa energetske obnove obiteljskih kuća za razdoblje od 2014. do 2020. godine s detaljnim planom za razdoblje od 2014. do 2016. godine“, koje će po prvi puta uključiti i mjere</w:t>
      </w:r>
      <w:r>
        <w:t xml:space="preserve"> suzbijanja</w:t>
      </w:r>
      <w:r w:rsidRPr="00DF33DB">
        <w:t xml:space="preserve"> energetskog siromaštva, tako da bi za ovu skupinu građana stopa sufinanciranja bila 100%. Osim navedenih programa, prema Zakonu o gradnji, Vlada Republike Hrvatske na prijedlog MGIPU donijet će Dugoročnu strategiju obnove nacionalnog fonda zgrada do 2050. u kojoj će biti predložene nacionalne mjere za ublažavanje energetskog siromaštva, koje će se</w:t>
      </w:r>
      <w:r w:rsidR="00622DB1">
        <w:t xml:space="preserve"> </w:t>
      </w:r>
      <w:r w:rsidRPr="00DF33DB">
        <w:t>postići putem dubinskih obnova zgrada.</w:t>
      </w:r>
    </w:p>
    <w:p w14:paraId="0459FEA3" w14:textId="394E11F4" w:rsidR="006A427C" w:rsidRDefault="006A427C" w:rsidP="006A427C">
      <w:r>
        <w:t>U</w:t>
      </w:r>
      <w:r w:rsidR="009D3104">
        <w:t>z to,</w:t>
      </w:r>
      <w:r>
        <w:t xml:space="preserve"> razdoblju od 2021. do 2030. godine, provodit će se mjere suzbijanja energetskog siromaštva prema Programu za suzbijanje energetskog siromaštva, sa sljedećim ciljevima:</w:t>
      </w:r>
    </w:p>
    <w:p w14:paraId="0B8A5C6E" w14:textId="6691F4E3" w:rsidR="006A427C" w:rsidRDefault="006A427C" w:rsidP="00840E2E">
      <w:pPr>
        <w:pStyle w:val="ListParagraph"/>
        <w:numPr>
          <w:ilvl w:val="0"/>
          <w:numId w:val="36"/>
        </w:numPr>
      </w:pPr>
      <w:r>
        <w:t>osigurati energetsko savjetovanje za sve energetski siromašne građane RH,</w:t>
      </w:r>
    </w:p>
    <w:p w14:paraId="560897B0" w14:textId="56D5F52D" w:rsidR="006A427C" w:rsidRDefault="006A427C" w:rsidP="00840E2E">
      <w:pPr>
        <w:pStyle w:val="ListParagraph"/>
        <w:numPr>
          <w:ilvl w:val="0"/>
          <w:numId w:val="36"/>
        </w:numPr>
      </w:pPr>
      <w:r>
        <w:t>uspostaviti sustav mjerenja i praćenja pokazatelja kojima se opisuje energetsko siromaštvo na nacionalnoj razini</w:t>
      </w:r>
      <w:r w:rsidR="00C41A7E">
        <w:t xml:space="preserve"> i</w:t>
      </w:r>
    </w:p>
    <w:p w14:paraId="0583705C" w14:textId="41745528" w:rsidR="00FF0CF3" w:rsidRDefault="006A427C" w:rsidP="00840E2E">
      <w:pPr>
        <w:pStyle w:val="ListParagraph"/>
        <w:numPr>
          <w:ilvl w:val="0"/>
          <w:numId w:val="36"/>
        </w:numPr>
      </w:pPr>
      <w:r>
        <w:t>uspostaviti sustav povećanja energetske učinkovitosti na razini energetski siromašnih kućanstava i kućanstava u riziku od energetskog siromaštva.</w:t>
      </w:r>
    </w:p>
    <w:p w14:paraId="26F3C9C8" w14:textId="117D6FA7" w:rsidR="00615BB2" w:rsidRDefault="00615BB2" w:rsidP="00615BB2">
      <w:r>
        <w:t>Lista prioriteta za provedbu tehničkih mjera, stupanj sufinanciranja i izvori sredstava razradit će se Programom za suzbijanje energetskog siromaštva čija je izrada predviđena u Četvrto</w:t>
      </w:r>
      <w:r w:rsidR="00C30B0B">
        <w:t>m</w:t>
      </w:r>
      <w:r>
        <w:t xml:space="preserve"> </w:t>
      </w:r>
      <w:r w:rsidR="00C30B0B">
        <w:t xml:space="preserve">nacionalnom akcijskom planu </w:t>
      </w:r>
      <w:r>
        <w:t xml:space="preserve">energetske učinkovitosti za razdoblje </w:t>
      </w:r>
      <w:r w:rsidR="00C30B0B">
        <w:t>do kraja</w:t>
      </w:r>
      <w:r>
        <w:t xml:space="preserve"> 2019. </w:t>
      </w:r>
      <w:r w:rsidR="006D23DF" w:rsidRPr="006D23DF">
        <w:t>Planom korištenja financijskih sredstava dobivenih od prodaje emisijskih jedinica putem dražbi u Republici Hrvatskoj za razdoblje do 2020. godine (NN 19/18, NN 84/2019) planirano je sufinanciranje mjera za suzbijanje energetskog siromaštva.</w:t>
      </w:r>
    </w:p>
    <w:p w14:paraId="536F40D3" w14:textId="77777777" w:rsidR="00D84246" w:rsidRDefault="00D84246" w:rsidP="00615BB2"/>
    <w:p w14:paraId="1E7A34EB" w14:textId="2822021C" w:rsidR="00FF0CF3" w:rsidRPr="00E534AA" w:rsidRDefault="004E40FF" w:rsidP="00FF0CF3">
      <w:pPr>
        <w:pStyle w:val="Heading2"/>
      </w:pPr>
      <w:bookmarkStart w:id="343" w:name="_Toc531935148"/>
      <w:bookmarkStart w:id="344" w:name="_Toc531945098"/>
      <w:bookmarkStart w:id="345" w:name="_Toc6302355"/>
      <w:bookmarkStart w:id="346" w:name="_Toc27396107"/>
      <w:r>
        <w:t>2.5</w:t>
      </w:r>
      <w:r>
        <w:tab/>
      </w:r>
      <w:r w:rsidR="00FF0CF3" w:rsidRPr="00276CE9">
        <w:t>Dimenzija: istraživanje, inovacije i konkurentnost</w:t>
      </w:r>
      <w:bookmarkEnd w:id="343"/>
      <w:bookmarkEnd w:id="344"/>
      <w:bookmarkEnd w:id="345"/>
      <w:bookmarkEnd w:id="346"/>
    </w:p>
    <w:p w14:paraId="05426A62" w14:textId="1C645F65" w:rsidR="00841EE9" w:rsidRPr="00BE1ECD" w:rsidRDefault="00841EE9" w:rsidP="00840E2E">
      <w:pPr>
        <w:pStyle w:val="Heading3"/>
        <w:numPr>
          <w:ilvl w:val="0"/>
          <w:numId w:val="66"/>
        </w:numPr>
      </w:pPr>
      <w:bookmarkStart w:id="347" w:name="_Toc531935149"/>
      <w:bookmarkStart w:id="348" w:name="_Toc531945099"/>
      <w:bookmarkStart w:id="349" w:name="_Toc6302356"/>
      <w:r w:rsidRPr="00BE1ECD">
        <w:t xml:space="preserve">Nacionalni ciljevi i ciljevi za financiranje javnih i privatnih istraživanja i inovacija povezanih s </w:t>
      </w:r>
      <w:r w:rsidR="009A3476">
        <w:t>e</w:t>
      </w:r>
      <w:r w:rsidR="009A3476" w:rsidRPr="00BE1ECD">
        <w:t xml:space="preserve">nergetskom </w:t>
      </w:r>
      <w:r w:rsidRPr="00BE1ECD">
        <w:t>unijom</w:t>
      </w:r>
    </w:p>
    <w:bookmarkEnd w:id="347"/>
    <w:bookmarkEnd w:id="348"/>
    <w:bookmarkEnd w:id="349"/>
    <w:p w14:paraId="51B97732" w14:textId="77777777" w:rsidR="00611A91" w:rsidRDefault="00611A91" w:rsidP="001E1392"/>
    <w:p w14:paraId="19D3739C" w14:textId="77777777" w:rsidR="00850DDC" w:rsidRDefault="00850DDC" w:rsidP="00850DDC">
      <w:r>
        <w:t xml:space="preserve">Republika Hrvatska se obvezala do 2020. godine povećati ulaganje u istraživanje, razvoj i inovacije na 1,4 % BDP-a. Ulaganje u sustav znanosti i tehnologije trebalo bi se kontinuirano povećavati, kako bi u konačnici na nacionalnoj razini doseglo prosjek Europske unije od 3 % </w:t>
      </w:r>
      <w:r>
        <w:lastRenderedPageBreak/>
        <w:t xml:space="preserve">BDP-a. U Strategiji pametne specijalizacije Republike Hrvatske, koja se odnosi na razdoblje do 2020. godine, definirane su, uz pet tematskih prioritetnih područja, dvije horizontalne teme koje predstavljaju međusektorske tehnologije i procese i služe kao pokretači rasta unutar tematskih prioritetnih područja, a to su tzv. ključne razvojne tehnologije i informacijsko-komunikacijska tehnologija. </w:t>
      </w:r>
    </w:p>
    <w:p w14:paraId="6006F885" w14:textId="77777777" w:rsidR="00850DDC" w:rsidRDefault="00850DDC" w:rsidP="00850DDC">
      <w:r>
        <w:t xml:space="preserve">Ključne razvojne tehnologije omogućuju prijelaz s tradicionalnog gospodarstva na gospodarstvo s niskom emisijom ugljika temeljeno na znanju. One imaju važnu ulogu u razvoju, inovaciji i jačanju konkurentnosti industrije, a uključuju biotehnologiju, mikro- i nano-elektroniku i fotoniku te druge napredne materijale i tehnologije. Budući da je Strategija pametne specijalizacije jedan od temeljnih strateških dokumenata u području tehnološkog razvoja i inovacija, ovime su stvorene početne pretpostavke za tranziciju u niskougljično gospodarstvo i za uključivanje u ovaj proces institucija nadležnih za podršku poslovnim ulaganjima u istraživanje, razvoj i inovacije (Ministarstvo gospodarstva, poduzetništva i obrta, HAMAG-BICRO). Glavni dio sredstava za provedbu Strategije pametne specijalizacije planira se osigurati iz Europskih strukturnih i investicijskih fondova. </w:t>
      </w:r>
    </w:p>
    <w:p w14:paraId="0678DFC9" w14:textId="472B4547" w:rsidR="00850DDC" w:rsidRDefault="00850DDC" w:rsidP="00850DDC">
      <w:r>
        <w:t>Očekuje se kako će i u narednom financijskom razdoblju glavni izvor financiranja biti ESI fondovi i</w:t>
      </w:r>
      <w:r w:rsidR="00590583">
        <w:t xml:space="preserve"> financijska</w:t>
      </w:r>
      <w:r>
        <w:t xml:space="preserve"> sredstva </w:t>
      </w:r>
      <w:r w:rsidR="00D679BD">
        <w:t xml:space="preserve">od </w:t>
      </w:r>
      <w:r>
        <w:t>dražbi emisijskih jedinica CO</w:t>
      </w:r>
      <w:r>
        <w:rPr>
          <w:vertAlign w:val="subscript"/>
        </w:rPr>
        <w:t>2</w:t>
      </w:r>
      <w:r>
        <w:t xml:space="preserve"> te sredstva iz ETS-a namijenjena za modernizaciju. Revizijom Direktive o ETS-u uspostavljen je financijski mehanizam za potporu </w:t>
      </w:r>
      <w:r w:rsidR="00A335FC">
        <w:t>modernizacij</w:t>
      </w:r>
      <w:r w:rsidR="00623635">
        <w:t>i</w:t>
      </w:r>
      <w:r w:rsidR="00A335FC">
        <w:t xml:space="preserve"> energetskog</w:t>
      </w:r>
      <w:r w:rsidR="00622DB1">
        <w:t xml:space="preserve"> </w:t>
      </w:r>
      <w:r w:rsidR="00A335FC">
        <w:t xml:space="preserve">sektora i industrijskih postrojenja </w:t>
      </w:r>
      <w:r>
        <w:t xml:space="preserve">za razdoblje 2021.-2030., u deset država članica EU čiji je BDP po stanovniku prema tržišnim cijenama bio niži od 60% prosjeka EU, u koje spada i RH (Modernizacijski fond). </w:t>
      </w:r>
      <w:r w:rsidR="004B0C22" w:rsidRPr="007479EF">
        <w:t>Sredstva Modernizacijskog fonda će se koristiti za ulaganja u: modernizaciju industrijske proizvodnje, proizvodnju i uporabu električne energije iz obnovljivih izvora, poboljšanje energetske učinkovitosti, skladištenje energije i modernizaciju energetskih mreža, energetsku učinkovitost u prometu, zgrade, poljoprivredu i gospodarenje otpadom.</w:t>
      </w:r>
      <w:r w:rsidR="004B0C22">
        <w:t xml:space="preserve"> </w:t>
      </w:r>
      <w:r w:rsidR="004B0C22" w:rsidRPr="00DD078E">
        <w:t xml:space="preserve">Europska unija ima vodeću ulogu u svijetu u naporima za ublaženje klimatskih promjena te usmjerava svoje gospodarstvo na niskougljični razvoj temeljen na novim tehnologijama. Stoga se </w:t>
      </w:r>
      <w:r w:rsidR="004B0C22">
        <w:t xml:space="preserve">revizijom </w:t>
      </w:r>
      <w:r w:rsidR="004B0C22" w:rsidRPr="00DD078E">
        <w:t>Direktive o ETS-u uspostavlja</w:t>
      </w:r>
      <w:r w:rsidR="004B0C22">
        <w:t xml:space="preserve"> i</w:t>
      </w:r>
      <w:r w:rsidR="00622DB1">
        <w:t xml:space="preserve"> </w:t>
      </w:r>
      <w:r w:rsidR="004B0C22" w:rsidRPr="00DD078E">
        <w:t>Inovacijski fond,</w:t>
      </w:r>
      <w:r w:rsidR="004B0C22">
        <w:t xml:space="preserve"> koji</w:t>
      </w:r>
      <w:r w:rsidR="004B0C22" w:rsidRPr="00DD078E">
        <w:t xml:space="preserve"> je na raspo</w:t>
      </w:r>
      <w:r w:rsidR="004B0C22">
        <w:t>laganju svim državama članicama. Njime će se</w:t>
      </w:r>
      <w:r w:rsidR="004B0C22" w:rsidRPr="00DD078E">
        <w:t xml:space="preserve"> financirat</w:t>
      </w:r>
      <w:r w:rsidR="004B0C22">
        <w:t>i</w:t>
      </w:r>
      <w:r w:rsidR="004B0C22" w:rsidRPr="00DD078E">
        <w:t xml:space="preserve"> projekti za potporu inovacijama u području tehnologija i postupaka s niskim emisijama ugljika, hvatanje i upotrebu ugljika sigurne za okoliš, inovativnih tehnologija za obnovljive izvore i pohranu energije.</w:t>
      </w:r>
      <w:r w:rsidR="004B0C22">
        <w:t xml:space="preserve"> </w:t>
      </w:r>
      <w:r>
        <w:t>Korištenje kohezijskih europskih fondova programirat će se temeljem strateških ciljeva i ključnih područja intervencija koja će biti definirana u Nacionalnoj razvojnoj strategiji za razdoblje do 2030.</w:t>
      </w:r>
      <w:r w:rsidR="00710393">
        <w:t xml:space="preserve"> </w:t>
      </w:r>
      <w:r>
        <w:t xml:space="preserve">godine, a koja će biti izrađena do kraja 2019. godine. </w:t>
      </w:r>
    </w:p>
    <w:p w14:paraId="040B8BE8" w14:textId="2D75AF2A" w:rsidR="00717435" w:rsidRDefault="00850DDC" w:rsidP="00395DC0">
      <w:r>
        <w:t xml:space="preserve">Republika Hrvatska trenutno nema definirane nacionalne ciljeve za financiranje javnih i privatnih istraživanja i inovacija povezanih s </w:t>
      </w:r>
      <w:r w:rsidR="009A3476">
        <w:t>e</w:t>
      </w:r>
      <w:r>
        <w:t>nergetskom unijom. Zato će nacionalne ciljeve, indikatore potrebne za praćenje ostvarivanja ciljeva i izvore podataka definirati povjerenstvo za međusektorsku koordinaciju za politike i mjere za ublaživanje i prilagodbu klimatskim promjenama (njegov rad predviđa mjera MS-1), u suradnji s MZOE, Nacionalnim vijećem za konkurentnost, MZO i MG</w:t>
      </w:r>
      <w:r w:rsidR="00393B21">
        <w:t>P</w:t>
      </w:r>
      <w:r>
        <w:t>O.</w:t>
      </w:r>
    </w:p>
    <w:p w14:paraId="4AED0F72" w14:textId="77777777" w:rsidR="00E6462C" w:rsidRPr="00BE1ECD" w:rsidRDefault="00E6462C" w:rsidP="00840E2E">
      <w:pPr>
        <w:pStyle w:val="Heading3"/>
        <w:numPr>
          <w:ilvl w:val="0"/>
          <w:numId w:val="66"/>
        </w:numPr>
      </w:pPr>
      <w:bookmarkStart w:id="350" w:name="_Toc531935150"/>
      <w:bookmarkStart w:id="351" w:name="_Toc531945100"/>
      <w:bookmarkStart w:id="352" w:name="_Toc6302357"/>
      <w:r w:rsidRPr="00BE1ECD">
        <w:t xml:space="preserve">Nacionalni ciljevi do 2050. koji se odnose na promociju tehnologija čiste </w:t>
      </w:r>
      <w:r w:rsidRPr="00BE1ECD">
        <w:lastRenderedPageBreak/>
        <w:t>energije i na razvoj niskougljičnih tehnologija, uključujući ciljeve za dekarbonizaciju energetski i ugljično intenzivnih industrijskih sektora i industrijskih sektora s velikim udjelom ugljika i, gdje je primjenjivo, za infrastrukturu za skladištenje i transport ugljika</w:t>
      </w:r>
    </w:p>
    <w:bookmarkEnd w:id="350"/>
    <w:bookmarkEnd w:id="351"/>
    <w:bookmarkEnd w:id="352"/>
    <w:p w14:paraId="21C99B00" w14:textId="77777777" w:rsidR="00CB5F78" w:rsidRDefault="00CB5F78" w:rsidP="00CB5F78">
      <w:r>
        <w:t xml:space="preserve">Republika Hrvatska nema posebnih nacionalnih ciljeva za 2050. za primjenu tehnologija s niskom razinom ugljika, osim onih koji su navedeni u drugim dijelovima ovog dokumenta. Uvođenje specifičnih tehnologija treba prvenstveno biti vođeno tržištem. Država će povećati ulaganje u istraživanje, razvoj i inovacije te ulaganje u transfer znanja i tehnologija i razvoj na znanju i inovacijama utemeljenih tehnologija putem različitih programa – od bespovratnih sredstava, preko uvjetnih zajmova do programa državnih potpora. </w:t>
      </w:r>
    </w:p>
    <w:p w14:paraId="4E4C0134" w14:textId="54887CC2" w:rsidR="00CB5F78" w:rsidRDefault="00CB5F78" w:rsidP="00CB5F78">
      <w:r>
        <w:t>Identificirana su sljedeća područja u kojima su najznačajniji kapaciteti i industrije i znanstvene zajednice:</w:t>
      </w:r>
    </w:p>
    <w:p w14:paraId="54D6F631" w14:textId="77777777" w:rsidR="00CB5F78" w:rsidRDefault="00CB5F78" w:rsidP="00840E2E">
      <w:pPr>
        <w:pStyle w:val="ListParagraph"/>
        <w:numPr>
          <w:ilvl w:val="0"/>
          <w:numId w:val="111"/>
        </w:numPr>
      </w:pPr>
      <w:r>
        <w:t>razvoj nove i poboljšanje postojeće primarne i sekundarne opreme za elektro-energetske sustave (primarna oprema: turbine, generatori, motori, transformatori, sklopke, dalekovodi i kabeli, sekundarna energetska oprema: upravljanje, mjerenje, zaštita, nadzor, vođenje)</w:t>
      </w:r>
    </w:p>
    <w:p w14:paraId="55AF8885" w14:textId="77777777" w:rsidR="00CB5F78" w:rsidRDefault="00CB5F78" w:rsidP="00840E2E">
      <w:pPr>
        <w:pStyle w:val="ListParagraph"/>
        <w:numPr>
          <w:ilvl w:val="0"/>
          <w:numId w:val="111"/>
        </w:numPr>
      </w:pPr>
      <w:r>
        <w:t>nove tehnologije i poboljšanja vezana za elektrane, trafostanice, komponente i sustave vezane za obnovljive izvore energije</w:t>
      </w:r>
    </w:p>
    <w:p w14:paraId="4A154489" w14:textId="77777777" w:rsidR="00CB5F78" w:rsidRDefault="00CB5F78" w:rsidP="00840E2E">
      <w:pPr>
        <w:pStyle w:val="ListParagraph"/>
        <w:numPr>
          <w:ilvl w:val="0"/>
          <w:numId w:val="111"/>
        </w:numPr>
      </w:pPr>
      <w:r>
        <w:t>nova istraživanja povezana s povećanjem učinkovitosti i proizvodnim kapacitetima industrijskih, poljoprivrednih i šumarskih postrojenja i strojeva</w:t>
      </w:r>
    </w:p>
    <w:p w14:paraId="2CF31D07" w14:textId="77777777" w:rsidR="00CB5F78" w:rsidRDefault="00CB5F78" w:rsidP="00840E2E">
      <w:pPr>
        <w:pStyle w:val="ListParagraph"/>
        <w:numPr>
          <w:ilvl w:val="0"/>
          <w:numId w:val="111"/>
        </w:numPr>
      </w:pPr>
      <w:r>
        <w:t>napredni sustavi za pohranu energije</w:t>
      </w:r>
    </w:p>
    <w:p w14:paraId="05AD668B" w14:textId="77777777" w:rsidR="00CB5F78" w:rsidRDefault="00CB5F78" w:rsidP="00840E2E">
      <w:pPr>
        <w:pStyle w:val="ListParagraph"/>
        <w:numPr>
          <w:ilvl w:val="0"/>
          <w:numId w:val="111"/>
        </w:numPr>
      </w:pPr>
      <w:r>
        <w:t>dijagnostika i bolje upravljanje energetskom opremom</w:t>
      </w:r>
    </w:p>
    <w:p w14:paraId="6843A388" w14:textId="77777777" w:rsidR="00CB5F78" w:rsidRDefault="00CB5F78" w:rsidP="00840E2E">
      <w:pPr>
        <w:pStyle w:val="ListParagraph"/>
        <w:numPr>
          <w:ilvl w:val="0"/>
          <w:numId w:val="111"/>
        </w:numPr>
      </w:pPr>
      <w:r>
        <w:t>sustavi gospodarenja energijom za planiranje, investiranje, upravljanje u stvarnom vremenu i praćenje energetske učinkovitosti te smanjenje emisije CO</w:t>
      </w:r>
      <w:r>
        <w:rPr>
          <w:vertAlign w:val="subscript"/>
        </w:rPr>
        <w:t>2</w:t>
      </w:r>
    </w:p>
    <w:p w14:paraId="05E58BBA" w14:textId="1326EE34" w:rsidR="00CB5F78" w:rsidRDefault="00CB5F78" w:rsidP="00840E2E">
      <w:pPr>
        <w:pStyle w:val="ListParagraph"/>
        <w:numPr>
          <w:ilvl w:val="0"/>
          <w:numId w:val="111"/>
        </w:numPr>
      </w:pPr>
      <w:r>
        <w:t xml:space="preserve">sustavi za gospodarenje energijom i podršku funkcioniranju tržišta energije na razinama mikromreža, </w:t>
      </w:r>
      <w:r w:rsidR="00ED4139">
        <w:t xml:space="preserve">naprednih </w:t>
      </w:r>
      <w:r>
        <w:t>mreža i pametnih gradova</w:t>
      </w:r>
    </w:p>
    <w:p w14:paraId="522E0096" w14:textId="77777777" w:rsidR="00CB5F78" w:rsidRDefault="00CB5F78" w:rsidP="00840E2E">
      <w:pPr>
        <w:pStyle w:val="ListParagraph"/>
        <w:numPr>
          <w:ilvl w:val="0"/>
          <w:numId w:val="111"/>
        </w:numPr>
      </w:pPr>
      <w:r>
        <w:t>napredna konvencionalna energetska rješenja</w:t>
      </w:r>
    </w:p>
    <w:p w14:paraId="49D9662A" w14:textId="578CFE8E" w:rsidR="00CB5F78" w:rsidRDefault="00CB5F78" w:rsidP="00840E2E">
      <w:pPr>
        <w:pStyle w:val="ListParagraph"/>
        <w:numPr>
          <w:ilvl w:val="0"/>
          <w:numId w:val="111"/>
        </w:numPr>
      </w:pPr>
      <w:r>
        <w:t xml:space="preserve">primjena </w:t>
      </w:r>
      <w:r w:rsidR="00CE6C46">
        <w:t xml:space="preserve">naprednih mreža </w:t>
      </w:r>
      <w:r>
        <w:t>i složenih energetskih sustava</w:t>
      </w:r>
    </w:p>
    <w:p w14:paraId="343133C6" w14:textId="617411CF" w:rsidR="00CB5F78" w:rsidRDefault="00CB5F78" w:rsidP="00840E2E">
      <w:pPr>
        <w:pStyle w:val="ListParagraph"/>
        <w:numPr>
          <w:ilvl w:val="0"/>
          <w:numId w:val="111"/>
        </w:numPr>
      </w:pPr>
      <w:r>
        <w:t>energetski-učinkovita rasvjeta</w:t>
      </w:r>
    </w:p>
    <w:p w14:paraId="5E9BF697" w14:textId="77777777" w:rsidR="00CB5F78" w:rsidRDefault="00CB5F78" w:rsidP="00840E2E">
      <w:pPr>
        <w:pStyle w:val="ListParagraph"/>
        <w:numPr>
          <w:ilvl w:val="0"/>
          <w:numId w:val="111"/>
        </w:numPr>
      </w:pPr>
      <w:r>
        <w:t>održiva pretvorba biomase u energiju</w:t>
      </w:r>
    </w:p>
    <w:p w14:paraId="204FD985" w14:textId="79BABFEE" w:rsidR="00CB5F78" w:rsidRDefault="00CB5F78">
      <w:pPr>
        <w:pStyle w:val="ListParagraph"/>
        <w:numPr>
          <w:ilvl w:val="0"/>
          <w:numId w:val="111"/>
        </w:numPr>
      </w:pPr>
      <w:r>
        <w:t>tehnologije bioplina za proizvodnju električne energije i topline</w:t>
      </w:r>
    </w:p>
    <w:p w14:paraId="04403E9E" w14:textId="51BB4369" w:rsidR="00704CE6" w:rsidRDefault="00704CE6" w:rsidP="00840E2E">
      <w:pPr>
        <w:pStyle w:val="ListParagraph"/>
        <w:numPr>
          <w:ilvl w:val="0"/>
          <w:numId w:val="111"/>
        </w:numPr>
      </w:pPr>
      <w:r w:rsidRPr="00704CE6">
        <w:t xml:space="preserve">sustavi za </w:t>
      </w:r>
      <w:r>
        <w:t>hvatanje</w:t>
      </w:r>
      <w:r w:rsidRPr="00704CE6">
        <w:t>, transport</w:t>
      </w:r>
      <w:r>
        <w:t xml:space="preserve">, korištenje i </w:t>
      </w:r>
      <w:r w:rsidRPr="00704CE6">
        <w:t>skladištenje CO</w:t>
      </w:r>
      <w:r w:rsidRPr="00840E2E">
        <w:rPr>
          <w:vertAlign w:val="subscript"/>
        </w:rPr>
        <w:t>2</w:t>
      </w:r>
      <w:r>
        <w:t>.</w:t>
      </w:r>
    </w:p>
    <w:p w14:paraId="522399CF" w14:textId="77777777" w:rsidR="004E0B82" w:rsidRPr="00CF2D4C" w:rsidRDefault="004E0B82" w:rsidP="00CB5F78"/>
    <w:p w14:paraId="7254DFFC" w14:textId="77777777" w:rsidR="000901AA" w:rsidRPr="00BE1ECD" w:rsidRDefault="000901AA" w:rsidP="00840E2E">
      <w:pPr>
        <w:pStyle w:val="Heading3"/>
        <w:numPr>
          <w:ilvl w:val="0"/>
          <w:numId w:val="66"/>
        </w:numPr>
      </w:pPr>
      <w:bookmarkStart w:id="353" w:name="_Toc531935151"/>
      <w:bookmarkStart w:id="354" w:name="_Toc531945101"/>
      <w:bookmarkStart w:id="355" w:name="_Toc6302358"/>
      <w:r w:rsidRPr="00BE1ECD">
        <w:t>Nacionalni ciljevi u pogledu konkurentnosti</w:t>
      </w:r>
    </w:p>
    <w:bookmarkEnd w:id="353"/>
    <w:bookmarkEnd w:id="354"/>
    <w:bookmarkEnd w:id="355"/>
    <w:p w14:paraId="726CF3C5" w14:textId="77777777" w:rsidR="00B10430" w:rsidRDefault="00B10430" w:rsidP="00B10430">
      <w:r>
        <w:t>Konkurentnost je široko pitanje koje nadmašuje okvir Nacionalnog energetskog i klimatskog plana. Nacionalno vijeće za konkurentnost, koje djeluje kao savjetodavno tijelo i okuplja predstavnike gospodarstva, Vlade, sindikata, znanosti i obrazovanja, djeluje u sedam prioritetnih područja, i to:</w:t>
      </w:r>
    </w:p>
    <w:p w14:paraId="58D0CE1E" w14:textId="77777777" w:rsidR="00B10430" w:rsidRDefault="00B10430" w:rsidP="00840E2E">
      <w:pPr>
        <w:pStyle w:val="ListParagraph"/>
        <w:numPr>
          <w:ilvl w:val="0"/>
          <w:numId w:val="112"/>
        </w:numPr>
        <w:tabs>
          <w:tab w:val="clear" w:pos="431"/>
          <w:tab w:val="left" w:pos="708"/>
        </w:tabs>
        <w:suppressAutoHyphens w:val="0"/>
        <w:ind w:left="714" w:hanging="357"/>
        <w:jc w:val="left"/>
      </w:pPr>
      <w:r>
        <w:lastRenderedPageBreak/>
        <w:t>Obrazovanje za rast i razvoj</w:t>
      </w:r>
    </w:p>
    <w:p w14:paraId="5D8030FC" w14:textId="77777777" w:rsidR="00B10430" w:rsidRDefault="00B10430" w:rsidP="00840E2E">
      <w:pPr>
        <w:pStyle w:val="ListParagraph"/>
        <w:numPr>
          <w:ilvl w:val="0"/>
          <w:numId w:val="112"/>
        </w:numPr>
        <w:tabs>
          <w:tab w:val="clear" w:pos="431"/>
          <w:tab w:val="left" w:pos="708"/>
        </w:tabs>
        <w:suppressAutoHyphens w:val="0"/>
        <w:ind w:left="714" w:hanging="357"/>
        <w:jc w:val="left"/>
      </w:pPr>
      <w:r>
        <w:t>Pravna država sukladna EU</w:t>
      </w:r>
    </w:p>
    <w:p w14:paraId="19E41674" w14:textId="77777777" w:rsidR="00B10430" w:rsidRDefault="00B10430" w:rsidP="00840E2E">
      <w:pPr>
        <w:pStyle w:val="ListParagraph"/>
        <w:numPr>
          <w:ilvl w:val="0"/>
          <w:numId w:val="112"/>
        </w:numPr>
        <w:tabs>
          <w:tab w:val="clear" w:pos="431"/>
          <w:tab w:val="left" w:pos="708"/>
        </w:tabs>
        <w:suppressAutoHyphens w:val="0"/>
        <w:ind w:left="714" w:hanging="357"/>
        <w:jc w:val="left"/>
      </w:pPr>
      <w:r>
        <w:t>Troškovna i cjenovna konkurentnost</w:t>
      </w:r>
    </w:p>
    <w:p w14:paraId="5E3E30FD" w14:textId="77777777" w:rsidR="00B10430" w:rsidRDefault="00B10430" w:rsidP="00840E2E">
      <w:pPr>
        <w:pStyle w:val="ListParagraph"/>
        <w:numPr>
          <w:ilvl w:val="0"/>
          <w:numId w:val="112"/>
        </w:numPr>
        <w:tabs>
          <w:tab w:val="clear" w:pos="431"/>
          <w:tab w:val="left" w:pos="708"/>
        </w:tabs>
        <w:suppressAutoHyphens w:val="0"/>
        <w:ind w:left="714" w:hanging="357"/>
        <w:jc w:val="left"/>
      </w:pPr>
      <w:r>
        <w:t>Razvoj inovativnosti i tehnologije</w:t>
      </w:r>
    </w:p>
    <w:p w14:paraId="12EA3361" w14:textId="77777777" w:rsidR="00B10430" w:rsidRDefault="00B10430" w:rsidP="00840E2E">
      <w:pPr>
        <w:pStyle w:val="ListParagraph"/>
        <w:numPr>
          <w:ilvl w:val="0"/>
          <w:numId w:val="112"/>
        </w:numPr>
        <w:tabs>
          <w:tab w:val="clear" w:pos="431"/>
          <w:tab w:val="left" w:pos="708"/>
        </w:tabs>
        <w:suppressAutoHyphens w:val="0"/>
        <w:ind w:left="714" w:hanging="357"/>
        <w:jc w:val="left"/>
      </w:pPr>
      <w:r>
        <w:t>Jačanje malih i srednjih poduzeća</w:t>
      </w:r>
    </w:p>
    <w:p w14:paraId="3DC1BF12" w14:textId="77777777" w:rsidR="00B10430" w:rsidRDefault="00B10430" w:rsidP="00840E2E">
      <w:pPr>
        <w:pStyle w:val="ListParagraph"/>
        <w:numPr>
          <w:ilvl w:val="0"/>
          <w:numId w:val="112"/>
        </w:numPr>
        <w:tabs>
          <w:tab w:val="clear" w:pos="431"/>
          <w:tab w:val="left" w:pos="708"/>
        </w:tabs>
        <w:suppressAutoHyphens w:val="0"/>
        <w:ind w:left="714" w:hanging="357"/>
        <w:jc w:val="left"/>
      </w:pPr>
      <w:r>
        <w:t>Regionalni razvoj i razvoj klastera</w:t>
      </w:r>
    </w:p>
    <w:p w14:paraId="4CCBDD2C" w14:textId="77777777" w:rsidR="00B10430" w:rsidRDefault="00B10430" w:rsidP="00840E2E">
      <w:pPr>
        <w:pStyle w:val="ListParagraph"/>
        <w:numPr>
          <w:ilvl w:val="0"/>
          <w:numId w:val="112"/>
        </w:numPr>
        <w:tabs>
          <w:tab w:val="clear" w:pos="431"/>
          <w:tab w:val="left" w:pos="708"/>
        </w:tabs>
        <w:suppressAutoHyphens w:val="0"/>
        <w:ind w:left="714" w:hanging="357"/>
        <w:jc w:val="left"/>
      </w:pPr>
      <w:r>
        <w:t>Stvaranje pozitivnog stava i liderstva.</w:t>
      </w:r>
    </w:p>
    <w:p w14:paraId="6AB85035" w14:textId="45570498" w:rsidR="00190360" w:rsidRDefault="00B10430" w:rsidP="00B10430">
      <w:r>
        <w:t>Cilj ovog Vijeća je učiniti Republiku Hrvatsku jednom od 40 najkonkurentnijih gospodarstava svijeta. Hrvatska trenutno zauzima 60. mjesto od ukupno 63 svjetske ekonomije, što je rast za jedno mjesto u odnosu na prethodnu, 2018. godinu</w:t>
      </w:r>
      <w:r w:rsidR="003C734E">
        <w:t xml:space="preserve"> [</w:t>
      </w:r>
      <w:r w:rsidR="007F759F">
        <w:fldChar w:fldCharType="begin"/>
      </w:r>
      <w:r w:rsidR="007F759F">
        <w:instrText xml:space="preserve"> REF _Ref11674383 \w \h </w:instrText>
      </w:r>
      <w:r w:rsidR="007F759F">
        <w:fldChar w:fldCharType="separate"/>
      </w:r>
      <w:r w:rsidR="00154150">
        <w:t>16</w:t>
      </w:r>
      <w:r w:rsidR="007F759F">
        <w:fldChar w:fldCharType="end"/>
      </w:r>
      <w:r w:rsidR="003C734E">
        <w:t xml:space="preserve">]. </w:t>
      </w:r>
    </w:p>
    <w:p w14:paraId="26DB5DF9" w14:textId="40B0DA7D" w:rsidR="005C1262" w:rsidRDefault="005C1262">
      <w:r w:rsidRPr="005C1262">
        <w:t xml:space="preserve">Republika Hrvatska trenutno nema definirane nacionalne ciljeve za </w:t>
      </w:r>
      <w:r>
        <w:t xml:space="preserve">konkurentnost povezane </w:t>
      </w:r>
      <w:r w:rsidRPr="005C1262">
        <w:t xml:space="preserve">s </w:t>
      </w:r>
      <w:r w:rsidR="009A3476">
        <w:t>e</w:t>
      </w:r>
      <w:r w:rsidRPr="005C1262">
        <w:t>nergetskom unijom. Zato će nacionalne ciljeve, indikatore potrebne za praćenje ostvarivanja ciljeva i izvore podataka definirati povjerenstvo za međusektorsku koordinaciju za politike i mjere za ublaživanje i prilagodbu klimatskim promjenama (njegov rad predviđa mjera MS-1). MZOE će uspostaviti sustav za praćenje ostvarivanja ciljeva</w:t>
      </w:r>
      <w:r w:rsidR="00E80EA0">
        <w:t>.</w:t>
      </w:r>
    </w:p>
    <w:p w14:paraId="4A12D94C" w14:textId="77777777" w:rsidR="00080E99" w:rsidRDefault="00080E99" w:rsidP="00447B5B"/>
    <w:p w14:paraId="5992C6FD" w14:textId="6E522460" w:rsidR="00C21988" w:rsidRDefault="00C21988" w:rsidP="00840E2E">
      <w:pPr>
        <w:pStyle w:val="Heading1"/>
        <w:numPr>
          <w:ilvl w:val="0"/>
          <w:numId w:val="31"/>
        </w:numPr>
      </w:pPr>
      <w:bookmarkStart w:id="356" w:name="_Toc531935152"/>
      <w:bookmarkStart w:id="357" w:name="_Toc531945102"/>
      <w:bookmarkStart w:id="358" w:name="_Toc6302359"/>
      <w:bookmarkStart w:id="359" w:name="_Toc27396108"/>
      <w:r>
        <w:lastRenderedPageBreak/>
        <w:t>POLITIKE I MJERE</w:t>
      </w:r>
      <w:bookmarkEnd w:id="356"/>
      <w:bookmarkEnd w:id="357"/>
      <w:bookmarkEnd w:id="358"/>
      <w:bookmarkEnd w:id="359"/>
    </w:p>
    <w:p w14:paraId="6EE8B9C4" w14:textId="352B2587" w:rsidR="00C21988" w:rsidRDefault="00BA4CD9" w:rsidP="00C21988">
      <w:pPr>
        <w:pStyle w:val="Heading2"/>
      </w:pPr>
      <w:bookmarkStart w:id="360" w:name="_Toc531935153"/>
      <w:bookmarkStart w:id="361" w:name="_Toc531945103"/>
      <w:bookmarkStart w:id="362" w:name="_Toc6302360"/>
      <w:bookmarkStart w:id="363" w:name="_Toc27396109"/>
      <w:r>
        <w:t>3.1</w:t>
      </w:r>
      <w:r>
        <w:tab/>
      </w:r>
      <w:r w:rsidR="00C21988">
        <w:t>Dimenzija: dekarbonizacija</w:t>
      </w:r>
      <w:bookmarkEnd w:id="360"/>
      <w:bookmarkEnd w:id="361"/>
      <w:bookmarkEnd w:id="362"/>
      <w:bookmarkEnd w:id="363"/>
    </w:p>
    <w:p w14:paraId="712B7695" w14:textId="4AF821DE" w:rsidR="00C21988" w:rsidRDefault="00BA4CD9" w:rsidP="00302043">
      <w:pPr>
        <w:pStyle w:val="Heading3"/>
      </w:pPr>
      <w:bookmarkStart w:id="364" w:name="_Toc531935154"/>
      <w:bookmarkStart w:id="365" w:name="_Toc531945104"/>
      <w:bookmarkStart w:id="366" w:name="_Toc6302361"/>
      <w:r>
        <w:t>3.1.1</w:t>
      </w:r>
      <w:r>
        <w:tab/>
      </w:r>
      <w:r w:rsidR="00C21988">
        <w:t>Emisije i uklanjanja stakleničkih plinova</w:t>
      </w:r>
      <w:bookmarkEnd w:id="364"/>
      <w:bookmarkEnd w:id="365"/>
      <w:bookmarkEnd w:id="366"/>
      <w:r w:rsidR="00C21988">
        <w:t xml:space="preserve"> </w:t>
      </w:r>
    </w:p>
    <w:p w14:paraId="57988A48" w14:textId="77777777" w:rsidR="00DB08C9" w:rsidRPr="000B3E88" w:rsidRDefault="00DB08C9" w:rsidP="00840E2E">
      <w:pPr>
        <w:pStyle w:val="Heading3"/>
        <w:numPr>
          <w:ilvl w:val="0"/>
          <w:numId w:val="67"/>
        </w:numPr>
      </w:pPr>
      <w:r w:rsidRPr="000B3E88">
        <w:t>Politike i mjere za ostvarivanje cilja utvrđenog na temelju Uredbe [ESR] kako je navedeno u odjeljku 2.1.1. i politike i mjere u skladu s Uredbom [LULUCF], kojima su obuhvaćeni svi ključni sektori koji proizvode velike emisije i sektori za jačanje uklanjanja emisija, uz izglede da se u pogledu dugoročne vizije i dugoročnog cilja s 50 godišnjom perspektivom ostvari gospodarstvo s niskim emisijama i da se ostvari ravnoteža između emisija i uklanjanja u skladu s Pariškim sporazumom</w:t>
      </w:r>
    </w:p>
    <w:p w14:paraId="147890E6" w14:textId="7EBFC24E" w:rsidR="00577FD9" w:rsidRDefault="00577FD9" w:rsidP="00276CE9">
      <w:pPr>
        <w:suppressAutoHyphens w:val="0"/>
        <w:spacing w:after="160" w:line="259" w:lineRule="auto"/>
      </w:pPr>
      <w:r>
        <w:t xml:space="preserve">Ovdje su navedene mjere za sljedeće sektore </w:t>
      </w:r>
      <w:r w:rsidR="00504391">
        <w:t>značajne za emisije stakleničkih plinova</w:t>
      </w:r>
      <w:r>
        <w:t xml:space="preserve">: </w:t>
      </w:r>
      <w:r w:rsidR="00A32225">
        <w:t xml:space="preserve">međusektorske mjere (MS), </w:t>
      </w:r>
      <w:r>
        <w:t>industrijski procesi (IP), gospodarenje otpadom (OTP), poljoprivreda (POLJ) i LULUCF</w:t>
      </w:r>
      <w:r w:rsidR="003A1EAF">
        <w:t xml:space="preserve"> (LUF)</w:t>
      </w:r>
      <w:r>
        <w:t>.</w:t>
      </w:r>
    </w:p>
    <w:p w14:paraId="2755C434" w14:textId="45770B44" w:rsidR="00A32225" w:rsidRDefault="00A32225" w:rsidP="00A32225">
      <w:pPr>
        <w:suppressAutoHyphens w:val="0"/>
        <w:spacing w:after="160" w:line="259" w:lineRule="auto"/>
        <w:jc w:val="left"/>
      </w:pPr>
      <w:r>
        <w:t xml:space="preserve">U nastavku su prikazane </w:t>
      </w:r>
      <w:r w:rsidRPr="00276CE9">
        <w:rPr>
          <w:b/>
        </w:rPr>
        <w:t>međusekto</w:t>
      </w:r>
      <w:r w:rsidR="00E6316B" w:rsidRPr="00276CE9">
        <w:rPr>
          <w:b/>
        </w:rPr>
        <w:t>r</w:t>
      </w:r>
      <w:r w:rsidRPr="00276CE9">
        <w:rPr>
          <w:b/>
        </w:rPr>
        <w:t>ske mjere</w:t>
      </w:r>
      <w:r>
        <w:t>.</w:t>
      </w:r>
    </w:p>
    <w:p w14:paraId="084F68DC" w14:textId="77777777" w:rsidR="00FC38FA" w:rsidRPr="00840E2E" w:rsidRDefault="00FC38FA" w:rsidP="00602568">
      <w:pPr>
        <w:suppressAutoHyphens w:val="0"/>
        <w:spacing w:before="100" w:beforeAutospacing="1" w:after="100" w:afterAutospacing="1"/>
        <w:jc w:val="left"/>
        <w:rPr>
          <w:b/>
          <w:bCs/>
          <w:u w:val="single"/>
        </w:rPr>
      </w:pPr>
      <w:r w:rsidRPr="00840E2E">
        <w:rPr>
          <w:b/>
          <w:bCs/>
          <w:u w:val="single"/>
        </w:rPr>
        <w:t>MS-1: Povjerenstvo za međusektorsku koordinaciju za politike i mjere za ublaživanje i prilagodbu klimatskim promjenama</w:t>
      </w:r>
    </w:p>
    <w:p w14:paraId="6976732C" w14:textId="77777777" w:rsidR="00FC38FA" w:rsidRPr="00602568" w:rsidRDefault="00FC38FA" w:rsidP="00602568">
      <w:pPr>
        <w:suppressAutoHyphens w:val="0"/>
        <w:spacing w:before="100" w:beforeAutospacing="1" w:after="100" w:afterAutospacing="1"/>
        <w:jc w:val="left"/>
        <w:rPr>
          <w:b/>
          <w:bCs/>
        </w:rPr>
      </w:pPr>
      <w:r w:rsidRPr="00602568">
        <w:rPr>
          <w:b/>
          <w:bCs/>
        </w:rPr>
        <w:t>Regulatorna mjera; provedba 2021.-2030.</w:t>
      </w:r>
    </w:p>
    <w:p w14:paraId="634E3849" w14:textId="2443849A" w:rsidR="00FC38FA" w:rsidRPr="00602568" w:rsidRDefault="00FC38FA" w:rsidP="00602568">
      <w:pPr>
        <w:suppressAutoHyphens w:val="0"/>
        <w:spacing w:before="100" w:beforeAutospacing="1" w:after="100" w:afterAutospacing="1"/>
      </w:pPr>
      <w:r w:rsidRPr="00602568">
        <w:rPr>
          <w:b/>
          <w:bCs/>
        </w:rPr>
        <w:t>Cilj i opis mjere:</w:t>
      </w:r>
      <w:r w:rsidRPr="00FC38FA">
        <w:rPr>
          <w:u w:val="single"/>
        </w:rPr>
        <w:t xml:space="preserve"> </w:t>
      </w:r>
      <w:r w:rsidRPr="00602568">
        <w:t xml:space="preserve">Sukladno Zakonu o zaštiti zraka (NN 130/11, 47/14, 61/17, 118/18), Odlukom Vlade RH 2014. godine osnovano je Povjerenstvo za međusektorsku koordinaciju za politike i mjere za ublažavanje i prilagodbu klimatskim promjenama (NN 114/14, 9/18). Povjerenstvo daje preporuke Vladi Republike Hrvatske o sveukupnoj politici i mjerama za ublažavanje i prilagodbu klimatskim promjenama te osigurava političku podršku u provođenju politike i mjera za ublažavanje i prilagodbu klimatskim promjenama. Povjerenstvo također predlaže Vladi Republike Hrvatske donošenje akata strateškog planiranja i propisa koji se odnose na politiku i mjere za ublažavanje i prilagodbu klimatskim promjenama, daje prijedloge ciljeva, mjera i aktivnosti javnih politika i prati njihove učinke i ishode u provedbi te daje prijedloge i podršku u promicanju interdisciplinarnih i sinergijskih ciljeva, mjera i aktivnosti javnih politika. Sastav, poslove i način rada Povjerenstva određuje Vlada Republike Hrvatske na prijedlog ministarstva nadležnog za zaštitu okoliša. Zadaća Povjerenstva će biti praćenje provedbe </w:t>
      </w:r>
      <w:r w:rsidR="009C3DF7">
        <w:t>Integriranog energetskog i klimatskog plana</w:t>
      </w:r>
      <w:r w:rsidRPr="00602568">
        <w:t xml:space="preserve"> i ostvarivanja postavljenih ciljeva, kako u pogledu smanjenja emisija stakleničkih plinova tako i ostalih ciljeva po dimenzijama.</w:t>
      </w:r>
    </w:p>
    <w:p w14:paraId="7B0CD0E2" w14:textId="14C9796B" w:rsidR="00FC38FA" w:rsidRPr="00602568" w:rsidRDefault="00FC38FA" w:rsidP="00602568">
      <w:pPr>
        <w:suppressAutoHyphens w:val="0"/>
        <w:spacing w:before="100" w:beforeAutospacing="1" w:after="100" w:afterAutospacing="1"/>
        <w:jc w:val="left"/>
        <w:rPr>
          <w:b/>
          <w:bCs/>
        </w:rPr>
      </w:pPr>
      <w:r w:rsidRPr="00602568">
        <w:rPr>
          <w:b/>
          <w:bCs/>
        </w:rPr>
        <w:t xml:space="preserve">Sredstva potrebna za provedbu: </w:t>
      </w:r>
      <w:r w:rsidR="009D1F6B" w:rsidRPr="00602568">
        <w:rPr>
          <w:bCs/>
        </w:rPr>
        <w:t>redovni rad državnih tijela</w:t>
      </w:r>
    </w:p>
    <w:p w14:paraId="35B657D4" w14:textId="1043B9D1" w:rsidR="00FC38FA" w:rsidRPr="00602568" w:rsidRDefault="00FC38FA" w:rsidP="00602568">
      <w:pPr>
        <w:suppressAutoHyphens w:val="0"/>
        <w:spacing w:before="100" w:beforeAutospacing="1" w:after="100" w:afterAutospacing="1"/>
        <w:jc w:val="left"/>
        <w:rPr>
          <w:b/>
          <w:bCs/>
        </w:rPr>
      </w:pPr>
      <w:r w:rsidRPr="00602568">
        <w:rPr>
          <w:b/>
          <w:bCs/>
        </w:rPr>
        <w:t xml:space="preserve">Izvori financiranja: </w:t>
      </w:r>
      <w:r w:rsidR="009D1F6B">
        <w:rPr>
          <w:b/>
        </w:rPr>
        <w:t>/</w:t>
      </w:r>
    </w:p>
    <w:p w14:paraId="2F541EE2" w14:textId="77777777" w:rsidR="00FC38FA" w:rsidRPr="00602568" w:rsidRDefault="00FC38FA" w:rsidP="00602568">
      <w:pPr>
        <w:suppressAutoHyphens w:val="0"/>
        <w:spacing w:before="100" w:beforeAutospacing="1" w:after="100" w:afterAutospacing="1"/>
        <w:jc w:val="left"/>
      </w:pPr>
      <w:r w:rsidRPr="00602568">
        <w:rPr>
          <w:b/>
          <w:bCs/>
        </w:rPr>
        <w:lastRenderedPageBreak/>
        <w:t xml:space="preserve">Izvršno tijelo: </w:t>
      </w:r>
      <w:r w:rsidRPr="00602568">
        <w:t>MZOE</w:t>
      </w:r>
    </w:p>
    <w:p w14:paraId="493186CA" w14:textId="77777777" w:rsidR="00FC38FA" w:rsidRPr="00602568" w:rsidRDefault="00FC38FA" w:rsidP="00602568">
      <w:pPr>
        <w:suppressAutoHyphens w:val="0"/>
        <w:spacing w:before="100" w:beforeAutospacing="1" w:after="100" w:afterAutospacing="1"/>
        <w:jc w:val="left"/>
      </w:pPr>
      <w:r w:rsidRPr="00602568">
        <w:rPr>
          <w:b/>
          <w:bCs/>
        </w:rPr>
        <w:t xml:space="preserve">Tijela za praćenje (nadzor): </w:t>
      </w:r>
      <w:r w:rsidRPr="00602568">
        <w:t>MZOE</w:t>
      </w:r>
    </w:p>
    <w:p w14:paraId="0C0CC030" w14:textId="77777777" w:rsidR="00FC38FA" w:rsidRPr="00602568" w:rsidRDefault="00FC38FA" w:rsidP="00602568">
      <w:pPr>
        <w:suppressAutoHyphens w:val="0"/>
        <w:spacing w:before="100" w:beforeAutospacing="1" w:after="100" w:afterAutospacing="1"/>
        <w:jc w:val="left"/>
        <w:rPr>
          <w:b/>
          <w:bCs/>
        </w:rPr>
      </w:pPr>
      <w:r w:rsidRPr="00602568">
        <w:rPr>
          <w:b/>
          <w:bCs/>
        </w:rPr>
        <w:t xml:space="preserve">Učinak: </w:t>
      </w:r>
      <w:r w:rsidRPr="00602568">
        <w:t>Neizravni doprinos smanjenju emisije stakleničkih plinova</w:t>
      </w:r>
    </w:p>
    <w:p w14:paraId="6035ABE1" w14:textId="77777777" w:rsidR="00FC38FA" w:rsidRPr="00602568" w:rsidRDefault="00FC38FA" w:rsidP="00602568">
      <w:pPr>
        <w:suppressAutoHyphens w:val="0"/>
        <w:spacing w:before="100" w:beforeAutospacing="1" w:after="100" w:afterAutospacing="1"/>
        <w:jc w:val="left"/>
        <w:rPr>
          <w:b/>
          <w:bCs/>
        </w:rPr>
      </w:pPr>
      <w:r w:rsidRPr="00602568">
        <w:rPr>
          <w:b/>
          <w:bCs/>
        </w:rPr>
        <w:t xml:space="preserve">Metoda praćenja: </w:t>
      </w:r>
      <w:r w:rsidRPr="00602568">
        <w:t>Broj sastanaka te broj i struktura sudionika</w:t>
      </w:r>
    </w:p>
    <w:p w14:paraId="060FCAA8" w14:textId="117AD500" w:rsidR="00FC38FA" w:rsidRPr="00602568" w:rsidRDefault="00FC38FA" w:rsidP="00602568">
      <w:pPr>
        <w:suppressAutoHyphens w:val="0"/>
        <w:spacing w:before="100" w:beforeAutospacing="1" w:after="100" w:afterAutospacing="1"/>
        <w:jc w:val="left"/>
        <w:rPr>
          <w:b/>
          <w:bCs/>
        </w:rPr>
      </w:pPr>
      <w:r w:rsidRPr="00602568">
        <w:rPr>
          <w:b/>
          <w:bCs/>
        </w:rPr>
        <w:t xml:space="preserve">Povezanost s drugim dimenzijama: </w:t>
      </w:r>
      <w:r w:rsidR="00D967F3">
        <w:t>Mjera</w:t>
      </w:r>
      <w:r w:rsidRPr="00602568">
        <w:t xml:space="preserve"> je povezan</w:t>
      </w:r>
      <w:r w:rsidR="00D967F3">
        <w:t>a</w:t>
      </w:r>
      <w:r w:rsidRPr="00602568">
        <w:t xml:space="preserve"> sa svih pet dimenzija</w:t>
      </w:r>
    </w:p>
    <w:p w14:paraId="26DE426F" w14:textId="77777777" w:rsidR="00FC38FA" w:rsidRPr="00602568" w:rsidRDefault="00FC38FA" w:rsidP="00602568">
      <w:pPr>
        <w:suppressAutoHyphens w:val="0"/>
        <w:spacing w:before="100" w:beforeAutospacing="1" w:after="100" w:afterAutospacing="1"/>
        <w:jc w:val="left"/>
      </w:pPr>
      <w:r w:rsidRPr="00602568">
        <w:rPr>
          <w:b/>
          <w:bCs/>
        </w:rPr>
        <w:t>Povezanost s prilagodbom klimatskim promjenama:</w:t>
      </w:r>
      <w:r w:rsidRPr="00602568">
        <w:t xml:space="preserve"> Povjerenstvo je zaduženo i za prilagodbu klimatskim promjenama.</w:t>
      </w:r>
    </w:p>
    <w:p w14:paraId="0218620F" w14:textId="256DB5D8" w:rsidR="00044CC0" w:rsidRPr="00286B4C" w:rsidRDefault="00FC38FA" w:rsidP="00602568">
      <w:pPr>
        <w:suppressAutoHyphens w:val="0"/>
        <w:spacing w:before="100" w:beforeAutospacing="1" w:after="100" w:afterAutospacing="1"/>
      </w:pPr>
      <w:r w:rsidRPr="00286B4C">
        <w:rPr>
          <w:b/>
          <w:bCs/>
        </w:rPr>
        <w:t xml:space="preserve">Istraživanje i razvoj: </w:t>
      </w:r>
      <w:r w:rsidR="00C0299D" w:rsidRPr="00286B4C">
        <w:t>Utječe, u kontekstu praćenja provedbe i ostvarivanja ciljeva</w:t>
      </w:r>
      <w:r w:rsidRPr="00286B4C">
        <w:t>.</w:t>
      </w:r>
    </w:p>
    <w:p w14:paraId="71F59AC2" w14:textId="10791CEB" w:rsidR="004D010C" w:rsidRPr="00840E2E" w:rsidRDefault="004D010C" w:rsidP="004D010C">
      <w:pPr>
        <w:suppressAutoHyphens w:val="0"/>
        <w:spacing w:after="160" w:line="259" w:lineRule="auto"/>
        <w:rPr>
          <w:b/>
          <w:bCs/>
          <w:u w:val="single"/>
        </w:rPr>
      </w:pPr>
      <w:r w:rsidRPr="00840E2E">
        <w:rPr>
          <w:b/>
          <w:bCs/>
          <w:u w:val="single"/>
        </w:rPr>
        <w:t xml:space="preserve">MS-2: Poticanje osnivanja regionalnih energetskih i klimatskih agencija </w:t>
      </w:r>
      <w:r w:rsidR="007050CB" w:rsidRPr="00840E2E">
        <w:rPr>
          <w:b/>
          <w:bCs/>
          <w:u w:val="single"/>
        </w:rPr>
        <w:t>i iz</w:t>
      </w:r>
      <w:r w:rsidR="00B35C77" w:rsidRPr="00840E2E">
        <w:rPr>
          <w:b/>
          <w:bCs/>
          <w:u w:val="single"/>
        </w:rPr>
        <w:t>g</w:t>
      </w:r>
      <w:r w:rsidR="007050CB" w:rsidRPr="00840E2E">
        <w:rPr>
          <w:b/>
          <w:bCs/>
          <w:u w:val="single"/>
        </w:rPr>
        <w:t>radnja kapaciteta</w:t>
      </w:r>
    </w:p>
    <w:p w14:paraId="763F068D" w14:textId="5BD542E5" w:rsidR="004D010C" w:rsidRPr="00286B4C" w:rsidRDefault="004D010C" w:rsidP="004D010C">
      <w:pPr>
        <w:suppressAutoHyphens w:val="0"/>
        <w:spacing w:after="160" w:line="259" w:lineRule="auto"/>
        <w:rPr>
          <w:b/>
          <w:bCs/>
        </w:rPr>
      </w:pPr>
      <w:r w:rsidRPr="00286B4C">
        <w:rPr>
          <w:b/>
          <w:bCs/>
        </w:rPr>
        <w:t>Organizacijska</w:t>
      </w:r>
      <w:r w:rsidR="000B3166">
        <w:rPr>
          <w:b/>
          <w:bCs/>
        </w:rPr>
        <w:t xml:space="preserve"> i financijska</w:t>
      </w:r>
      <w:r w:rsidRPr="00286B4C">
        <w:rPr>
          <w:b/>
          <w:bCs/>
        </w:rPr>
        <w:t xml:space="preserve"> mjera; provedba 2021.-2030.</w:t>
      </w:r>
    </w:p>
    <w:p w14:paraId="6AEB35A6" w14:textId="0D5B9DD2" w:rsidR="004D010C" w:rsidRPr="00286B4C" w:rsidRDefault="004D010C">
      <w:pPr>
        <w:suppressAutoHyphens w:val="0"/>
        <w:spacing w:after="160" w:line="259" w:lineRule="auto"/>
      </w:pPr>
      <w:r w:rsidRPr="00286B4C">
        <w:rPr>
          <w:b/>
          <w:bCs/>
        </w:rPr>
        <w:t>Cilj i opis mjere</w:t>
      </w:r>
      <w:r w:rsidRPr="00286B4C">
        <w:t xml:space="preserve">: </w:t>
      </w:r>
      <w:r w:rsidR="00750452" w:rsidRPr="00286B4C">
        <w:t xml:space="preserve">Regionalne energetske agencije trenutno ne djeluju na području čitave RH, a </w:t>
      </w:r>
      <w:r w:rsidR="00ED0C2A" w:rsidRPr="00286B4C">
        <w:t xml:space="preserve">potrebna je izgradnja kapaciteta </w:t>
      </w:r>
      <w:r w:rsidR="00750452" w:rsidRPr="00286B4C">
        <w:t>postojeć</w:t>
      </w:r>
      <w:r w:rsidR="00ED0C2A" w:rsidRPr="00286B4C">
        <w:t>ih regionalnih energet</w:t>
      </w:r>
      <w:r w:rsidR="00FC21D4">
        <w:t>s</w:t>
      </w:r>
      <w:r w:rsidR="00ED0C2A" w:rsidRPr="00286B4C">
        <w:t xml:space="preserve">kih agencija na polju klimatskih promjena i njihova transformacija u energetske i klimatske agencije. </w:t>
      </w:r>
      <w:r w:rsidRPr="00286B4C">
        <w:t>Cilj ove mjere je poticanje uspostave i osnivanja regionalnih energetskih agencija za područja Republike Hrvatske na kojima one ne djeluju te preoblikovanj</w:t>
      </w:r>
      <w:r w:rsidR="00ED0C2A" w:rsidRPr="00286B4C">
        <w:t>e</w:t>
      </w:r>
      <w:r w:rsidRPr="00286B4C">
        <w:t xml:space="preserve"> postojećih</w:t>
      </w:r>
      <w:r w:rsidR="00ED0C2A" w:rsidRPr="00286B4C">
        <w:t xml:space="preserve"> </w:t>
      </w:r>
      <w:r w:rsidRPr="00286B4C">
        <w:t>energetskih agencija u energetske i klimatske agencije.</w:t>
      </w:r>
    </w:p>
    <w:p w14:paraId="5C7606D5" w14:textId="77777777" w:rsidR="004D010C" w:rsidRPr="00286B4C" w:rsidRDefault="004D010C" w:rsidP="004D010C">
      <w:pPr>
        <w:suppressAutoHyphens w:val="0"/>
        <w:spacing w:after="160" w:line="259" w:lineRule="auto"/>
      </w:pPr>
      <w:r w:rsidRPr="00286B4C">
        <w:rPr>
          <w:b/>
          <w:bCs/>
        </w:rPr>
        <w:t>Sredstva potrebna za provedbu</w:t>
      </w:r>
      <w:r w:rsidRPr="00286B4C">
        <w:t>: oko 1 milijun kn godišnje u razdoblju od 3 godine za osnivanje jedne regionalne energetske i klimatske agencije</w:t>
      </w:r>
    </w:p>
    <w:p w14:paraId="36F0F804" w14:textId="77777777" w:rsidR="004D010C" w:rsidRPr="00286B4C" w:rsidRDefault="004D010C" w:rsidP="004D010C">
      <w:pPr>
        <w:suppressAutoHyphens w:val="0"/>
        <w:spacing w:after="160" w:line="259" w:lineRule="auto"/>
      </w:pPr>
      <w:r w:rsidRPr="00286B4C">
        <w:rPr>
          <w:b/>
          <w:bCs/>
        </w:rPr>
        <w:t>Izvori financiranja</w:t>
      </w:r>
      <w:r w:rsidRPr="00286B4C">
        <w:t>: EU sredstva, sredstva jedinica regionalne/lokalne samouprave</w:t>
      </w:r>
    </w:p>
    <w:p w14:paraId="556774BD" w14:textId="77777777" w:rsidR="004D010C" w:rsidRPr="00286B4C" w:rsidRDefault="004D010C" w:rsidP="004D010C">
      <w:pPr>
        <w:suppressAutoHyphens w:val="0"/>
        <w:spacing w:after="160" w:line="259" w:lineRule="auto"/>
      </w:pPr>
      <w:r w:rsidRPr="00286B4C">
        <w:rPr>
          <w:b/>
          <w:bCs/>
        </w:rPr>
        <w:t>Izvršno tijelo</w:t>
      </w:r>
      <w:r w:rsidRPr="00286B4C">
        <w:t>: MZOE</w:t>
      </w:r>
    </w:p>
    <w:p w14:paraId="7CF654D7" w14:textId="77777777" w:rsidR="004D010C" w:rsidRPr="00286B4C" w:rsidRDefault="004D010C" w:rsidP="004D010C">
      <w:pPr>
        <w:suppressAutoHyphens w:val="0"/>
        <w:spacing w:after="160" w:line="259" w:lineRule="auto"/>
      </w:pPr>
      <w:r w:rsidRPr="00286B4C">
        <w:rPr>
          <w:b/>
          <w:bCs/>
        </w:rPr>
        <w:t>Tijela za praćenje (nadzor):</w:t>
      </w:r>
      <w:r w:rsidRPr="00286B4C">
        <w:t xml:space="preserve"> MZOE</w:t>
      </w:r>
    </w:p>
    <w:p w14:paraId="1121C8AD" w14:textId="6DC68A48" w:rsidR="004D010C" w:rsidRPr="00286B4C" w:rsidRDefault="004D010C" w:rsidP="004D010C">
      <w:pPr>
        <w:suppressAutoHyphens w:val="0"/>
        <w:spacing w:after="160" w:line="259" w:lineRule="auto"/>
      </w:pPr>
      <w:r w:rsidRPr="00286B4C">
        <w:rPr>
          <w:b/>
          <w:bCs/>
        </w:rPr>
        <w:t>Učinak</w:t>
      </w:r>
      <w:r w:rsidRPr="00286B4C">
        <w:t xml:space="preserve">: </w:t>
      </w:r>
      <w:r w:rsidR="00B60599" w:rsidRPr="00286B4C">
        <w:t>Osnivanje energetske i klimat</w:t>
      </w:r>
      <w:r w:rsidR="00FC21D4">
        <w:t>s</w:t>
      </w:r>
      <w:r w:rsidR="00B60599" w:rsidRPr="00286B4C">
        <w:t>ke agencije i transformacija postojećih regionalnih energetskih agenc</w:t>
      </w:r>
      <w:r w:rsidR="00FC21D4">
        <w:t>i</w:t>
      </w:r>
      <w:r w:rsidR="00B60599" w:rsidRPr="00286B4C">
        <w:t>ja u regionalne energe</w:t>
      </w:r>
      <w:r w:rsidR="00FC21D4">
        <w:t>t</w:t>
      </w:r>
      <w:r w:rsidR="00B60599" w:rsidRPr="00286B4C">
        <w:t>ske i klimatske agencije</w:t>
      </w:r>
    </w:p>
    <w:p w14:paraId="581C3F08" w14:textId="7623865F" w:rsidR="004D010C" w:rsidRPr="00286B4C" w:rsidRDefault="004D010C" w:rsidP="004D010C">
      <w:pPr>
        <w:suppressAutoHyphens w:val="0"/>
        <w:spacing w:after="160" w:line="259" w:lineRule="auto"/>
      </w:pPr>
      <w:r w:rsidRPr="00286B4C">
        <w:rPr>
          <w:b/>
          <w:bCs/>
        </w:rPr>
        <w:t>Metoda praćenja</w:t>
      </w:r>
      <w:r w:rsidRPr="00286B4C">
        <w:t xml:space="preserve">: Broj </w:t>
      </w:r>
      <w:r w:rsidR="00B60599" w:rsidRPr="00286B4C">
        <w:t xml:space="preserve">novoosnovanih energetskih i klimatskih agencija, broj </w:t>
      </w:r>
      <w:r w:rsidR="00D73F51" w:rsidRPr="00286B4C">
        <w:t>preoblikovanih agencija</w:t>
      </w:r>
    </w:p>
    <w:p w14:paraId="4EAAF9DC" w14:textId="77777777" w:rsidR="004D010C" w:rsidRPr="00286B4C" w:rsidRDefault="004D010C" w:rsidP="004D010C">
      <w:pPr>
        <w:suppressAutoHyphens w:val="0"/>
        <w:spacing w:after="160" w:line="259" w:lineRule="auto"/>
      </w:pPr>
      <w:r w:rsidRPr="00286B4C">
        <w:rPr>
          <w:b/>
          <w:bCs/>
        </w:rPr>
        <w:t>Povezanost s drugim dimenzijama</w:t>
      </w:r>
      <w:r w:rsidRPr="00286B4C">
        <w:t>: Mjera je povezana sa svih pet dimenzija</w:t>
      </w:r>
    </w:p>
    <w:p w14:paraId="1040529A" w14:textId="77777777" w:rsidR="004D010C" w:rsidRPr="00286B4C" w:rsidRDefault="004D010C" w:rsidP="004D010C">
      <w:pPr>
        <w:suppressAutoHyphens w:val="0"/>
        <w:spacing w:after="160" w:line="259" w:lineRule="auto"/>
      </w:pPr>
      <w:r w:rsidRPr="00286B4C">
        <w:rPr>
          <w:b/>
          <w:bCs/>
        </w:rPr>
        <w:t>Povezanost s prilagodbom klimatskim promjenama</w:t>
      </w:r>
      <w:r w:rsidRPr="00286B4C">
        <w:t>: Regionalne energetske i klimatske agencije provodit će energetske projekte te projekte prilagodbe klimatskim promjenama.</w:t>
      </w:r>
    </w:p>
    <w:p w14:paraId="6821D325" w14:textId="1A000174" w:rsidR="00044CC0" w:rsidRPr="00286B4C" w:rsidRDefault="004D010C" w:rsidP="004D010C">
      <w:pPr>
        <w:suppressAutoHyphens w:val="0"/>
        <w:spacing w:after="160" w:line="259" w:lineRule="auto"/>
      </w:pPr>
      <w:r w:rsidRPr="00286B4C">
        <w:rPr>
          <w:b/>
          <w:bCs/>
        </w:rPr>
        <w:t>Istraživanje i razvoj</w:t>
      </w:r>
      <w:r w:rsidRPr="00286B4C">
        <w:t xml:space="preserve">: </w:t>
      </w:r>
      <w:r w:rsidR="000B3166">
        <w:t>/</w:t>
      </w:r>
    </w:p>
    <w:p w14:paraId="7FF88F23" w14:textId="77777777" w:rsidR="005F64CA" w:rsidRPr="00276CE9" w:rsidRDefault="005F64CA" w:rsidP="004D010C">
      <w:pPr>
        <w:suppressAutoHyphens w:val="0"/>
        <w:spacing w:after="160" w:line="259" w:lineRule="auto"/>
        <w:rPr>
          <w:u w:val="single"/>
        </w:rPr>
      </w:pPr>
    </w:p>
    <w:p w14:paraId="4C9CFBF3" w14:textId="0D447937" w:rsidR="00F1782F" w:rsidRPr="00840E2E" w:rsidRDefault="00F1782F" w:rsidP="00602568">
      <w:pPr>
        <w:suppressAutoHyphens w:val="0"/>
        <w:spacing w:before="100" w:beforeAutospacing="1" w:after="100" w:afterAutospacing="1"/>
        <w:rPr>
          <w:b/>
          <w:bCs/>
          <w:u w:val="single"/>
        </w:rPr>
      </w:pPr>
      <w:r w:rsidRPr="00840E2E">
        <w:rPr>
          <w:b/>
          <w:bCs/>
          <w:u w:val="single"/>
        </w:rPr>
        <w:lastRenderedPageBreak/>
        <w:t>MS-</w:t>
      </w:r>
      <w:r w:rsidR="000B3166" w:rsidRPr="00840E2E">
        <w:rPr>
          <w:b/>
          <w:bCs/>
          <w:u w:val="single"/>
        </w:rPr>
        <w:t>3</w:t>
      </w:r>
      <w:r w:rsidRPr="00840E2E">
        <w:rPr>
          <w:b/>
          <w:bCs/>
          <w:u w:val="single"/>
        </w:rPr>
        <w:t>: Promicanje korištenja inovativnih informacijskih i komunikacijskih tehnologija (IKT) radi smanjenja emisija stakleničkih plinova</w:t>
      </w:r>
    </w:p>
    <w:p w14:paraId="3D7A7152" w14:textId="77777777" w:rsidR="00F1782F" w:rsidRPr="00602568" w:rsidRDefault="00F1782F" w:rsidP="00602568">
      <w:pPr>
        <w:suppressAutoHyphens w:val="0"/>
        <w:spacing w:before="100" w:beforeAutospacing="1" w:after="100" w:afterAutospacing="1"/>
        <w:rPr>
          <w:b/>
          <w:bCs/>
        </w:rPr>
      </w:pPr>
      <w:r w:rsidRPr="00602568">
        <w:rPr>
          <w:b/>
          <w:bCs/>
        </w:rPr>
        <w:t>Informacijska mjera; provedba 2021.-2030.</w:t>
      </w:r>
    </w:p>
    <w:p w14:paraId="24BE280E" w14:textId="16EADDB1" w:rsidR="00F1782F" w:rsidRPr="00602568" w:rsidRDefault="00F1782F" w:rsidP="00602568">
      <w:pPr>
        <w:suppressAutoHyphens w:val="0"/>
        <w:spacing w:before="100" w:beforeAutospacing="1" w:after="100" w:afterAutospacing="1"/>
      </w:pPr>
      <w:r w:rsidRPr="00602568">
        <w:rPr>
          <w:b/>
          <w:bCs/>
        </w:rPr>
        <w:t>Cilj i opis mjere:</w:t>
      </w:r>
      <w:r w:rsidRPr="00602568">
        <w:t xml:space="preserve"> 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w:t>
      </w:r>
      <w:r w:rsidR="00D2536B" w:rsidRPr="00602568">
        <w:t>posljedičn</w:t>
      </w:r>
      <w:r w:rsidR="00D2536B">
        <w:t>o</w:t>
      </w:r>
      <w:r w:rsidR="00D2536B" w:rsidRPr="00602568">
        <w:t xml:space="preserve"> </w:t>
      </w:r>
      <w:r w:rsidRPr="00602568">
        <w:t>emisije stakleničkih plinova. Očekuje se kako će mjera povećati korištenje inovativnih IKT i praćenje stvarnih ušteda energije te smanjenja emisija stakleničkih plinova.</w:t>
      </w:r>
    </w:p>
    <w:p w14:paraId="0B35808B" w14:textId="77777777" w:rsidR="00F1782F" w:rsidRPr="00276CE9" w:rsidRDefault="00F1782F" w:rsidP="00602568">
      <w:pPr>
        <w:suppressAutoHyphens w:val="0"/>
        <w:spacing w:before="100" w:beforeAutospacing="1" w:after="100" w:afterAutospacing="1"/>
        <w:rPr>
          <w:u w:val="single"/>
        </w:rPr>
      </w:pPr>
    </w:p>
    <w:p w14:paraId="3C5F0701" w14:textId="4B47974E" w:rsidR="004B49FC" w:rsidRPr="00602568" w:rsidRDefault="004B49FC" w:rsidP="00602568">
      <w:pPr>
        <w:suppressAutoHyphens w:val="0"/>
        <w:spacing w:before="100" w:beforeAutospacing="1" w:after="100" w:afterAutospacing="1"/>
        <w:rPr>
          <w:b/>
          <w:bCs/>
          <w:u w:val="single"/>
        </w:rPr>
      </w:pPr>
      <w:r w:rsidRPr="00602568">
        <w:rPr>
          <w:b/>
          <w:bCs/>
          <w:u w:val="single"/>
        </w:rPr>
        <w:t>MS-</w:t>
      </w:r>
      <w:r w:rsidR="000B3166">
        <w:rPr>
          <w:b/>
          <w:bCs/>
          <w:u w:val="single"/>
        </w:rPr>
        <w:t>4</w:t>
      </w:r>
      <w:r w:rsidRPr="00602568">
        <w:rPr>
          <w:b/>
          <w:bCs/>
          <w:u w:val="single"/>
        </w:rPr>
        <w:t>: Europski sustav trgovanja emisijskim jedinicama</w:t>
      </w:r>
    </w:p>
    <w:p w14:paraId="249C75ED" w14:textId="77777777" w:rsidR="004B49FC" w:rsidRPr="00602568" w:rsidRDefault="004B49FC" w:rsidP="00602568">
      <w:pPr>
        <w:suppressAutoHyphens w:val="0"/>
        <w:spacing w:before="100" w:beforeAutospacing="1" w:after="100" w:afterAutospacing="1"/>
        <w:rPr>
          <w:b/>
          <w:bCs/>
          <w:u w:val="single"/>
        </w:rPr>
      </w:pPr>
      <w:r w:rsidRPr="00602568">
        <w:rPr>
          <w:b/>
          <w:bCs/>
          <w:u w:val="single"/>
        </w:rPr>
        <w:t>Regulatorna mjera; provedba 2021.-2030.</w:t>
      </w:r>
    </w:p>
    <w:p w14:paraId="3131C3C1" w14:textId="14847A88" w:rsidR="004B49FC" w:rsidRPr="00602568" w:rsidRDefault="004B49FC" w:rsidP="00602568">
      <w:pPr>
        <w:suppressAutoHyphens w:val="0"/>
        <w:spacing w:before="100" w:beforeAutospacing="1" w:after="100" w:afterAutospacing="1"/>
      </w:pPr>
      <w:r w:rsidRPr="00602568">
        <w:rPr>
          <w:b/>
          <w:bCs/>
        </w:rPr>
        <w:t>Cilj i opis mjere:</w:t>
      </w:r>
      <w:r w:rsidRPr="00602568">
        <w:t xml:space="preserve"> Europski sustav trgovanja emisijskim jedinicama (EU ETS) uključuje sve aktivnosti navedene u Prilogu I. Uredbe o načinu trgovanja emisijskim jedinicama stakleničkih plinova (NN 69/12, 154/14), a za smanjenje emisija stakleničkih plinova odgovorni su operateri postrojenja uključeni u sustav. Kroz ravnomjernu raspodjelu emisijskih jedinica obveze za smanjenjem podijeljene su sudionicima sustava iz svih država članica s ciljem doprinosa smanjenju emisija za najmanje 21 % do 2020. godine, odnosno za najmanje 43 % do 2030. godine, u odnosu na razinu iz 2005. godine. Time se može zaključiti kako je smanjenje emisija iz aktivnosti unutar EU ETS-a regulirano na razini EU. Od 1.1.2013. godine, Republika Hrvatska je integrirana u EU ETS. Operateri postrojenja u RH, sukladno pravilima EU ETS-a, dobili su dozvole za emisije stakleničkih plinova i uspostavili režim praćenja emisija i </w:t>
      </w:r>
      <w:r w:rsidR="00CE4C1E">
        <w:t>dostavljanja verificiranih izvješća</w:t>
      </w:r>
      <w:r w:rsidR="00CE4C1E" w:rsidRPr="00602568">
        <w:t xml:space="preserve"> </w:t>
      </w:r>
      <w:r w:rsidRPr="00602568">
        <w:t>nadležnom tijelu. Staklenički plinovi obuhvaćeni EU ETS-om su: uglji</w:t>
      </w:r>
      <w:r w:rsidR="00DB0B1D">
        <w:t>kov</w:t>
      </w:r>
      <w:r w:rsidRPr="00602568">
        <w:t xml:space="preserve"> dioksid (CO</w:t>
      </w:r>
      <w:r w:rsidRPr="00602568">
        <w:rPr>
          <w:vertAlign w:val="subscript"/>
        </w:rPr>
        <w:t>2</w:t>
      </w:r>
      <w:r w:rsidRPr="00602568">
        <w:t>) za sve aktivnosti i dodatno za određene aktivnosti, duši</w:t>
      </w:r>
      <w:r w:rsidR="00DB0B1D">
        <w:t>kov</w:t>
      </w:r>
      <w:r w:rsidRPr="00602568">
        <w:t xml:space="preserve"> oksid (N</w:t>
      </w:r>
      <w:r w:rsidRPr="00602568">
        <w:rPr>
          <w:vertAlign w:val="subscript"/>
        </w:rPr>
        <w:t>2</w:t>
      </w:r>
      <w:r w:rsidRPr="00602568">
        <w:t>O) i perfluorougljik (PFC). Dodatna aktivnost uključena u EU ETS je zrakoplovstvo. Operateri zrakoplova u Republici Hrvatskoj uključeni su u EU ETS od 2012. godine za letove u EU i od 2014. za letove unutar RH. Svi operateri, osim proizvođača električne energije, za prodaju trećim stranama, podnijeli su svoje zahtjeve za izdavanje besplatnih emisijskih jedinica. Besplatne jedinice se besplatno distribuiraju postrojenjima koja su izložena riziku od istjecanja ugljika u treće zemlje, na osnovi mjerila utvrđenih u skladu s referentnom vrijednosti za 10% najučinkovitijih postrojenja u istom sektoru. Operateri, koji neće imati dovoljan broj jedinica za pokrivanje njihovih emisija stakleničkih plinova, imaju mogućnost kupnje emisijskih jedinica putem dražbi ili na sekundarnom ETS tržištu.</w:t>
      </w:r>
    </w:p>
    <w:p w14:paraId="0634F35C" w14:textId="77777777" w:rsidR="004B49FC" w:rsidRPr="00602568" w:rsidRDefault="004B49FC" w:rsidP="00602568">
      <w:pPr>
        <w:suppressAutoHyphens w:val="0"/>
        <w:spacing w:before="100" w:beforeAutospacing="1" w:after="100" w:afterAutospacing="1"/>
      </w:pPr>
      <w:r w:rsidRPr="00602568">
        <w:rPr>
          <w:b/>
          <w:bCs/>
        </w:rPr>
        <w:t>Aktivnosti:</w:t>
      </w:r>
      <w:r w:rsidRPr="00602568">
        <w:t xml:space="preserve"> U okviru mjere provest će se: </w:t>
      </w:r>
    </w:p>
    <w:p w14:paraId="3868CAB8" w14:textId="1BC33462" w:rsidR="004B49FC" w:rsidRPr="00602568" w:rsidRDefault="004B49FC" w:rsidP="00840E2E">
      <w:pPr>
        <w:numPr>
          <w:ilvl w:val="0"/>
          <w:numId w:val="105"/>
        </w:numPr>
        <w:suppressAutoHyphens w:val="0"/>
        <w:spacing w:before="0"/>
        <w:rPr>
          <w:rFonts w:cs="Arial"/>
          <w:color w:val="000000"/>
        </w:rPr>
      </w:pPr>
      <w:r w:rsidRPr="00602568">
        <w:rPr>
          <w:rFonts w:cs="Arial"/>
          <w:color w:val="000000"/>
        </w:rPr>
        <w:t xml:space="preserve">pripremne aktivnosti za 4. fazu trgovanja emisijskim jedinicama stakleničkih plinova (2021.-2030.) u okviru EU ETS-a, sukladno Direktivi (EU) 2018/410 koja dopunjava </w:t>
      </w:r>
      <w:r w:rsidRPr="00602568">
        <w:rPr>
          <w:rFonts w:cs="Arial"/>
          <w:color w:val="000000"/>
        </w:rPr>
        <w:lastRenderedPageBreak/>
        <w:t>direktivu 2003/87/EZ, a u cilju primjene troškovno učinkovitog smanjenja emisija i niskougljičnih investicija;</w:t>
      </w:r>
    </w:p>
    <w:p w14:paraId="2735B476" w14:textId="2ABD6068" w:rsidR="004B49FC" w:rsidRPr="00602568" w:rsidRDefault="004B49FC" w:rsidP="00840E2E">
      <w:pPr>
        <w:numPr>
          <w:ilvl w:val="0"/>
          <w:numId w:val="105"/>
        </w:numPr>
        <w:suppressAutoHyphens w:val="0"/>
        <w:spacing w:before="0"/>
        <w:rPr>
          <w:rFonts w:cs="Arial"/>
          <w:color w:val="000000"/>
        </w:rPr>
      </w:pPr>
      <w:r w:rsidRPr="00602568">
        <w:rPr>
          <w:rFonts w:cs="Arial"/>
          <w:color w:val="000000"/>
        </w:rPr>
        <w:t>nastavak aktivnosti sudionika EU ETS-a (operateri postrojenja i operatori zrakoplova): ažuriranje planova praćenja emisija stakleničkih plinova, izrada izvješća o emisijama stakleničkih plinova, izrada verifikacijskog izvješća, izrada izvješća o poboljšanjima (ako je potrebna), trgovanje emisijskim jedinicama na primarnom i sekundarnom tržištu, predaja emisijskih jedinica i dr.;</w:t>
      </w:r>
    </w:p>
    <w:p w14:paraId="5258CE82" w14:textId="3E28303A" w:rsidR="004B49FC" w:rsidRPr="00602568" w:rsidRDefault="004B49FC" w:rsidP="00840E2E">
      <w:pPr>
        <w:numPr>
          <w:ilvl w:val="0"/>
          <w:numId w:val="105"/>
        </w:numPr>
        <w:suppressAutoHyphens w:val="0"/>
        <w:spacing w:before="0"/>
        <w:rPr>
          <w:rFonts w:cs="Arial"/>
          <w:color w:val="000000"/>
        </w:rPr>
      </w:pPr>
      <w:r w:rsidRPr="00602568">
        <w:rPr>
          <w:rFonts w:cs="Arial"/>
          <w:color w:val="000000"/>
        </w:rPr>
        <w:t>aktivnosti ostalih sudionika EU ETS-a (MZOE, verifikatori, brokeri…)</w:t>
      </w:r>
    </w:p>
    <w:p w14:paraId="33F7418C" w14:textId="77777777" w:rsidR="004B49FC" w:rsidRPr="00602568" w:rsidRDefault="004B49FC" w:rsidP="00602568">
      <w:pPr>
        <w:suppressAutoHyphens w:val="0"/>
        <w:spacing w:before="100" w:beforeAutospacing="1" w:after="100" w:afterAutospacing="1"/>
      </w:pPr>
      <w:r w:rsidRPr="00602568">
        <w:rPr>
          <w:b/>
          <w:bCs/>
        </w:rPr>
        <w:t xml:space="preserve">Sredstva potrebna za provedbu: </w:t>
      </w:r>
      <w:r w:rsidRPr="00602568">
        <w:t>uglavnom sredstva vlasnika postrojenja i zrakoplovnih tvrtki</w:t>
      </w:r>
    </w:p>
    <w:p w14:paraId="2F9A560D" w14:textId="77777777" w:rsidR="004B49FC" w:rsidRPr="00602568" w:rsidRDefault="004B49FC" w:rsidP="00602568">
      <w:pPr>
        <w:suppressAutoHyphens w:val="0"/>
        <w:spacing w:before="100" w:beforeAutospacing="1" w:after="100" w:afterAutospacing="1"/>
      </w:pPr>
      <w:r w:rsidRPr="00602568">
        <w:rPr>
          <w:b/>
          <w:bCs/>
        </w:rPr>
        <w:t>Izvori financiranja:</w:t>
      </w:r>
      <w:r w:rsidRPr="00602568">
        <w:t xml:space="preserve"> /</w:t>
      </w:r>
    </w:p>
    <w:p w14:paraId="4EE4016B" w14:textId="77777777" w:rsidR="004B49FC" w:rsidRPr="00602568" w:rsidRDefault="004B49FC" w:rsidP="00602568">
      <w:pPr>
        <w:suppressAutoHyphens w:val="0"/>
        <w:spacing w:before="100" w:beforeAutospacing="1" w:after="100" w:afterAutospacing="1"/>
      </w:pPr>
      <w:r w:rsidRPr="00602568">
        <w:rPr>
          <w:b/>
          <w:bCs/>
        </w:rPr>
        <w:t>Izvršno tijelo:</w:t>
      </w:r>
      <w:r w:rsidRPr="00602568">
        <w:t xml:space="preserve"> MZOE</w:t>
      </w:r>
    </w:p>
    <w:p w14:paraId="1C1757C4" w14:textId="77777777" w:rsidR="004B49FC" w:rsidRPr="00602568" w:rsidRDefault="004B49FC" w:rsidP="00602568">
      <w:pPr>
        <w:suppressAutoHyphens w:val="0"/>
        <w:spacing w:before="100" w:beforeAutospacing="1" w:after="100" w:afterAutospacing="1"/>
      </w:pPr>
      <w:r w:rsidRPr="00602568">
        <w:rPr>
          <w:b/>
          <w:bCs/>
        </w:rPr>
        <w:t>Tijela za praćenje (nadzor):</w:t>
      </w:r>
      <w:r w:rsidRPr="00602568">
        <w:t xml:space="preserve"> MZOE</w:t>
      </w:r>
    </w:p>
    <w:p w14:paraId="468EB146" w14:textId="77777777" w:rsidR="004B49FC" w:rsidRPr="00602568" w:rsidRDefault="004B49FC" w:rsidP="00602568">
      <w:pPr>
        <w:suppressAutoHyphens w:val="0"/>
        <w:spacing w:before="100" w:beforeAutospacing="1" w:after="100" w:afterAutospacing="1"/>
      </w:pPr>
      <w:r w:rsidRPr="00602568">
        <w:rPr>
          <w:b/>
          <w:bCs/>
        </w:rPr>
        <w:t>Učinak:</w:t>
      </w:r>
      <w:r w:rsidRPr="00602568">
        <w:t xml:space="preserve"> Ciljano smanjenje emisije stakleničkih plinova je najmanje 2,2% godišnje, povećanjem energetske učinkovitosti, korištenjem obnovljivi izvori energije i ostalim mjerama za smanjenje emisije (neželjeno: smanjenje proizvodnje u postrojenjima ili reduciranje broja i dužine letova zrakoplovnih tvrtki).</w:t>
      </w:r>
    </w:p>
    <w:p w14:paraId="6B33B7AC" w14:textId="77777777" w:rsidR="004B49FC" w:rsidRPr="00602568" w:rsidRDefault="004B49FC" w:rsidP="00602568">
      <w:pPr>
        <w:suppressAutoHyphens w:val="0"/>
        <w:spacing w:before="100" w:beforeAutospacing="1" w:after="100" w:afterAutospacing="1"/>
      </w:pPr>
      <w:r w:rsidRPr="00602568">
        <w:rPr>
          <w:b/>
          <w:bCs/>
        </w:rPr>
        <w:t>Metoda praćenja:</w:t>
      </w:r>
      <w:r w:rsidRPr="00602568">
        <w:t xml:space="preserve"> Izrada i verifikacija izvješća o emisijama stakleničkih plinova</w:t>
      </w:r>
    </w:p>
    <w:p w14:paraId="3A1A3B3E" w14:textId="77777777" w:rsidR="004B49FC" w:rsidRPr="00602568" w:rsidRDefault="004B49FC" w:rsidP="00602568">
      <w:pPr>
        <w:suppressAutoHyphens w:val="0"/>
        <w:spacing w:before="100" w:beforeAutospacing="1" w:after="100" w:afterAutospacing="1"/>
      </w:pPr>
      <w:r w:rsidRPr="00602568">
        <w:rPr>
          <w:b/>
          <w:bCs/>
        </w:rPr>
        <w:t>Povezanost s drugim dimenzijama:</w:t>
      </w:r>
      <w:r w:rsidRPr="00602568">
        <w:t xml:space="preserve"> Potiče se primjena obnovljivih izvora energije (dekarbonizacija) i povećanje energetske učinkovitosti, u cilju smanjenja emisije stakleničkih plinova postrojenja i zrakoplovnih tvrtki uključenih u EU ETS.</w:t>
      </w:r>
    </w:p>
    <w:p w14:paraId="1B5F99CF" w14:textId="11EC71C7" w:rsidR="004B49FC" w:rsidRPr="00602568" w:rsidRDefault="004B49FC" w:rsidP="00602568">
      <w:pPr>
        <w:suppressAutoHyphens w:val="0"/>
        <w:spacing w:before="100" w:beforeAutospacing="1" w:after="100" w:afterAutospacing="1"/>
      </w:pPr>
      <w:r w:rsidRPr="00602568">
        <w:rPr>
          <w:b/>
          <w:bCs/>
        </w:rPr>
        <w:t>Povezanost s prilagodbom klimatskim promjenama:</w:t>
      </w:r>
      <w:r w:rsidRPr="00602568">
        <w:t xml:space="preserve"> Pri od</w:t>
      </w:r>
      <w:r w:rsidR="00A762F4">
        <w:t>a</w:t>
      </w:r>
      <w:r w:rsidRPr="00602568">
        <w:t>b</w:t>
      </w:r>
      <w:r w:rsidR="00A762F4">
        <w:t>i</w:t>
      </w:r>
      <w:r w:rsidRPr="00602568">
        <w:t>ru mjera za smanjenje emisije stakleničkih plinova potrebno je voditi računa o</w:t>
      </w:r>
      <w:r w:rsidR="001E0FEC">
        <w:t xml:space="preserve"> utjecaju i</w:t>
      </w:r>
      <w:r w:rsidRPr="00602568">
        <w:t xml:space="preserve"> prilagodbi klimatskim promjenama</w:t>
      </w:r>
      <w:r w:rsidR="00F90759">
        <w:t xml:space="preserve"> (moguće je </w:t>
      </w:r>
      <w:r w:rsidR="00D14A4E">
        <w:t>da će klimatske promjene otežati provedbu pojedinih mjera smanjenja emisije stakleničkih plinova)</w:t>
      </w:r>
      <w:r w:rsidRPr="00602568">
        <w:t>.</w:t>
      </w:r>
    </w:p>
    <w:p w14:paraId="7775B5DA" w14:textId="395D7C2A" w:rsidR="004B49FC" w:rsidRPr="00602568" w:rsidRDefault="004B49FC" w:rsidP="00602568">
      <w:pPr>
        <w:suppressAutoHyphens w:val="0"/>
        <w:spacing w:before="100" w:beforeAutospacing="1" w:after="100" w:afterAutospacing="1"/>
      </w:pPr>
      <w:r w:rsidRPr="00602568">
        <w:rPr>
          <w:b/>
          <w:bCs/>
        </w:rPr>
        <w:t>Istraživanje i razvoj:</w:t>
      </w:r>
      <w:r w:rsidRPr="00602568">
        <w:t xml:space="preserve"> Inovacijski i Modernizacijski fondovi, u okviru EU ETS-a, sufinanciraju istraživanje i razvoj tehnologija bez emisija ili s malim emisijama stakleničkih plinova.</w:t>
      </w:r>
    </w:p>
    <w:p w14:paraId="7DA02821" w14:textId="77777777" w:rsidR="004B49FC" w:rsidRPr="00276CE9" w:rsidRDefault="004B49FC" w:rsidP="00602568">
      <w:pPr>
        <w:suppressAutoHyphens w:val="0"/>
        <w:spacing w:before="100" w:beforeAutospacing="1" w:after="100" w:afterAutospacing="1"/>
        <w:jc w:val="left"/>
        <w:rPr>
          <w:u w:val="single"/>
        </w:rPr>
      </w:pPr>
    </w:p>
    <w:p w14:paraId="39E90657" w14:textId="5271190B" w:rsidR="00510718" w:rsidRPr="00840E2E" w:rsidRDefault="00510718" w:rsidP="00602568">
      <w:pPr>
        <w:suppressAutoHyphens w:val="0"/>
        <w:spacing w:before="100" w:beforeAutospacing="1" w:after="100" w:afterAutospacing="1"/>
        <w:rPr>
          <w:b/>
          <w:bCs/>
          <w:u w:val="single"/>
        </w:rPr>
      </w:pPr>
      <w:r w:rsidRPr="00840E2E">
        <w:rPr>
          <w:b/>
          <w:bCs/>
          <w:u w:val="single"/>
        </w:rPr>
        <w:t>MS-</w:t>
      </w:r>
      <w:r w:rsidR="000B3166" w:rsidRPr="00840E2E">
        <w:rPr>
          <w:b/>
          <w:bCs/>
          <w:u w:val="single"/>
        </w:rPr>
        <w:t>5</w:t>
      </w:r>
      <w:r w:rsidRPr="00840E2E">
        <w:rPr>
          <w:b/>
          <w:bCs/>
          <w:u w:val="single"/>
        </w:rPr>
        <w:t>: Porez na emisiju CO</w:t>
      </w:r>
      <w:r w:rsidRPr="00840E2E">
        <w:rPr>
          <w:b/>
          <w:bCs/>
          <w:u w:val="single"/>
          <w:vertAlign w:val="subscript"/>
        </w:rPr>
        <w:t>2</w:t>
      </w:r>
      <w:r w:rsidRPr="00840E2E">
        <w:rPr>
          <w:b/>
          <w:bCs/>
          <w:u w:val="single"/>
        </w:rPr>
        <w:t xml:space="preserve"> za stacionarne izvore koji nisu u EU ETS-u</w:t>
      </w:r>
    </w:p>
    <w:p w14:paraId="3BA501EF" w14:textId="77777777" w:rsidR="00510718" w:rsidRPr="00602568" w:rsidRDefault="00510718" w:rsidP="00602568">
      <w:pPr>
        <w:suppressAutoHyphens w:val="0"/>
        <w:spacing w:before="100" w:beforeAutospacing="1" w:after="100" w:afterAutospacing="1"/>
        <w:rPr>
          <w:b/>
          <w:bCs/>
        </w:rPr>
      </w:pPr>
      <w:r w:rsidRPr="00602568">
        <w:rPr>
          <w:b/>
          <w:bCs/>
        </w:rPr>
        <w:t>Regulatorna i fiskalna mjera; provedba 2021.-2030.</w:t>
      </w:r>
    </w:p>
    <w:p w14:paraId="1B6ECA04" w14:textId="77777777" w:rsidR="00510718" w:rsidRPr="00602568" w:rsidRDefault="00510718" w:rsidP="00602568">
      <w:pPr>
        <w:suppressAutoHyphens w:val="0"/>
        <w:spacing w:before="100" w:beforeAutospacing="1" w:after="100" w:afterAutospacing="1"/>
      </w:pPr>
      <w:r w:rsidRPr="00602568">
        <w:rPr>
          <w:b/>
          <w:bCs/>
        </w:rPr>
        <w:t>Cilj i opis mjere:</w:t>
      </w:r>
      <w:r w:rsidRPr="00602568">
        <w:t xml:space="preserve"> Uredba o jediničnim naknadama, korektivnim koeficijentima i pobližim kriterijima i mjerilima za utvrđivanje naknade na emisiju u okoliš ugljikovog dioksida (NN 73/07, 48/09, 2/18) propisuje obvezu plaćanja naknade na emisiju CO</w:t>
      </w:r>
      <w:r w:rsidRPr="00602568">
        <w:rPr>
          <w:vertAlign w:val="subscript"/>
        </w:rPr>
        <w:t>2</w:t>
      </w:r>
      <w:r w:rsidRPr="00602568">
        <w:t xml:space="preserve"> za sve stacionarne izvore koji </w:t>
      </w:r>
      <w:r w:rsidRPr="00602568">
        <w:lastRenderedPageBreak/>
        <w:t>emitiraju više od 30 tona CO</w:t>
      </w:r>
      <w:r w:rsidRPr="00602568">
        <w:rPr>
          <w:vertAlign w:val="subscript"/>
        </w:rPr>
        <w:t>2</w:t>
      </w:r>
      <w:r w:rsidRPr="00602568">
        <w:t xml:space="preserve"> godišnje od 2007.-2014., odnosno 450 tona CO</w:t>
      </w:r>
      <w:r w:rsidRPr="00602568">
        <w:rPr>
          <w:vertAlign w:val="subscript"/>
        </w:rPr>
        <w:t>2</w:t>
      </w:r>
      <w:r w:rsidRPr="00602568">
        <w:t xml:space="preserve"> godišnje od 2015. godine. Obveznicima plaćanja naknada koji ulažu u energetsku učinkovitost, OIE i druge mjere za smanjenje emisije CO</w:t>
      </w:r>
      <w:r w:rsidRPr="00602568">
        <w:rPr>
          <w:vertAlign w:val="subscript"/>
        </w:rPr>
        <w:t>2</w:t>
      </w:r>
      <w:r w:rsidRPr="00602568">
        <w:t xml:space="preserve"> i ostalih emisija stakleničkih plinova naplaćuje se niža naknada. Fond za zaštitu okoliša i energetsku učinkovitost ovlašten je za obračun i naplatu troškova. Od 2013. nadalje, obveza plaćanja naknade na emisiju CO</w:t>
      </w:r>
      <w:r w:rsidRPr="00602568">
        <w:rPr>
          <w:vertAlign w:val="subscript"/>
        </w:rPr>
        <w:t>2</w:t>
      </w:r>
      <w:r w:rsidRPr="00602568">
        <w:t xml:space="preserve"> odnosi se samo na izvore koji nisu obuhvaćeni ETS-om. Zakon o izmjenama i dopunama Zakona o fondu za zaštitu okoliša i energetsku učinkovitost (NN 144/12) propisuje da od 1. siječnja 2013. godine pravne ili fizičke osobe koje posjeduju ili koriste barem jedan izvor emisije CO</w:t>
      </w:r>
      <w:r w:rsidRPr="00602568">
        <w:rPr>
          <w:vertAlign w:val="subscript"/>
        </w:rPr>
        <w:t>2</w:t>
      </w:r>
      <w:r w:rsidRPr="00602568">
        <w:t xml:space="preserve"> za koje su dobivene dozvole za emisije stakleničkih plinova, a koje su na temelju rješenja izdanog prema posebnom propisu kojim se uređuje zaštita zraka isključene iz sustava trgovanja emisijskim jedinicama, trebaju plaćati godišnju naknadu na emisiju stakleničkih plinova. Očekuje se nastavak provedbe mjere u razdoblju od 2021. do 2030. godine uz modifikacije u cilju povećanja učinkovitosti. Razmotrit će se mogućnost uključivanja poreza na emisiju CO</w:t>
      </w:r>
      <w:r w:rsidRPr="00602568">
        <w:rPr>
          <w:vertAlign w:val="subscript"/>
        </w:rPr>
        <w:t>2</w:t>
      </w:r>
      <w:r w:rsidRPr="00602568">
        <w:t xml:space="preserve"> u cijenu fosilnih goriva za sve sektore izvan EU ETS-a, umjesto dosadašnje naknade na emisiju CO</w:t>
      </w:r>
      <w:r w:rsidRPr="00602568">
        <w:rPr>
          <w:vertAlign w:val="subscript"/>
        </w:rPr>
        <w:t>2</w:t>
      </w:r>
      <w:r w:rsidRPr="00602568">
        <w:t xml:space="preserve"> za stacionarne izvora. </w:t>
      </w:r>
    </w:p>
    <w:p w14:paraId="774E4562" w14:textId="77777777" w:rsidR="00510718" w:rsidRPr="00602568" w:rsidRDefault="00510718" w:rsidP="00602568">
      <w:pPr>
        <w:suppressAutoHyphens w:val="0"/>
        <w:spacing w:before="100" w:beforeAutospacing="1" w:after="100" w:afterAutospacing="1"/>
      </w:pPr>
      <w:r w:rsidRPr="00602568">
        <w:rPr>
          <w:b/>
          <w:bCs/>
        </w:rPr>
        <w:t>Aktivnosti:</w:t>
      </w:r>
      <w:r w:rsidRPr="00602568">
        <w:t xml:space="preserve"> U okviru mjere provest će se sljedeće aktivnosti: </w:t>
      </w:r>
    </w:p>
    <w:p w14:paraId="10C8B9EA" w14:textId="50F98BE7" w:rsidR="00510718" w:rsidRPr="00602568" w:rsidRDefault="00510718" w:rsidP="00840E2E">
      <w:pPr>
        <w:numPr>
          <w:ilvl w:val="0"/>
          <w:numId w:val="105"/>
        </w:numPr>
        <w:suppressAutoHyphens w:val="0"/>
        <w:spacing w:before="0"/>
        <w:rPr>
          <w:rFonts w:cs="Arial"/>
          <w:color w:val="000000"/>
        </w:rPr>
      </w:pPr>
      <w:r w:rsidRPr="00602568">
        <w:rPr>
          <w:rFonts w:cs="Arial"/>
          <w:color w:val="000000"/>
        </w:rPr>
        <w:t>studijska analiza učinaka promjene modela oporezivanja emisija CO</w:t>
      </w:r>
      <w:r w:rsidRPr="00602568">
        <w:rPr>
          <w:rFonts w:cs="Arial"/>
          <w:color w:val="000000"/>
          <w:vertAlign w:val="subscript"/>
        </w:rPr>
        <w:t>2</w:t>
      </w:r>
      <w:r w:rsidRPr="00602568">
        <w:rPr>
          <w:rFonts w:cs="Arial"/>
          <w:color w:val="000000"/>
        </w:rPr>
        <w:t>, kojom bi se razmatrali pozitivnih i negativnih učinci uvođenja poreza umjesto dosadašnje naknade na emisiju CO</w:t>
      </w:r>
      <w:r w:rsidRPr="00602568">
        <w:rPr>
          <w:rFonts w:cs="Arial"/>
          <w:color w:val="000000"/>
          <w:vertAlign w:val="subscript"/>
        </w:rPr>
        <w:t>2</w:t>
      </w:r>
      <w:r w:rsidRPr="00602568">
        <w:rPr>
          <w:rFonts w:cs="Arial"/>
          <w:color w:val="000000"/>
        </w:rPr>
        <w:t>;</w:t>
      </w:r>
    </w:p>
    <w:p w14:paraId="7F90FC7A" w14:textId="57DAA744" w:rsidR="00510718" w:rsidRPr="00602568" w:rsidRDefault="00510718" w:rsidP="00840E2E">
      <w:pPr>
        <w:numPr>
          <w:ilvl w:val="0"/>
          <w:numId w:val="105"/>
        </w:numPr>
        <w:suppressAutoHyphens w:val="0"/>
        <w:spacing w:before="0"/>
        <w:rPr>
          <w:rFonts w:cs="Arial"/>
          <w:color w:val="000000"/>
        </w:rPr>
      </w:pPr>
      <w:r w:rsidRPr="00602568">
        <w:rPr>
          <w:rFonts w:cs="Arial"/>
          <w:color w:val="000000"/>
        </w:rPr>
        <w:t>ukoliko analiza pokaže izvedivost i troškovnu učinkovitost uvođenja poreza na CO</w:t>
      </w:r>
      <w:r w:rsidRPr="00602568">
        <w:rPr>
          <w:rFonts w:cs="Arial"/>
          <w:color w:val="000000"/>
          <w:vertAlign w:val="subscript"/>
        </w:rPr>
        <w:t>2</w:t>
      </w:r>
      <w:r w:rsidRPr="00602568">
        <w:rPr>
          <w:rFonts w:cs="Arial"/>
          <w:color w:val="000000"/>
        </w:rPr>
        <w:t>, priprema podzakonskog akta u 2022. godini, kojim će se definirati iznos poreza na emisiju CO</w:t>
      </w:r>
      <w:r w:rsidRPr="00602568">
        <w:rPr>
          <w:rFonts w:cs="Arial"/>
          <w:color w:val="000000"/>
          <w:vertAlign w:val="subscript"/>
        </w:rPr>
        <w:t>2</w:t>
      </w:r>
      <w:r w:rsidRPr="00602568">
        <w:rPr>
          <w:rFonts w:cs="Arial"/>
          <w:color w:val="000000"/>
        </w:rPr>
        <w:t xml:space="preserve"> za različite vrste fosilnih goriva i različite energetske sektore izvan ETS-a;</w:t>
      </w:r>
      <w:r w:rsidR="00E223DA">
        <w:rPr>
          <w:rFonts w:cs="Arial"/>
          <w:color w:val="000000"/>
        </w:rPr>
        <w:t xml:space="preserve"> </w:t>
      </w:r>
    </w:p>
    <w:p w14:paraId="7832D68B" w14:textId="0D3A4FA9" w:rsidR="00510718" w:rsidRPr="00602568" w:rsidRDefault="00510718" w:rsidP="00840E2E">
      <w:pPr>
        <w:numPr>
          <w:ilvl w:val="0"/>
          <w:numId w:val="105"/>
        </w:numPr>
        <w:suppressAutoHyphens w:val="0"/>
        <w:spacing w:before="0"/>
        <w:rPr>
          <w:rFonts w:cs="Arial"/>
          <w:color w:val="000000"/>
        </w:rPr>
      </w:pPr>
      <w:r w:rsidRPr="00602568">
        <w:rPr>
          <w:rFonts w:cs="Arial"/>
          <w:color w:val="000000"/>
        </w:rPr>
        <w:t>uvođenje poreza umjesto naknade na emisiju CO</w:t>
      </w:r>
      <w:r w:rsidRPr="00602568">
        <w:rPr>
          <w:rFonts w:cs="Arial"/>
          <w:color w:val="000000"/>
          <w:vertAlign w:val="subscript"/>
        </w:rPr>
        <w:t>2</w:t>
      </w:r>
      <w:r w:rsidRPr="00602568">
        <w:rPr>
          <w:rFonts w:cs="Arial"/>
          <w:color w:val="000000"/>
        </w:rPr>
        <w:t xml:space="preserve"> od 2023. godine;</w:t>
      </w:r>
    </w:p>
    <w:p w14:paraId="515D8702" w14:textId="36D59C83" w:rsidR="00510718" w:rsidRDefault="00510718" w:rsidP="00840E2E">
      <w:pPr>
        <w:numPr>
          <w:ilvl w:val="0"/>
          <w:numId w:val="105"/>
        </w:numPr>
        <w:suppressAutoHyphens w:val="0"/>
        <w:spacing w:before="0"/>
        <w:rPr>
          <w:rFonts w:cs="Arial"/>
          <w:color w:val="000000"/>
        </w:rPr>
      </w:pPr>
      <w:r w:rsidRPr="00602568">
        <w:rPr>
          <w:rFonts w:cs="Arial"/>
          <w:color w:val="000000"/>
        </w:rPr>
        <w:t>godišnje ažuriranje iznosa poreza na emisiju CO</w:t>
      </w:r>
      <w:r w:rsidRPr="00602568">
        <w:rPr>
          <w:rFonts w:cs="Arial"/>
          <w:color w:val="000000"/>
          <w:vertAlign w:val="subscript"/>
        </w:rPr>
        <w:t>2</w:t>
      </w:r>
      <w:r w:rsidRPr="00602568">
        <w:rPr>
          <w:rFonts w:cs="Arial"/>
          <w:color w:val="000000"/>
        </w:rPr>
        <w:t xml:space="preserve"> za različite vrste fosilnih goriva i različite energetske sektore izvan ETS-a</w:t>
      </w:r>
      <w:r w:rsidR="0023741B">
        <w:rPr>
          <w:rFonts w:cs="Arial"/>
          <w:color w:val="000000"/>
        </w:rPr>
        <w:t>;</w:t>
      </w:r>
    </w:p>
    <w:p w14:paraId="1F5BDB74" w14:textId="7A86F633" w:rsidR="0023741B" w:rsidRPr="00602568" w:rsidRDefault="0023741B" w:rsidP="00840E2E">
      <w:pPr>
        <w:numPr>
          <w:ilvl w:val="0"/>
          <w:numId w:val="105"/>
        </w:numPr>
        <w:suppressAutoHyphens w:val="0"/>
        <w:spacing w:before="0"/>
        <w:rPr>
          <w:rFonts w:cs="Arial"/>
          <w:color w:val="000000"/>
        </w:rPr>
      </w:pPr>
      <w:r w:rsidRPr="0023741B">
        <w:rPr>
          <w:rFonts w:cs="Arial"/>
          <w:color w:val="000000"/>
        </w:rPr>
        <w:t>održavanje i nadogradnja baze podataka Registra onečišćavanja okoliša (ROO).</w:t>
      </w:r>
    </w:p>
    <w:p w14:paraId="0D423B59" w14:textId="1B87D706" w:rsidR="00510718" w:rsidRPr="00602568" w:rsidRDefault="00510718" w:rsidP="00602568">
      <w:pPr>
        <w:suppressAutoHyphens w:val="0"/>
        <w:spacing w:before="100" w:beforeAutospacing="1" w:after="100" w:afterAutospacing="1"/>
      </w:pPr>
      <w:r w:rsidRPr="00602568">
        <w:rPr>
          <w:b/>
          <w:bCs/>
        </w:rPr>
        <w:t>Sredstva potrebna za provedbu:</w:t>
      </w:r>
      <w:r w:rsidRPr="00602568">
        <w:t xml:space="preserve"> 1</w:t>
      </w:r>
      <w:r w:rsidR="00570A3E">
        <w:t>.</w:t>
      </w:r>
      <w:r w:rsidRPr="00602568">
        <w:t>000</w:t>
      </w:r>
      <w:r w:rsidR="00570A3E">
        <w:t>.</w:t>
      </w:r>
      <w:r w:rsidRPr="00602568">
        <w:t>000 kn za studijsku analizu, pripremu nacrta podzakonskog akta i godišnje ažuriranje iznosa poreza na emisiju CO</w:t>
      </w:r>
      <w:r w:rsidRPr="00602568">
        <w:rPr>
          <w:vertAlign w:val="subscript"/>
        </w:rPr>
        <w:t>2</w:t>
      </w:r>
    </w:p>
    <w:p w14:paraId="40EB7B5B" w14:textId="7A4FC799" w:rsidR="00510718" w:rsidRPr="00602568" w:rsidRDefault="00510718" w:rsidP="00602568">
      <w:pPr>
        <w:suppressAutoHyphens w:val="0"/>
        <w:spacing w:before="100" w:beforeAutospacing="1" w:after="100" w:afterAutospacing="1"/>
      </w:pPr>
      <w:r w:rsidRPr="00602568">
        <w:rPr>
          <w:b/>
          <w:bCs/>
        </w:rPr>
        <w:t>Izvori financiranja:</w:t>
      </w:r>
      <w:r w:rsidRPr="00602568">
        <w:t xml:space="preserve"> </w:t>
      </w:r>
      <w:r w:rsidR="00FC45DD">
        <w:t>Financijska sredstva od dražbi</w:t>
      </w:r>
    </w:p>
    <w:p w14:paraId="24E82A7A" w14:textId="77777777" w:rsidR="00510718" w:rsidRPr="00602568" w:rsidRDefault="00510718" w:rsidP="00602568">
      <w:pPr>
        <w:suppressAutoHyphens w:val="0"/>
        <w:spacing w:before="100" w:beforeAutospacing="1" w:after="100" w:afterAutospacing="1"/>
      </w:pPr>
      <w:r w:rsidRPr="00602568">
        <w:rPr>
          <w:b/>
          <w:bCs/>
        </w:rPr>
        <w:t>Izvršno tijelo:</w:t>
      </w:r>
      <w:r w:rsidRPr="00602568">
        <w:t xml:space="preserve"> MZOE</w:t>
      </w:r>
    </w:p>
    <w:p w14:paraId="79B24AAE" w14:textId="77777777" w:rsidR="00510718" w:rsidRPr="00602568" w:rsidRDefault="00510718" w:rsidP="00602568">
      <w:pPr>
        <w:suppressAutoHyphens w:val="0"/>
        <w:spacing w:before="100" w:beforeAutospacing="1" w:after="100" w:afterAutospacing="1"/>
      </w:pPr>
      <w:r w:rsidRPr="00602568">
        <w:rPr>
          <w:b/>
          <w:bCs/>
        </w:rPr>
        <w:t>Tijela za praćenje (nadzor):</w:t>
      </w:r>
      <w:r w:rsidRPr="00602568">
        <w:t xml:space="preserve"> MZOE</w:t>
      </w:r>
    </w:p>
    <w:p w14:paraId="47E7F689" w14:textId="77777777" w:rsidR="00510718" w:rsidRPr="00602568" w:rsidRDefault="00510718" w:rsidP="00602568">
      <w:pPr>
        <w:suppressAutoHyphens w:val="0"/>
        <w:spacing w:before="100" w:beforeAutospacing="1" w:after="100" w:afterAutospacing="1"/>
      </w:pPr>
      <w:r w:rsidRPr="00602568">
        <w:rPr>
          <w:b/>
          <w:bCs/>
        </w:rPr>
        <w:t>Učinak:</w:t>
      </w:r>
      <w:r w:rsidRPr="00602568">
        <w:t xml:space="preserve"> Smanjenje korištenja fosilnih goriva i posljedično smanjenje emisije CO</w:t>
      </w:r>
      <w:r w:rsidRPr="00602568">
        <w:rPr>
          <w:vertAlign w:val="subscript"/>
        </w:rPr>
        <w:t>2</w:t>
      </w:r>
      <w:r w:rsidRPr="00602568">
        <w:t xml:space="preserve"> i ostalih stakleničkih plinova. </w:t>
      </w:r>
    </w:p>
    <w:p w14:paraId="28E9D364" w14:textId="77777777" w:rsidR="00510718" w:rsidRPr="00602568" w:rsidRDefault="00510718" w:rsidP="00602568">
      <w:pPr>
        <w:suppressAutoHyphens w:val="0"/>
        <w:spacing w:before="100" w:beforeAutospacing="1" w:after="100" w:afterAutospacing="1"/>
      </w:pPr>
      <w:r w:rsidRPr="00602568">
        <w:rPr>
          <w:b/>
          <w:bCs/>
        </w:rPr>
        <w:t>Metoda praćenja:</w:t>
      </w:r>
      <w:r w:rsidRPr="00602568">
        <w:t xml:space="preserve"> /</w:t>
      </w:r>
    </w:p>
    <w:p w14:paraId="2D5F7334" w14:textId="77777777" w:rsidR="00510718" w:rsidRPr="00602568" w:rsidRDefault="00510718" w:rsidP="00602568">
      <w:pPr>
        <w:suppressAutoHyphens w:val="0"/>
        <w:spacing w:before="100" w:beforeAutospacing="1" w:after="100" w:afterAutospacing="1"/>
      </w:pPr>
      <w:r w:rsidRPr="00602568">
        <w:rPr>
          <w:b/>
          <w:bCs/>
        </w:rPr>
        <w:lastRenderedPageBreak/>
        <w:t>Povezanost s drugim dimenzijama:</w:t>
      </w:r>
      <w:r w:rsidRPr="00602568">
        <w:t xml:space="preserve"> Porezom na emisiju CO</w:t>
      </w:r>
      <w:r w:rsidRPr="00602568">
        <w:rPr>
          <w:vertAlign w:val="subscript"/>
        </w:rPr>
        <w:t>2</w:t>
      </w:r>
      <w:r w:rsidRPr="00602568">
        <w:t xml:space="preserve"> se destimulira korištenje fosilnih goriva, što je neizravno povezano s korištenjem OIE (dekarbonizacija) i povećanjem energetske učinkovitosti.</w:t>
      </w:r>
    </w:p>
    <w:p w14:paraId="41D35D7E" w14:textId="77777777" w:rsidR="00510718" w:rsidRPr="00602568" w:rsidRDefault="00510718" w:rsidP="00602568">
      <w:pPr>
        <w:suppressAutoHyphens w:val="0"/>
        <w:spacing w:before="100" w:beforeAutospacing="1" w:after="100" w:afterAutospacing="1"/>
      </w:pPr>
      <w:r w:rsidRPr="00602568">
        <w:rPr>
          <w:b/>
          <w:bCs/>
        </w:rPr>
        <w:t>Povezanost s prilagodbom klimatskim promjenama:</w:t>
      </w:r>
      <w:r w:rsidRPr="00602568">
        <w:t xml:space="preserve"> Mjera nije povezana s prilagodbom klimatskim promjenama.</w:t>
      </w:r>
    </w:p>
    <w:p w14:paraId="67F5E7BA" w14:textId="65CEBFA2" w:rsidR="00510718" w:rsidRPr="00602568" w:rsidRDefault="00510718" w:rsidP="00602568">
      <w:pPr>
        <w:suppressAutoHyphens w:val="0"/>
        <w:spacing w:before="100" w:beforeAutospacing="1" w:after="100" w:afterAutospacing="1"/>
      </w:pPr>
      <w:r w:rsidRPr="00602568">
        <w:rPr>
          <w:b/>
          <w:bCs/>
        </w:rPr>
        <w:t>Istraživanje i razvoj:</w:t>
      </w:r>
      <w:r w:rsidRPr="00602568">
        <w:t xml:space="preserve"> Istraživanje će se provesti u pripremnim studijskim analizama.</w:t>
      </w:r>
    </w:p>
    <w:p w14:paraId="48BD9EE1" w14:textId="77777777" w:rsidR="00AE261B" w:rsidRPr="004776B9" w:rsidRDefault="00AE261B" w:rsidP="00602568">
      <w:pPr>
        <w:suppressAutoHyphens w:val="0"/>
        <w:spacing w:before="100" w:beforeAutospacing="1" w:after="100" w:afterAutospacing="1"/>
        <w:ind w:left="147"/>
      </w:pPr>
    </w:p>
    <w:p w14:paraId="13CDBDFC" w14:textId="61A92800" w:rsidR="00592986" w:rsidRPr="00840E2E" w:rsidRDefault="00592986" w:rsidP="00602568">
      <w:pPr>
        <w:suppressAutoHyphens w:val="0"/>
        <w:spacing w:before="100" w:beforeAutospacing="1" w:after="100" w:afterAutospacing="1"/>
        <w:rPr>
          <w:b/>
          <w:bCs/>
          <w:u w:val="single"/>
        </w:rPr>
      </w:pPr>
      <w:r w:rsidRPr="00840E2E">
        <w:rPr>
          <w:b/>
          <w:bCs/>
          <w:u w:val="single"/>
        </w:rPr>
        <w:t>MS-</w:t>
      </w:r>
      <w:r w:rsidR="000B3166" w:rsidRPr="00840E2E">
        <w:rPr>
          <w:b/>
          <w:bCs/>
          <w:u w:val="single"/>
        </w:rPr>
        <w:t>6</w:t>
      </w:r>
      <w:r w:rsidRPr="00840E2E">
        <w:rPr>
          <w:b/>
          <w:bCs/>
          <w:u w:val="single"/>
        </w:rPr>
        <w:t xml:space="preserve">: Sporazum gradonačelnika za klimu i energiju u Republici Hrvatskoj </w:t>
      </w:r>
    </w:p>
    <w:p w14:paraId="56FE19F4" w14:textId="77777777" w:rsidR="00592986" w:rsidRPr="00602568" w:rsidRDefault="00592986" w:rsidP="00602568">
      <w:pPr>
        <w:suppressAutoHyphens w:val="0"/>
        <w:spacing w:before="100" w:beforeAutospacing="1" w:after="100" w:afterAutospacing="1"/>
        <w:rPr>
          <w:b/>
          <w:bCs/>
        </w:rPr>
      </w:pPr>
      <w:r w:rsidRPr="00602568">
        <w:rPr>
          <w:b/>
          <w:bCs/>
        </w:rPr>
        <w:t>Organizacijska mjera; provedba 2021.-2030.</w:t>
      </w:r>
    </w:p>
    <w:p w14:paraId="5F329E71" w14:textId="77777777" w:rsidR="00592986" w:rsidRPr="00602568" w:rsidRDefault="00592986" w:rsidP="00602568">
      <w:pPr>
        <w:suppressAutoHyphens w:val="0"/>
        <w:spacing w:before="100" w:beforeAutospacing="1" w:after="100" w:afterAutospacing="1"/>
      </w:pPr>
      <w:r w:rsidRPr="00602568">
        <w:rPr>
          <w:b/>
          <w:bCs/>
        </w:rPr>
        <w:t>Cilj i opis mjere:</w:t>
      </w:r>
      <w:r w:rsidRPr="00602568">
        <w:t xml:space="preserve"> Europski sporazum gradonačelnika za klimu i energiju okuplja više od 9,5 tisuća tijela lokalne i regionalne vlasti u 59 zemalja koja su se dobrovoljno posvetila provedbi ciljeva Europske unije za klimu i energiju koristeći prednosti pokreta koji ujedinjuje brojne dionike širom svijeta te metodološku i tehničku potporu koju pružaju nadležni uredi. Potpisnici Sporazuma podržavaju zajedničku viziju za 2050. godinu: ubrzavanje dekarbonizacije njihovih teritorija, osnaživanje kapaciteta za prilagodbu na neizbježan utjecaj klimatskih promjena te omogućavanje građanima pristup sigurnoj, održivoj i povoljnoj energiji. Gradovi potpisnici obvezuju se na djelovanje koje će podržati smanjenje emisije stakleničkih plinova za 40 % do 2030. godine te usvajanje zajedničkog pristupa rješavanju ublažavanja i prilagodbe na klimatske promjene. Kako bi svoj politički angažman prenijeli iz teorije u praktične mjere i projekte, potpisnici Sporazuma obvezuju se na dostavljanje Akcijskog plana energetski i klimatski održivog razvitka (SECAP). Ovu inicijativu je u RH prihvatilo 82 grada i općine, tako da je Sporazumom gradonačelnika obuhvaćeno preko 2 milijuna stanovnika u RH.</w:t>
      </w:r>
    </w:p>
    <w:p w14:paraId="5F8AB8B5" w14:textId="77777777" w:rsidR="00592986" w:rsidRPr="00602568" w:rsidRDefault="00592986" w:rsidP="00602568">
      <w:pPr>
        <w:suppressAutoHyphens w:val="0"/>
        <w:spacing w:before="100" w:beforeAutospacing="1" w:after="100" w:afterAutospacing="1"/>
      </w:pPr>
      <w:r w:rsidRPr="00602568">
        <w:rPr>
          <w:b/>
          <w:bCs/>
        </w:rPr>
        <w:t>Aktivnosti:</w:t>
      </w:r>
      <w:r w:rsidRPr="00602568">
        <w:t xml:space="preserve"> U okviru mjere provest će se: </w:t>
      </w:r>
    </w:p>
    <w:p w14:paraId="67DCD723" w14:textId="2D9E813E" w:rsidR="00592986" w:rsidRPr="00602568" w:rsidRDefault="00592986" w:rsidP="00840E2E">
      <w:pPr>
        <w:numPr>
          <w:ilvl w:val="0"/>
          <w:numId w:val="105"/>
        </w:numPr>
        <w:suppressAutoHyphens w:val="0"/>
        <w:spacing w:before="0"/>
        <w:rPr>
          <w:rFonts w:cs="Arial"/>
          <w:color w:val="000000"/>
        </w:rPr>
      </w:pPr>
      <w:r w:rsidRPr="00602568">
        <w:rPr>
          <w:rFonts w:cs="Arial"/>
          <w:color w:val="000000"/>
        </w:rPr>
        <w:t>Izrada Akcijskih planova energetski i klimatski održivog razvitka (SECAP) za gradove i općine potpisnice Sporazuma gradonačelnika te usvajanje zajedničkog pristupa rješavanju ublažavanja i prilagodbe na klimatske promjene, u roku od dvije godine od pristupanja Sporazumu;</w:t>
      </w:r>
    </w:p>
    <w:p w14:paraId="1E363C53" w14:textId="317065BD" w:rsidR="00592986" w:rsidRDefault="00592986" w:rsidP="00840E2E">
      <w:pPr>
        <w:numPr>
          <w:ilvl w:val="0"/>
          <w:numId w:val="105"/>
        </w:numPr>
        <w:suppressAutoHyphens w:val="0"/>
        <w:spacing w:before="0"/>
        <w:rPr>
          <w:rFonts w:cs="Arial"/>
          <w:color w:val="000000"/>
        </w:rPr>
      </w:pPr>
      <w:r w:rsidRPr="00602568">
        <w:rPr>
          <w:rFonts w:cs="Arial"/>
          <w:color w:val="000000"/>
        </w:rPr>
        <w:t>Praćenje napretka u ostvarivanju cilja postavljenog u SECAP-u od najmanje 40 % smanjenja emisije stakleničkih plinova (izvještavanje o napretku provedbe plana svake dvije godine)</w:t>
      </w:r>
      <w:r w:rsidR="0017625F">
        <w:rPr>
          <w:rFonts w:cs="Arial"/>
          <w:color w:val="000000"/>
        </w:rPr>
        <w:t>;</w:t>
      </w:r>
    </w:p>
    <w:p w14:paraId="27394F16" w14:textId="1A26FE2A" w:rsidR="0017625F" w:rsidRDefault="0017625F" w:rsidP="00840E2E">
      <w:pPr>
        <w:numPr>
          <w:ilvl w:val="0"/>
          <w:numId w:val="105"/>
        </w:numPr>
        <w:suppressAutoHyphens w:val="0"/>
        <w:spacing w:before="0"/>
        <w:rPr>
          <w:rFonts w:cs="Arial"/>
          <w:color w:val="000000"/>
        </w:rPr>
      </w:pPr>
      <w:r>
        <w:rPr>
          <w:rFonts w:cs="Arial"/>
          <w:color w:val="000000"/>
        </w:rPr>
        <w:t xml:space="preserve">Usklađivanje praćenja i provedbe aktivnosti predviđenih u pojedinim SECAP-ima te u okviru </w:t>
      </w:r>
      <w:r w:rsidR="009C3DF7">
        <w:rPr>
          <w:rFonts w:cs="Arial"/>
          <w:color w:val="000000"/>
        </w:rPr>
        <w:t>Integriranog energetskog i klimatksog plana</w:t>
      </w:r>
      <w:r>
        <w:rPr>
          <w:rFonts w:cs="Arial"/>
          <w:color w:val="000000"/>
        </w:rPr>
        <w:t>;</w:t>
      </w:r>
    </w:p>
    <w:p w14:paraId="71DC3064" w14:textId="207CD200" w:rsidR="0017625F" w:rsidRPr="0017625F" w:rsidRDefault="0017625F" w:rsidP="00840E2E">
      <w:pPr>
        <w:numPr>
          <w:ilvl w:val="0"/>
          <w:numId w:val="105"/>
        </w:numPr>
        <w:suppressAutoHyphens w:val="0"/>
        <w:spacing w:before="0"/>
        <w:rPr>
          <w:rFonts w:cs="Arial"/>
          <w:color w:val="000000"/>
        </w:rPr>
      </w:pPr>
      <w:r>
        <w:rPr>
          <w:rFonts w:cs="Arial"/>
          <w:color w:val="000000"/>
        </w:rPr>
        <w:t xml:space="preserve">Korištenje podataka o provedenim aktivnostima i projektima u okviru pojedinih SECAP-ova prilikom svake sljedeće revizije </w:t>
      </w:r>
      <w:r w:rsidR="00F573F6">
        <w:rPr>
          <w:rFonts w:cs="Arial"/>
          <w:color w:val="000000"/>
        </w:rPr>
        <w:t>Integriranog energetskog i klimatskog plana</w:t>
      </w:r>
      <w:r>
        <w:rPr>
          <w:rFonts w:cs="Arial"/>
          <w:color w:val="000000"/>
        </w:rPr>
        <w:t>.</w:t>
      </w:r>
    </w:p>
    <w:p w14:paraId="21B4F121" w14:textId="77777777" w:rsidR="00592986" w:rsidRPr="00602568" w:rsidRDefault="00592986" w:rsidP="00602568">
      <w:pPr>
        <w:suppressAutoHyphens w:val="0"/>
        <w:spacing w:before="100" w:beforeAutospacing="1" w:after="100" w:afterAutospacing="1"/>
      </w:pPr>
      <w:r w:rsidRPr="00602568">
        <w:rPr>
          <w:b/>
          <w:bCs/>
        </w:rPr>
        <w:t>Sredstva potrebna za provedbu:</w:t>
      </w:r>
      <w:r w:rsidRPr="00602568">
        <w:t xml:space="preserve"> /</w:t>
      </w:r>
    </w:p>
    <w:p w14:paraId="35934293" w14:textId="77777777" w:rsidR="00592986" w:rsidRPr="00602568" w:rsidRDefault="00592986" w:rsidP="00602568">
      <w:pPr>
        <w:suppressAutoHyphens w:val="0"/>
        <w:spacing w:before="100" w:beforeAutospacing="1" w:after="100" w:afterAutospacing="1"/>
      </w:pPr>
      <w:r w:rsidRPr="00602568">
        <w:rPr>
          <w:b/>
          <w:bCs/>
        </w:rPr>
        <w:lastRenderedPageBreak/>
        <w:t>Izvori financiranja:</w:t>
      </w:r>
      <w:r w:rsidRPr="00602568">
        <w:t xml:space="preserve"> Proračun gradova i općina</w:t>
      </w:r>
    </w:p>
    <w:p w14:paraId="6D6DD518" w14:textId="77777777" w:rsidR="00592986" w:rsidRPr="00602568" w:rsidRDefault="00592986" w:rsidP="00602568">
      <w:pPr>
        <w:suppressAutoHyphens w:val="0"/>
        <w:spacing w:before="100" w:beforeAutospacing="1" w:after="100" w:afterAutospacing="1"/>
      </w:pPr>
      <w:r w:rsidRPr="00602568">
        <w:rPr>
          <w:b/>
          <w:bCs/>
        </w:rPr>
        <w:t>Izvršno tijelo:</w:t>
      </w:r>
      <w:r w:rsidRPr="00602568">
        <w:t xml:space="preserve"> Gradovi i općine</w:t>
      </w:r>
    </w:p>
    <w:p w14:paraId="2994F5CD" w14:textId="3FFBC00D" w:rsidR="00592986" w:rsidRPr="00602568" w:rsidRDefault="00592986" w:rsidP="00602568">
      <w:pPr>
        <w:suppressAutoHyphens w:val="0"/>
        <w:spacing w:before="100" w:beforeAutospacing="1" w:after="100" w:afterAutospacing="1"/>
      </w:pPr>
      <w:r w:rsidRPr="00602568">
        <w:rPr>
          <w:b/>
          <w:bCs/>
        </w:rPr>
        <w:t>Tijela za praćenje (nadzor):</w:t>
      </w:r>
      <w:r w:rsidRPr="00602568">
        <w:t xml:space="preserve"> Sporazum gradonačelnika</w:t>
      </w:r>
      <w:r w:rsidR="00E029D8">
        <w:t>, MZOE</w:t>
      </w:r>
    </w:p>
    <w:p w14:paraId="52A68B85" w14:textId="77777777" w:rsidR="00592986" w:rsidRPr="00602568" w:rsidRDefault="00592986" w:rsidP="00602568">
      <w:pPr>
        <w:suppressAutoHyphens w:val="0"/>
        <w:spacing w:before="100" w:beforeAutospacing="1" w:after="100" w:afterAutospacing="1"/>
      </w:pPr>
      <w:r w:rsidRPr="00602568">
        <w:rPr>
          <w:b/>
          <w:bCs/>
        </w:rPr>
        <w:t>Učinak:</w:t>
      </w:r>
      <w:r w:rsidRPr="00602568">
        <w:t xml:space="preserve"> Smanjenje energetske potrošnje i emisija stakleničkih plinova</w:t>
      </w:r>
    </w:p>
    <w:p w14:paraId="5A43432F" w14:textId="7D846757" w:rsidR="00592986" w:rsidRPr="00602568" w:rsidRDefault="00592986" w:rsidP="00602568">
      <w:pPr>
        <w:suppressAutoHyphens w:val="0"/>
        <w:spacing w:before="100" w:beforeAutospacing="1" w:after="100" w:afterAutospacing="1"/>
      </w:pPr>
      <w:r w:rsidRPr="00602568">
        <w:rPr>
          <w:b/>
          <w:bCs/>
        </w:rPr>
        <w:t>Metoda praćenja:</w:t>
      </w:r>
      <w:r w:rsidRPr="00602568">
        <w:t xml:space="preserve"> Broj opći</w:t>
      </w:r>
      <w:r w:rsidR="00440653">
        <w:t>n</w:t>
      </w:r>
      <w:r w:rsidRPr="00602568">
        <w:t xml:space="preserve">a i gradova potpisnika Sporazuma, broj izrađenih SECAP-ova, izvješća o </w:t>
      </w:r>
      <w:r w:rsidR="0024251A" w:rsidRPr="00602568">
        <w:t>napret</w:t>
      </w:r>
      <w:r w:rsidR="0024251A">
        <w:t>ku</w:t>
      </w:r>
      <w:r w:rsidR="0024251A" w:rsidRPr="00602568">
        <w:t xml:space="preserve"> </w:t>
      </w:r>
      <w:r w:rsidRPr="00602568">
        <w:t xml:space="preserve">u provedbi plana na razini općine ili grada. </w:t>
      </w:r>
    </w:p>
    <w:p w14:paraId="6175420E" w14:textId="77777777" w:rsidR="00592986" w:rsidRPr="00602568" w:rsidRDefault="00592986" w:rsidP="00602568">
      <w:pPr>
        <w:suppressAutoHyphens w:val="0"/>
        <w:spacing w:before="100" w:beforeAutospacing="1" w:after="100" w:afterAutospacing="1"/>
      </w:pPr>
      <w:r w:rsidRPr="00602568">
        <w:rPr>
          <w:b/>
          <w:bCs/>
        </w:rPr>
        <w:t>Povezanost s drugim dimenzijama:</w:t>
      </w:r>
      <w:r w:rsidRPr="00602568">
        <w:t xml:space="preserve"> Sporazumom gradonačelnika se potiče primjena obnovljivih izvora energije (dekarbonizacija) i povećanje energetske učinkovitosti, u cilju smanjenja emisije stakleničkih plinova.</w:t>
      </w:r>
    </w:p>
    <w:p w14:paraId="6A740713" w14:textId="77777777" w:rsidR="00592986" w:rsidRPr="00602568" w:rsidRDefault="00592986" w:rsidP="00602568">
      <w:pPr>
        <w:suppressAutoHyphens w:val="0"/>
        <w:spacing w:before="100" w:beforeAutospacing="1" w:after="100" w:afterAutospacing="1"/>
      </w:pPr>
      <w:r w:rsidRPr="00602568">
        <w:rPr>
          <w:b/>
          <w:bCs/>
        </w:rPr>
        <w:t>Povezanost s prilagodbom klimatskim promjenama:</w:t>
      </w:r>
      <w:r w:rsidRPr="00602568">
        <w:t xml:space="preserve"> Prilagodba klimatskim promjenama te procjena rizika i ranjivosti gradova i općina na klimatske promjene su dio SECAP-a.</w:t>
      </w:r>
    </w:p>
    <w:p w14:paraId="5DEA5AFF" w14:textId="442A1C31" w:rsidR="00592986" w:rsidRPr="00602568" w:rsidRDefault="00592986" w:rsidP="00602568">
      <w:pPr>
        <w:spacing w:before="100" w:beforeAutospacing="1" w:after="100" w:afterAutospacing="1"/>
      </w:pPr>
      <w:r w:rsidRPr="00602568">
        <w:rPr>
          <w:b/>
          <w:bCs/>
        </w:rPr>
        <w:t>Istraživanje i razvoj:</w:t>
      </w:r>
      <w:r w:rsidRPr="00602568">
        <w:t xml:space="preserve"> Mjera je neizravno povezana s istraživanjem i razvojem te inovativnim mjerama za smanjenje emisije stakleničkih plinova.</w:t>
      </w:r>
    </w:p>
    <w:p w14:paraId="785375EE" w14:textId="51976914" w:rsidR="00592986" w:rsidRDefault="00592986" w:rsidP="00602568">
      <w:pPr>
        <w:spacing w:before="100" w:beforeAutospacing="1" w:after="100" w:afterAutospacing="1"/>
      </w:pPr>
    </w:p>
    <w:p w14:paraId="47B694BF" w14:textId="4107E50F" w:rsidR="002F27BF" w:rsidRPr="00840E2E" w:rsidRDefault="002F27BF" w:rsidP="002F27BF">
      <w:pPr>
        <w:spacing w:before="100" w:beforeAutospacing="1" w:after="100" w:afterAutospacing="1"/>
        <w:rPr>
          <w:b/>
          <w:u w:val="single"/>
        </w:rPr>
      </w:pPr>
      <w:r>
        <w:rPr>
          <w:b/>
          <w:u w:val="single"/>
        </w:rPr>
        <w:t>MS-7</w:t>
      </w:r>
      <w:r w:rsidRPr="00840E2E">
        <w:rPr>
          <w:b/>
          <w:u w:val="single"/>
        </w:rPr>
        <w:t xml:space="preserve">: </w:t>
      </w:r>
      <w:r w:rsidRPr="002F27BF">
        <w:rPr>
          <w:b/>
          <w:u w:val="single"/>
        </w:rPr>
        <w:t>Povelja o suradnji u cilju dekarbonizacije zgrada do 2050.</w:t>
      </w:r>
    </w:p>
    <w:p w14:paraId="42753ECD" w14:textId="10441C33" w:rsidR="002F27BF" w:rsidRPr="00286B4C" w:rsidRDefault="002F27BF" w:rsidP="002F27BF">
      <w:pPr>
        <w:spacing w:before="100" w:beforeAutospacing="1" w:after="100" w:afterAutospacing="1"/>
        <w:rPr>
          <w:b/>
        </w:rPr>
      </w:pPr>
      <w:r w:rsidRPr="002F27BF">
        <w:rPr>
          <w:b/>
        </w:rPr>
        <w:t>Informativna, obrazovna, regulatorna mjera</w:t>
      </w:r>
      <w:r>
        <w:rPr>
          <w:b/>
        </w:rPr>
        <w:t xml:space="preserve">; </w:t>
      </w:r>
      <w:r w:rsidRPr="00286B4C">
        <w:rPr>
          <w:b/>
        </w:rPr>
        <w:t>provedba 2021.-2030.</w:t>
      </w:r>
    </w:p>
    <w:p w14:paraId="38A70200" w14:textId="3A4E392C" w:rsidR="002F27BF" w:rsidRDefault="002F27BF" w:rsidP="002F27BF">
      <w:pPr>
        <w:spacing w:before="100" w:beforeAutospacing="1" w:after="100" w:afterAutospacing="1"/>
      </w:pPr>
      <w:r w:rsidRPr="00602568">
        <w:rPr>
          <w:b/>
        </w:rPr>
        <w:t>Cilj i opis mjere:</w:t>
      </w:r>
      <w:r w:rsidRPr="00602568">
        <w:t xml:space="preserve"> </w:t>
      </w:r>
      <w:r w:rsidRPr="002F27BF">
        <w:t>Povelja o suradnji u cilju dekarbonizacije zgrada do 2050., koju je pokrenulo</w:t>
      </w:r>
      <w:r w:rsidR="00622DB1">
        <w:t xml:space="preserve"> </w:t>
      </w:r>
      <w:r w:rsidRPr="002F27BF">
        <w:t>Ministarstvo graditeljstva i prostornoga uređenja, a kojom se podržava EU vizij</w:t>
      </w:r>
      <w:r>
        <w:t>a</w:t>
      </w:r>
      <w:r w:rsidRPr="002F27BF">
        <w:t xml:space="preserve"> dekarbonizacije zgrada do 2050. godine</w:t>
      </w:r>
      <w:r>
        <w:t xml:space="preserve">, </w:t>
      </w:r>
      <w:r w:rsidRPr="002F27BF">
        <w:t>pokrenuta</w:t>
      </w:r>
      <w:r>
        <w:t xml:space="preserve"> je</w:t>
      </w:r>
      <w:r w:rsidRPr="002F27BF">
        <w:t xml:space="preserve"> zbog bolje međuresorne komunikacije i suradnje između tijela državne uprave i </w:t>
      </w:r>
      <w:r>
        <w:t>privatnog</w:t>
      </w:r>
      <w:r w:rsidRPr="002F27BF">
        <w:t xml:space="preserve"> sektora. Cilj je putem radionica i Otvorenog dijaloga partnera stvoriti široku mrežu povezanih stručnjaka koji su spremni na dijalog i doprinos dekarbonizaciji fonda</w:t>
      </w:r>
      <w:r w:rsidR="00622DB1">
        <w:t xml:space="preserve"> </w:t>
      </w:r>
      <w:r w:rsidRPr="002F27BF">
        <w:t>zgrada do 2050. godine. Otvoreni dijalozi partnera okupljaju predstavnike državne i lokalne uprave, akademske zajednice i stručne javnosti, građevinskog i energetskog sektora te pratećih industrija na tematskim radionicama koje organizira Ministarstva graditeljstva i prostornoga uređenja. Sadržaj povelje odnosi se na postizanje energetskih i klimatskih ciljeva na nacionalnoj i EU razini kroz dekarbonizaciju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dekarbonizaciju gospodarstva. Potpisivanjem povelje potiče se kontinuirana suradnja na izradi Dugoročne strategije obnove nacionalnog fonda zgrada i prelazak na standard gradnje zgrada gotovo nulte energije (nZEB). Potpisnici Povelje pružaju potporu te promiču dekarbonizaciju zgrada u svojim daljnjim aktivnostima, gdje god je to moguće.</w:t>
      </w:r>
    </w:p>
    <w:p w14:paraId="1DFE8164" w14:textId="77777777" w:rsidR="002F27BF" w:rsidRPr="00602568" w:rsidRDefault="002F27BF" w:rsidP="00602568">
      <w:pPr>
        <w:spacing w:before="100" w:beforeAutospacing="1" w:after="100" w:afterAutospacing="1"/>
      </w:pPr>
    </w:p>
    <w:p w14:paraId="021943C6" w14:textId="7D888A5D" w:rsidR="00534D61" w:rsidRPr="00840E2E" w:rsidRDefault="004506FD" w:rsidP="00602568">
      <w:pPr>
        <w:spacing w:before="100" w:beforeAutospacing="1" w:after="100" w:afterAutospacing="1"/>
        <w:rPr>
          <w:b/>
          <w:u w:val="single"/>
        </w:rPr>
      </w:pPr>
      <w:r>
        <w:rPr>
          <w:b/>
          <w:u w:val="single"/>
        </w:rPr>
        <w:t>MS-8</w:t>
      </w:r>
      <w:r w:rsidR="00534D61" w:rsidRPr="00840E2E">
        <w:rPr>
          <w:b/>
          <w:u w:val="single"/>
        </w:rPr>
        <w:t xml:space="preserve">: </w:t>
      </w:r>
      <w:r w:rsidR="00D049A1" w:rsidRPr="00840E2E">
        <w:rPr>
          <w:b/>
          <w:u w:val="single"/>
        </w:rPr>
        <w:t>Uspostava platforme</w:t>
      </w:r>
      <w:r w:rsidR="00534D61" w:rsidRPr="00840E2E">
        <w:rPr>
          <w:b/>
          <w:u w:val="single"/>
        </w:rPr>
        <w:t xml:space="preserve"> za</w:t>
      </w:r>
      <w:r w:rsidR="001F14AC" w:rsidRPr="00840E2E">
        <w:rPr>
          <w:b/>
          <w:u w:val="single"/>
        </w:rPr>
        <w:t xml:space="preserve"> prikupljanje, uporabu i </w:t>
      </w:r>
      <w:r w:rsidR="00534D61" w:rsidRPr="00840E2E">
        <w:rPr>
          <w:b/>
          <w:u w:val="single"/>
        </w:rPr>
        <w:t>skladištenje CO</w:t>
      </w:r>
      <w:r w:rsidR="00534D61" w:rsidRPr="00840E2E">
        <w:rPr>
          <w:b/>
          <w:u w:val="single"/>
          <w:vertAlign w:val="subscript"/>
        </w:rPr>
        <w:t>2</w:t>
      </w:r>
      <w:r w:rsidR="00534D61" w:rsidRPr="00840E2E">
        <w:rPr>
          <w:b/>
          <w:u w:val="single"/>
        </w:rPr>
        <w:t xml:space="preserve"> </w:t>
      </w:r>
    </w:p>
    <w:p w14:paraId="753153EA" w14:textId="77777777" w:rsidR="006665A1" w:rsidRPr="00286B4C" w:rsidRDefault="006665A1" w:rsidP="006665A1">
      <w:pPr>
        <w:spacing w:before="100" w:beforeAutospacing="1" w:after="100" w:afterAutospacing="1"/>
        <w:rPr>
          <w:b/>
        </w:rPr>
      </w:pPr>
      <w:r w:rsidRPr="00286B4C">
        <w:rPr>
          <w:b/>
        </w:rPr>
        <w:t xml:space="preserve">Istraživačko-analitička mjera; </w:t>
      </w:r>
      <w:r>
        <w:rPr>
          <w:b/>
        </w:rPr>
        <w:t xml:space="preserve">Financijska mjera; </w:t>
      </w:r>
      <w:r w:rsidRPr="00286B4C">
        <w:rPr>
          <w:b/>
        </w:rPr>
        <w:t>provedba 2021.-2030.</w:t>
      </w:r>
    </w:p>
    <w:p w14:paraId="006D2C9A" w14:textId="374D4353" w:rsidR="006665A1" w:rsidRDefault="006665A1" w:rsidP="006665A1">
      <w:pPr>
        <w:spacing w:before="100" w:beforeAutospacing="1" w:after="100" w:afterAutospacing="1"/>
      </w:pPr>
      <w:r w:rsidRPr="00602568">
        <w:rPr>
          <w:b/>
        </w:rPr>
        <w:t>Cilj i opis mjere:</w:t>
      </w:r>
      <w:r w:rsidRPr="00602568">
        <w:t xml:space="preserve"> Tehnologija sakupljanja i pohrane ugljika za velike izvore emisije još nije komercijalno dostupna. Prema Direktivi 2009/31/EC o geološkoj pohrani ugljikovog dioksida, odnosno članku 36. Direktive 2010/75/EU o industrijskim emisijama, za elektrane kapaciteta većih od 300 MW koje su dobile građevinsku dozvolu nakon stupanja na snagu Direktive 2009/31/EK o geološkoj pohrani ugljikovog dioksida, potrebno je ocijeniti jesu li zadovoljeni sljedeći uvjeti: a) dostupnost prikladne lokacije za pohranu, b) tehnička i ekonomska izvedivost transportnih postrojenja i c) tehnička i ekonomska izvedivost nadogradnje postrojenja za izdvajanje i sakupljanje CO</w:t>
      </w:r>
      <w:r w:rsidRPr="00602568">
        <w:rPr>
          <w:vertAlign w:val="subscript"/>
        </w:rPr>
        <w:t>2</w:t>
      </w:r>
      <w:r w:rsidRPr="00602568">
        <w:t>. Ako su ovi uvjeti zadovoljeni, nadležno tijelo mora osigurati na mjestu postrojenja odgovarajući prostor za opremu za hvatanje i komprimiranje izvučenog CO</w:t>
      </w:r>
      <w:r w:rsidRPr="00602568">
        <w:rPr>
          <w:vertAlign w:val="subscript"/>
        </w:rPr>
        <w:t>2</w:t>
      </w:r>
      <w:r w:rsidRPr="00602568">
        <w:t xml:space="preserve">. </w:t>
      </w:r>
      <w:r>
        <w:t>Zakonodavno je to obuhvaćeno Zakonom o istraživanju i eksploataciji ugljikovodika (</w:t>
      </w:r>
      <w:r w:rsidRPr="000210D5">
        <w:t>NN 52/18, 52/19</w:t>
      </w:r>
      <w:r>
        <w:t xml:space="preserve">) koji omogućuje skladištenje </w:t>
      </w:r>
      <w:r w:rsidRPr="00602568">
        <w:t>CO</w:t>
      </w:r>
      <w:r w:rsidRPr="00602568">
        <w:rPr>
          <w:vertAlign w:val="subscript"/>
        </w:rPr>
        <w:t>2</w:t>
      </w:r>
      <w:r>
        <w:t xml:space="preserve"> na prostoru Republike Hrvatske. Ova metoda se treba još dodatno razviti te se trebaju razmotriti potencijali i mogućnosti za ovu tehnologiju</w:t>
      </w:r>
      <w:r w:rsidRPr="000210D5">
        <w:t xml:space="preserve"> </w:t>
      </w:r>
      <w:r>
        <w:t xml:space="preserve">na razini države. U skladu s navedenim planira se izrada </w:t>
      </w:r>
      <w:r>
        <w:rPr>
          <w:rFonts w:cs="Arial"/>
          <w:color w:val="000000"/>
        </w:rPr>
        <w:t xml:space="preserve">studije procjene skladišnih kapaciteta, ali i </w:t>
      </w:r>
      <w:r w:rsidRPr="00602568">
        <w:t>izrada Nacionalne studije izvodljivosti s akcijskim planom za pripremne aktivnosti za projekte</w:t>
      </w:r>
      <w:r w:rsidR="00AD5EE7">
        <w:t xml:space="preserve"> </w:t>
      </w:r>
      <w:r w:rsidR="00661429">
        <w:t>prikupljanja i skladištenja ugljika</w:t>
      </w:r>
      <w:r w:rsidRPr="00602568">
        <w:t>. Ova će studija obuhvatiti faze hvatanj</w:t>
      </w:r>
      <w:r>
        <w:t>a</w:t>
      </w:r>
      <w:r w:rsidRPr="00602568">
        <w:t xml:space="preserve"> na izvorima emisija, transport, utiskivanje i skladištenje CO</w:t>
      </w:r>
      <w:r w:rsidRPr="00602568">
        <w:rPr>
          <w:vertAlign w:val="subscript"/>
        </w:rPr>
        <w:t>2</w:t>
      </w:r>
      <w:r w:rsidRPr="00872039">
        <w:t xml:space="preserve">, te povezanost sustava transporta </w:t>
      </w:r>
      <w:r w:rsidRPr="00602568">
        <w:t>CO</w:t>
      </w:r>
      <w:r w:rsidRPr="00602568">
        <w:rPr>
          <w:vertAlign w:val="subscript"/>
        </w:rPr>
        <w:t>2</w:t>
      </w:r>
      <w:r w:rsidRPr="00872039">
        <w:t xml:space="preserve"> s drugim EU zemljama</w:t>
      </w:r>
      <w:r w:rsidRPr="00602568">
        <w:t>.</w:t>
      </w:r>
      <w:r w:rsidR="006C5934">
        <w:t xml:space="preserve"> </w:t>
      </w:r>
    </w:p>
    <w:p w14:paraId="04ABAB9A" w14:textId="3E9C37A7" w:rsidR="00541694" w:rsidRDefault="00541694" w:rsidP="00541694">
      <w:pPr>
        <w:spacing w:before="100" w:beforeAutospacing="1" w:after="100" w:afterAutospacing="1"/>
      </w:pPr>
      <w:r>
        <w:t>Također, planira se informiranje javnosti o tehnologij</w:t>
      </w:r>
      <w:r w:rsidR="004D6C3B">
        <w:t>i</w:t>
      </w:r>
      <w:r>
        <w:t xml:space="preserve"> prikupljanja i skladištenja ugljikova dioksida</w:t>
      </w:r>
      <w:r w:rsidR="006C5934">
        <w:t>.</w:t>
      </w:r>
      <w:r>
        <w:t xml:space="preserve"> </w:t>
      </w:r>
    </w:p>
    <w:p w14:paraId="7754B555" w14:textId="77777777" w:rsidR="006665A1" w:rsidRPr="00602568" w:rsidRDefault="006665A1" w:rsidP="00840E2E">
      <w:pPr>
        <w:spacing w:before="100" w:beforeAutospacing="1" w:after="100" w:afterAutospacing="1"/>
      </w:pPr>
      <w:r w:rsidRPr="00602568">
        <w:rPr>
          <w:b/>
          <w:bCs/>
        </w:rPr>
        <w:t>Aktivnosti:</w:t>
      </w:r>
      <w:r w:rsidRPr="00602568">
        <w:t xml:space="preserve"> U okviru mjere provest će se: </w:t>
      </w:r>
    </w:p>
    <w:p w14:paraId="07BD7039" w14:textId="77777777" w:rsidR="006665A1" w:rsidRDefault="006665A1" w:rsidP="00840E2E">
      <w:pPr>
        <w:numPr>
          <w:ilvl w:val="0"/>
          <w:numId w:val="105"/>
        </w:numPr>
        <w:suppressAutoHyphens w:val="0"/>
        <w:spacing w:before="0"/>
        <w:rPr>
          <w:rFonts w:cs="Arial"/>
          <w:color w:val="000000"/>
        </w:rPr>
      </w:pPr>
      <w:r>
        <w:rPr>
          <w:rFonts w:cs="Arial"/>
          <w:color w:val="000000"/>
        </w:rPr>
        <w:t xml:space="preserve">Provedba istraživanja </w:t>
      </w:r>
      <w:r w:rsidRPr="00BA18D1">
        <w:rPr>
          <w:rFonts w:cs="Arial"/>
          <w:color w:val="000000"/>
        </w:rPr>
        <w:t xml:space="preserve">potencijala za geološko skladištenje </w:t>
      </w:r>
      <w:r w:rsidRPr="00602568">
        <w:t>CO</w:t>
      </w:r>
      <w:r w:rsidRPr="00602568">
        <w:rPr>
          <w:vertAlign w:val="subscript"/>
        </w:rPr>
        <w:t>2</w:t>
      </w:r>
      <w:r w:rsidRPr="00BA18D1">
        <w:rPr>
          <w:rFonts w:cs="Arial"/>
          <w:color w:val="000000"/>
        </w:rPr>
        <w:t xml:space="preserve"> u Republici Hrvatskoj</w:t>
      </w:r>
      <w:r w:rsidRPr="00602568">
        <w:rPr>
          <w:rFonts w:cs="Arial"/>
          <w:color w:val="000000"/>
        </w:rPr>
        <w:t>;</w:t>
      </w:r>
    </w:p>
    <w:p w14:paraId="098700C5" w14:textId="77777777" w:rsidR="006665A1" w:rsidRDefault="006665A1" w:rsidP="00840E2E">
      <w:pPr>
        <w:numPr>
          <w:ilvl w:val="0"/>
          <w:numId w:val="105"/>
        </w:numPr>
        <w:suppressAutoHyphens w:val="0"/>
        <w:spacing w:before="0"/>
        <w:rPr>
          <w:rFonts w:cs="Arial"/>
          <w:color w:val="000000"/>
        </w:rPr>
      </w:pPr>
      <w:r>
        <w:rPr>
          <w:rFonts w:cs="Arial"/>
          <w:color w:val="000000"/>
        </w:rPr>
        <w:t>Izrada/dopune studije procjene skladišnih kapaciteta koji su dostupni na području Republike Hrvatske</w:t>
      </w:r>
    </w:p>
    <w:p w14:paraId="1B3532AD" w14:textId="2A1C899E" w:rsidR="006665A1" w:rsidRDefault="006665A1" w:rsidP="00840E2E">
      <w:pPr>
        <w:numPr>
          <w:ilvl w:val="0"/>
          <w:numId w:val="105"/>
        </w:numPr>
        <w:suppressAutoHyphens w:val="0"/>
        <w:spacing w:before="0"/>
        <w:rPr>
          <w:rFonts w:cs="Arial"/>
          <w:color w:val="000000"/>
        </w:rPr>
      </w:pPr>
      <w:r>
        <w:rPr>
          <w:rFonts w:cs="Arial"/>
          <w:color w:val="000000"/>
        </w:rPr>
        <w:t xml:space="preserve">Provedba projekata </w:t>
      </w:r>
      <w:r w:rsidRPr="00BA18D1">
        <w:rPr>
          <w:rFonts w:cs="Arial"/>
          <w:color w:val="000000"/>
        </w:rPr>
        <w:t xml:space="preserve">geološkog skladištenja </w:t>
      </w:r>
      <w:r w:rsidRPr="00602568">
        <w:t>CO</w:t>
      </w:r>
      <w:r w:rsidRPr="00602568">
        <w:rPr>
          <w:vertAlign w:val="subscript"/>
        </w:rPr>
        <w:t>2</w:t>
      </w:r>
      <w:r w:rsidRPr="00BA18D1">
        <w:rPr>
          <w:rFonts w:cs="Arial"/>
          <w:color w:val="000000"/>
        </w:rPr>
        <w:t xml:space="preserve"> u Republici Hrvatskoj</w:t>
      </w:r>
      <w:r>
        <w:rPr>
          <w:rFonts w:cs="Arial"/>
          <w:color w:val="000000"/>
        </w:rPr>
        <w:t xml:space="preserve"> u skladu s izraženim potencijalima;</w:t>
      </w:r>
    </w:p>
    <w:p w14:paraId="18921B8C" w14:textId="709B4DAB" w:rsidR="00A11703" w:rsidRPr="00602568" w:rsidRDefault="00A11703" w:rsidP="00840E2E">
      <w:pPr>
        <w:numPr>
          <w:ilvl w:val="0"/>
          <w:numId w:val="105"/>
        </w:numPr>
        <w:suppressAutoHyphens w:val="0"/>
        <w:spacing w:before="0"/>
        <w:rPr>
          <w:rFonts w:cs="Arial"/>
          <w:color w:val="000000"/>
        </w:rPr>
      </w:pPr>
      <w:r>
        <w:rPr>
          <w:rFonts w:cs="Arial"/>
          <w:color w:val="000000"/>
        </w:rPr>
        <w:t>Informiranje</w:t>
      </w:r>
      <w:r w:rsidR="00D559AA">
        <w:rPr>
          <w:rFonts w:cs="Arial"/>
          <w:color w:val="000000"/>
        </w:rPr>
        <w:t xml:space="preserve"> zainteresirane</w:t>
      </w:r>
      <w:r>
        <w:rPr>
          <w:rFonts w:cs="Arial"/>
          <w:color w:val="000000"/>
        </w:rPr>
        <w:t xml:space="preserve"> javnosti </w:t>
      </w:r>
      <w:r w:rsidR="00D559AA">
        <w:rPr>
          <w:rFonts w:cs="Arial"/>
          <w:color w:val="000000"/>
        </w:rPr>
        <w:t xml:space="preserve">o </w:t>
      </w:r>
      <w:r w:rsidR="00D559AA" w:rsidRPr="00D559AA">
        <w:rPr>
          <w:rFonts w:cs="Arial"/>
          <w:color w:val="000000"/>
        </w:rPr>
        <w:t>tehnologij</w:t>
      </w:r>
      <w:r w:rsidR="00D559AA">
        <w:rPr>
          <w:rFonts w:cs="Arial"/>
          <w:color w:val="000000"/>
        </w:rPr>
        <w:t>i</w:t>
      </w:r>
      <w:r w:rsidR="00D559AA" w:rsidRPr="00D559AA">
        <w:rPr>
          <w:rFonts w:cs="Arial"/>
          <w:color w:val="000000"/>
        </w:rPr>
        <w:t xml:space="preserve"> prikupljanja i skladištenja </w:t>
      </w:r>
      <w:r w:rsidR="00D559AA">
        <w:rPr>
          <w:rFonts w:cs="Arial"/>
          <w:color w:val="000000"/>
        </w:rPr>
        <w:t>CO</w:t>
      </w:r>
      <w:r w:rsidR="00D559AA" w:rsidRPr="00840E2E">
        <w:rPr>
          <w:rFonts w:cs="Arial"/>
          <w:color w:val="000000"/>
          <w:vertAlign w:val="subscript"/>
        </w:rPr>
        <w:t>2</w:t>
      </w:r>
      <w:r w:rsidR="00D559AA">
        <w:rPr>
          <w:rFonts w:cs="Arial"/>
          <w:color w:val="000000"/>
        </w:rPr>
        <w:t>.</w:t>
      </w:r>
    </w:p>
    <w:p w14:paraId="62E5D7A9" w14:textId="77777777" w:rsidR="006665A1" w:rsidRPr="00602568" w:rsidRDefault="006665A1" w:rsidP="006665A1">
      <w:pPr>
        <w:suppressAutoHyphens w:val="0"/>
        <w:spacing w:before="100" w:beforeAutospacing="1" w:after="100" w:afterAutospacing="1"/>
      </w:pPr>
      <w:r w:rsidRPr="00602568">
        <w:rPr>
          <w:b/>
          <w:bCs/>
        </w:rPr>
        <w:t>Sredstva potrebna za provedbu:</w:t>
      </w:r>
      <w:r w:rsidRPr="00602568">
        <w:t xml:space="preserve"> 1</w:t>
      </w:r>
      <w:r>
        <w:t>.</w:t>
      </w:r>
      <w:r w:rsidRPr="00602568">
        <w:t>000</w:t>
      </w:r>
      <w:r>
        <w:t>.</w:t>
      </w:r>
      <w:r w:rsidRPr="00602568">
        <w:t xml:space="preserve">000 kn za studiju </w:t>
      </w:r>
      <w:r>
        <w:t>i akcijski plan, a za provedbu projekata iznos će se odrediti nakon analize potencijala</w:t>
      </w:r>
    </w:p>
    <w:p w14:paraId="268F4CCE" w14:textId="77777777" w:rsidR="006665A1" w:rsidRPr="00602568" w:rsidRDefault="006665A1" w:rsidP="006665A1">
      <w:pPr>
        <w:suppressAutoHyphens w:val="0"/>
        <w:spacing w:before="100" w:beforeAutospacing="1" w:after="100" w:afterAutospacing="1"/>
      </w:pPr>
      <w:r w:rsidRPr="00602568">
        <w:rPr>
          <w:b/>
          <w:bCs/>
        </w:rPr>
        <w:t>Izvori financiranja:</w:t>
      </w:r>
      <w:r w:rsidRPr="00602568">
        <w:t xml:space="preserve"> </w:t>
      </w:r>
      <w:r>
        <w:t>AZU, Sveučilišta, EU sredstva</w:t>
      </w:r>
    </w:p>
    <w:p w14:paraId="62824F94" w14:textId="77777777" w:rsidR="006665A1" w:rsidRPr="00602568" w:rsidRDefault="006665A1" w:rsidP="006665A1">
      <w:pPr>
        <w:suppressAutoHyphens w:val="0"/>
        <w:spacing w:before="100" w:beforeAutospacing="1" w:after="100" w:afterAutospacing="1"/>
      </w:pPr>
      <w:r w:rsidRPr="00602568">
        <w:rPr>
          <w:b/>
          <w:bCs/>
        </w:rPr>
        <w:t>Izvršno tijelo:</w:t>
      </w:r>
      <w:r w:rsidRPr="00602568">
        <w:t xml:space="preserve"> </w:t>
      </w:r>
      <w:r>
        <w:t>MZOE, AZU</w:t>
      </w:r>
    </w:p>
    <w:p w14:paraId="3C33CB50" w14:textId="77777777" w:rsidR="006665A1" w:rsidRPr="00602568" w:rsidRDefault="006665A1" w:rsidP="006665A1">
      <w:pPr>
        <w:suppressAutoHyphens w:val="0"/>
        <w:spacing w:before="100" w:beforeAutospacing="1" w:after="100" w:afterAutospacing="1"/>
      </w:pPr>
      <w:r w:rsidRPr="00602568">
        <w:rPr>
          <w:b/>
          <w:bCs/>
        </w:rPr>
        <w:t>Tijela za praćenje (nadzor):</w:t>
      </w:r>
      <w:r w:rsidRPr="00602568">
        <w:t xml:space="preserve"> </w:t>
      </w:r>
      <w:r>
        <w:t>MZOE, AZU</w:t>
      </w:r>
    </w:p>
    <w:p w14:paraId="2A0BA124" w14:textId="77777777" w:rsidR="006665A1" w:rsidRPr="00602568" w:rsidRDefault="006665A1" w:rsidP="006665A1">
      <w:pPr>
        <w:suppressAutoHyphens w:val="0"/>
        <w:spacing w:before="100" w:beforeAutospacing="1" w:after="100" w:afterAutospacing="1"/>
      </w:pPr>
      <w:r w:rsidRPr="00602568">
        <w:rPr>
          <w:b/>
          <w:bCs/>
        </w:rPr>
        <w:lastRenderedPageBreak/>
        <w:t>Učinak:</w:t>
      </w:r>
      <w:r w:rsidRPr="00602568">
        <w:t xml:space="preserve"> Smanjenje emisija stakleničkih plinova</w:t>
      </w:r>
      <w:r>
        <w:t>.</w:t>
      </w:r>
    </w:p>
    <w:p w14:paraId="1B31BD32" w14:textId="77777777" w:rsidR="006665A1" w:rsidRPr="00602568" w:rsidRDefault="006665A1" w:rsidP="006665A1">
      <w:pPr>
        <w:suppressAutoHyphens w:val="0"/>
        <w:spacing w:before="100" w:beforeAutospacing="1" w:after="100" w:afterAutospacing="1"/>
      </w:pPr>
      <w:r w:rsidRPr="00602568">
        <w:rPr>
          <w:b/>
          <w:bCs/>
        </w:rPr>
        <w:t>Metoda praćenja:</w:t>
      </w:r>
      <w:r w:rsidRPr="00602568">
        <w:t xml:space="preserve"> </w:t>
      </w:r>
      <w:r>
        <w:t xml:space="preserve">Istraživanje će se pratiti putem objava, a projekti </w:t>
      </w:r>
      <w:r w:rsidRPr="00BA18D1">
        <w:t xml:space="preserve">geološkog skladištenja </w:t>
      </w:r>
      <w:r w:rsidRPr="00602568">
        <w:t>CO</w:t>
      </w:r>
      <w:r w:rsidRPr="00602568">
        <w:rPr>
          <w:vertAlign w:val="subscript"/>
        </w:rPr>
        <w:t>2</w:t>
      </w:r>
      <w:r>
        <w:t xml:space="preserve"> će se pratiti izvještajima koja tijela koja provode projekte upućuju </w:t>
      </w:r>
      <w:r w:rsidRPr="00602568">
        <w:t>nadležno</w:t>
      </w:r>
      <w:r>
        <w:t>m</w:t>
      </w:r>
      <w:r w:rsidRPr="00602568">
        <w:t xml:space="preserve"> tijel</w:t>
      </w:r>
      <w:r>
        <w:t>u</w:t>
      </w:r>
      <w:r w:rsidRPr="00602568">
        <w:t xml:space="preserve"> </w:t>
      </w:r>
      <w:r>
        <w:t xml:space="preserve">te izvještajima koje </w:t>
      </w:r>
      <w:r w:rsidRPr="00602568">
        <w:t xml:space="preserve">nadležno tijelo </w:t>
      </w:r>
      <w:r>
        <w:t>upućuje u EK.</w:t>
      </w:r>
    </w:p>
    <w:p w14:paraId="5E33D5D8" w14:textId="77777777" w:rsidR="006665A1" w:rsidRPr="00872039" w:rsidRDefault="006665A1" w:rsidP="006665A1">
      <w:pPr>
        <w:suppressAutoHyphens w:val="0"/>
        <w:spacing w:before="100" w:beforeAutospacing="1" w:after="100" w:afterAutospacing="1"/>
      </w:pPr>
      <w:r w:rsidRPr="00602568">
        <w:rPr>
          <w:b/>
          <w:bCs/>
        </w:rPr>
        <w:t>Povezanost s drugim dimenzijama:</w:t>
      </w:r>
      <w:r>
        <w:rPr>
          <w:b/>
          <w:bCs/>
        </w:rPr>
        <w:t xml:space="preserve"> </w:t>
      </w:r>
      <w:r w:rsidRPr="00602568">
        <w:t>Provođenje mjere izravno utječe na istraživanje, inovacije i konkurentnost.</w:t>
      </w:r>
    </w:p>
    <w:p w14:paraId="059F9F88" w14:textId="77777777" w:rsidR="006665A1" w:rsidRPr="00602568" w:rsidRDefault="006665A1" w:rsidP="006665A1">
      <w:pPr>
        <w:suppressAutoHyphens w:val="0"/>
        <w:spacing w:before="100" w:beforeAutospacing="1" w:after="100" w:afterAutospacing="1"/>
      </w:pPr>
      <w:r w:rsidRPr="00602568">
        <w:rPr>
          <w:b/>
          <w:bCs/>
        </w:rPr>
        <w:t>Povezanost s prilagodbom klimatskim promjenama:</w:t>
      </w:r>
      <w:r w:rsidRPr="00602568">
        <w:t xml:space="preserve"> </w:t>
      </w:r>
      <w:r>
        <w:t xml:space="preserve">Mjera izravno utječe na smanjenje </w:t>
      </w:r>
      <w:r w:rsidRPr="00602568">
        <w:t>CO</w:t>
      </w:r>
      <w:r w:rsidRPr="00602568">
        <w:rPr>
          <w:vertAlign w:val="subscript"/>
        </w:rPr>
        <w:t>2</w:t>
      </w:r>
      <w:r>
        <w:t>.</w:t>
      </w:r>
    </w:p>
    <w:p w14:paraId="57B7D2A3" w14:textId="77777777" w:rsidR="006665A1" w:rsidRPr="00602568" w:rsidRDefault="006665A1" w:rsidP="006665A1">
      <w:pPr>
        <w:spacing w:before="100" w:beforeAutospacing="1" w:after="100" w:afterAutospacing="1"/>
      </w:pPr>
      <w:r w:rsidRPr="00602568">
        <w:rPr>
          <w:b/>
          <w:bCs/>
        </w:rPr>
        <w:t>Istraživanje i razvoj:</w:t>
      </w:r>
      <w:r w:rsidRPr="00602568">
        <w:t xml:space="preserve"> Mjera je izravno povezana s istraživanjem i razvojem te inovativnim mjerama za smanjenje emisije stakleničkih plinova.</w:t>
      </w:r>
    </w:p>
    <w:p w14:paraId="2F13E836" w14:textId="77777777" w:rsidR="00364868" w:rsidRPr="00602568" w:rsidRDefault="00364868" w:rsidP="00602568">
      <w:pPr>
        <w:suppressAutoHyphens w:val="0"/>
        <w:spacing w:before="100" w:beforeAutospacing="1" w:after="100" w:afterAutospacing="1"/>
        <w:rPr>
          <w:b/>
          <w:bCs/>
        </w:rPr>
      </w:pPr>
    </w:p>
    <w:p w14:paraId="6D4641E7" w14:textId="63551019" w:rsidR="00094D20" w:rsidRPr="00840E2E" w:rsidRDefault="004506FD" w:rsidP="00602568">
      <w:pPr>
        <w:suppressAutoHyphens w:val="0"/>
        <w:spacing w:before="100" w:beforeAutospacing="1" w:after="100" w:afterAutospacing="1"/>
        <w:rPr>
          <w:b/>
          <w:bCs/>
          <w:u w:val="single"/>
        </w:rPr>
      </w:pPr>
      <w:r>
        <w:rPr>
          <w:b/>
          <w:bCs/>
          <w:u w:val="single"/>
        </w:rPr>
        <w:t>MS-9</w:t>
      </w:r>
      <w:r w:rsidR="00094D20" w:rsidRPr="00840E2E">
        <w:rPr>
          <w:b/>
          <w:bCs/>
          <w:u w:val="single"/>
        </w:rPr>
        <w:t xml:space="preserve">: Unaprjeđenje održivosti urbanih sredina </w:t>
      </w:r>
    </w:p>
    <w:p w14:paraId="3B5B2BC3" w14:textId="097EBC09" w:rsidR="00094D20" w:rsidRPr="00602568" w:rsidRDefault="00094D20" w:rsidP="00602568">
      <w:pPr>
        <w:suppressAutoHyphens w:val="0"/>
        <w:spacing w:before="100" w:beforeAutospacing="1" w:after="100" w:afterAutospacing="1"/>
        <w:rPr>
          <w:b/>
          <w:bCs/>
        </w:rPr>
      </w:pPr>
      <w:r w:rsidRPr="00602568">
        <w:rPr>
          <w:b/>
          <w:bCs/>
        </w:rPr>
        <w:t xml:space="preserve">Istraživačko-analitička mjera; </w:t>
      </w:r>
      <w:r w:rsidR="00BB6058">
        <w:rPr>
          <w:b/>
          <w:bCs/>
        </w:rPr>
        <w:t xml:space="preserve">Financijska mjera; </w:t>
      </w:r>
      <w:r w:rsidRPr="00602568">
        <w:rPr>
          <w:b/>
          <w:bCs/>
        </w:rPr>
        <w:t>provedba 2021.-2030.</w:t>
      </w:r>
    </w:p>
    <w:p w14:paraId="33DFCF5F" w14:textId="3FDB5FAC" w:rsidR="00094D20" w:rsidRDefault="00094D20" w:rsidP="00602568">
      <w:pPr>
        <w:suppressAutoHyphens w:val="0"/>
        <w:spacing w:before="100" w:beforeAutospacing="1" w:after="100" w:afterAutospacing="1"/>
      </w:pPr>
      <w:r w:rsidRPr="00602568">
        <w:rPr>
          <w:b/>
          <w:bCs/>
        </w:rPr>
        <w:t>Cilj i opis mjere:</w:t>
      </w:r>
      <w:r w:rsidRPr="00602568">
        <w:t xml:space="preserve"> MGIPU je u procesu izrade novih nacionalnih Programa razvoja zelene infrastrukture u urbanim područjima i Programa razvoja kružnog gospodarenja prostorom i zgradama, kojima se postižu ekološke, gospodarske i društvene koristi održivog razvoja. Programom razvoja zelene infrastrukture u urbanim područjima razrađuju se ciljevi i mjere za razvoj zelene infrastrukture kojima se između ostaloga utječe na povećanje energetske učinkovitosti zgrada</w:t>
      </w:r>
      <w:r w:rsidR="00557443" w:rsidRPr="00557443">
        <w:t xml:space="preserve"> </w:t>
      </w:r>
      <w:r w:rsidR="00557443">
        <w:t>i građevinskih područja</w:t>
      </w:r>
      <w:r w:rsidR="00557443" w:rsidRPr="00602568">
        <w:t>,</w:t>
      </w:r>
      <w:r w:rsidR="00557443">
        <w:t xml:space="preserve"> </w:t>
      </w:r>
      <w:r w:rsidR="00557443" w:rsidRPr="00203EE1">
        <w:t>razvoj zelene infrastrukture u zgradarstvu</w:t>
      </w:r>
      <w:r w:rsidR="00557443">
        <w:t>,</w:t>
      </w:r>
      <w:r w:rsidR="00557443" w:rsidRPr="00203EE1">
        <w:t xml:space="preserve"> urbanu preobrazbu i urbanu sanaciju</w:t>
      </w:r>
      <w:r w:rsidR="00557443" w:rsidRPr="00602568" w:rsidDel="00557443">
        <w:t xml:space="preserve"> </w:t>
      </w:r>
      <w:r w:rsidRPr="00602568">
        <w:t>te smanjenje temperature u područjima toplinskih otoka u urbanim područjima. Programom razvoja kružnog gospodarenja prostorom i zgradama razrađuju se ciljevi i mjere za kružno gospodarenje prostorom i zgradama kojima se između ostaloga potiču mjere kružnosti kod planiranja novih zgrada, ponovno korištenje napuštenih i/ili zapuštenih i produljenje trajnosti postojećih prostora i zgrada, smanjenje količine građevinskog otpada te povećanje energetske učinkovitosti zgrada. Cilj ove mjere je potaknuti gradove i općine da projekte revitalizacije i razvoja novih urbanih sredina temelje na principima održivosti. Prvi korak u tome je izrada razvojnih planova urbanih sredina, u kojima će se na temelju ocjene pokazatelja održivosti, definirati razvojni projekti kojima će se navedeni pokazatelji unaprijediti. Osim toga, za te projekte će se osigurati sufinanciranje iz ESI fondova u razdoblju 2021.-2027.(2030). MGIPU, kao ministarstvo nadležno za pitanja održivog razvoja urbanih sredina, će definirati ključne pokazatelje održivosti, koji će uključivati pokazatelje iz područja izgrađenog prostora, ekonomije, energetike, emisija u atmosferu, korištenja prirodnih resursa, okoliša i društvenih aspekata, a koji će se morati pratiti kako na nacionalnoj razini tako i na lokalnoj razini. Mjera će omogućiti unapređenje održivog razvoja direktnijim povezivanjem strateških i prostorno-planskih dokumenata i uvođenjem mjerenja uspješnosti planiranih te provedenih projekata. U sklopu mjere osigurat će se i fina</w:t>
      </w:r>
      <w:r w:rsidR="000709C8">
        <w:t>n</w:t>
      </w:r>
      <w:r w:rsidRPr="00602568">
        <w:t>cijska potpora ovakvim projektima i to iz ESI fo</w:t>
      </w:r>
      <w:r w:rsidR="00D40BAC">
        <w:t>n</w:t>
      </w:r>
      <w:r w:rsidRPr="00602568">
        <w:t xml:space="preserve">dova, u skladu s ciljem za razdoblje 2021.-2027. PO2 – „Zelenija </w:t>
      </w:r>
      <w:r w:rsidRPr="00602568">
        <w:lastRenderedPageBreak/>
        <w:t>Europa s niskom razinom emisija ugljika promicanjem prelaska na čistu i pravednu</w:t>
      </w:r>
      <w:r w:rsidR="00E223DA">
        <w:t xml:space="preserve"> </w:t>
      </w:r>
      <w:r w:rsidRPr="00602568">
        <w:t>energiju, zelenih i plavih ulaganja, kružnog gospodarstva, prilagodbe klimatskim promjenama i upravljanja rizikom i njegova sprječavanja“.</w:t>
      </w:r>
    </w:p>
    <w:p w14:paraId="751A5D1E" w14:textId="20D0AEFE" w:rsidR="00302302" w:rsidRPr="00602568" w:rsidRDefault="00302302" w:rsidP="00302302">
      <w:pPr>
        <w:suppressAutoHyphens w:val="0"/>
        <w:spacing w:before="100" w:beforeAutospacing="1" w:after="100" w:afterAutospacing="1"/>
      </w:pPr>
      <w:r w:rsidRPr="00602568">
        <w:rPr>
          <w:b/>
          <w:bCs/>
        </w:rPr>
        <w:t>Aktivnosti:</w:t>
      </w:r>
      <w:r w:rsidRPr="00602568">
        <w:t xml:space="preserve"> U okviru mjere provest će se</w:t>
      </w:r>
      <w:r>
        <w:t xml:space="preserve"> sljedeće aktivnosti</w:t>
      </w:r>
      <w:r w:rsidRPr="00602568">
        <w:t xml:space="preserve">: </w:t>
      </w:r>
    </w:p>
    <w:p w14:paraId="20FCA03A" w14:textId="33BB295F" w:rsidR="00302302" w:rsidRPr="00302302" w:rsidRDefault="00302302" w:rsidP="00840E2E">
      <w:pPr>
        <w:numPr>
          <w:ilvl w:val="0"/>
          <w:numId w:val="105"/>
        </w:numPr>
        <w:suppressAutoHyphens w:val="0"/>
        <w:spacing w:before="0"/>
        <w:rPr>
          <w:rFonts w:cs="Arial"/>
          <w:color w:val="000000"/>
        </w:rPr>
      </w:pPr>
      <w:r>
        <w:t xml:space="preserve">Izrada </w:t>
      </w:r>
      <w:r w:rsidRPr="00602568">
        <w:t>Programa razvoja zelene infrastrukture u urbanim područjima</w:t>
      </w:r>
      <w:r>
        <w:t>;</w:t>
      </w:r>
      <w:r w:rsidRPr="00602568">
        <w:t xml:space="preserve"> </w:t>
      </w:r>
    </w:p>
    <w:p w14:paraId="5A70D0CD" w14:textId="0909DBBD" w:rsidR="00302302" w:rsidRPr="00302302" w:rsidRDefault="00302302" w:rsidP="00840E2E">
      <w:pPr>
        <w:numPr>
          <w:ilvl w:val="0"/>
          <w:numId w:val="105"/>
        </w:numPr>
        <w:suppressAutoHyphens w:val="0"/>
        <w:spacing w:before="0"/>
        <w:rPr>
          <w:rFonts w:cs="Arial"/>
          <w:color w:val="000000"/>
        </w:rPr>
      </w:pPr>
      <w:r>
        <w:t>Izrada</w:t>
      </w:r>
      <w:r w:rsidRPr="00602568">
        <w:t xml:space="preserve"> Programa razvoja kružnog gospodarenja prostorom </w:t>
      </w:r>
      <w:r w:rsidR="003B62C9">
        <w:t>i</w:t>
      </w:r>
    </w:p>
    <w:p w14:paraId="57D43E4A" w14:textId="65D03E36" w:rsidR="00302302" w:rsidRPr="00602568" w:rsidRDefault="00302302" w:rsidP="00840E2E">
      <w:pPr>
        <w:numPr>
          <w:ilvl w:val="0"/>
          <w:numId w:val="105"/>
        </w:numPr>
        <w:suppressAutoHyphens w:val="0"/>
        <w:spacing w:before="0"/>
        <w:rPr>
          <w:rFonts w:cs="Arial"/>
          <w:color w:val="000000"/>
        </w:rPr>
      </w:pPr>
      <w:r>
        <w:rPr>
          <w:rFonts w:cs="Arial"/>
          <w:color w:val="000000"/>
        </w:rPr>
        <w:t xml:space="preserve">Provedba projekata </w:t>
      </w:r>
      <w:r w:rsidR="003B62C9">
        <w:rPr>
          <w:rFonts w:cs="Arial"/>
          <w:color w:val="000000"/>
        </w:rPr>
        <w:t>zelene infrastrukture i kružnog gospodarenja prostorom kroz programe sufinan</w:t>
      </w:r>
      <w:r w:rsidR="00D250AC">
        <w:rPr>
          <w:rFonts w:cs="Arial"/>
          <w:color w:val="000000"/>
        </w:rPr>
        <w:t>ci</w:t>
      </w:r>
      <w:r w:rsidR="003B62C9">
        <w:rPr>
          <w:rFonts w:cs="Arial"/>
          <w:color w:val="000000"/>
        </w:rPr>
        <w:t>ranja iz EU sredstava.</w:t>
      </w:r>
    </w:p>
    <w:p w14:paraId="28D0B2BC" w14:textId="609FEB0D" w:rsidR="005E553E" w:rsidRPr="00602568" w:rsidRDefault="005E553E" w:rsidP="005E553E">
      <w:pPr>
        <w:suppressAutoHyphens w:val="0"/>
        <w:spacing w:before="100" w:beforeAutospacing="1" w:after="100" w:afterAutospacing="1"/>
      </w:pPr>
      <w:r w:rsidRPr="00602568">
        <w:rPr>
          <w:b/>
          <w:bCs/>
        </w:rPr>
        <w:t>Sredstva potrebna za provedbu:</w:t>
      </w:r>
      <w:r w:rsidRPr="00602568">
        <w:t xml:space="preserve"> </w:t>
      </w:r>
      <w:r w:rsidR="00955E4F" w:rsidRPr="00955E4F">
        <w:t xml:space="preserve">375.000.000,00 </w:t>
      </w:r>
      <w:r w:rsidR="00E93883">
        <w:t>EUR</w:t>
      </w:r>
      <w:r w:rsidR="00955E4F" w:rsidRPr="00955E4F">
        <w:t xml:space="preserve"> financiranje projekata i 762.000,00 kn (bez PDV) izrada programa</w:t>
      </w:r>
    </w:p>
    <w:p w14:paraId="76D2B0CE" w14:textId="77777777" w:rsidR="00D3201C" w:rsidRPr="00602568" w:rsidRDefault="00D3201C" w:rsidP="00D3201C">
      <w:pPr>
        <w:suppressAutoHyphens w:val="0"/>
        <w:spacing w:before="100" w:beforeAutospacing="1" w:after="100" w:afterAutospacing="1"/>
      </w:pPr>
      <w:r w:rsidRPr="00602568">
        <w:rPr>
          <w:b/>
          <w:bCs/>
        </w:rPr>
        <w:t>Izvori financiranja:</w:t>
      </w:r>
      <w:r w:rsidRPr="00602568">
        <w:t xml:space="preserve"> </w:t>
      </w:r>
      <w:r>
        <w:t>MGIPU, EU sredstva</w:t>
      </w:r>
    </w:p>
    <w:p w14:paraId="0BD5BB8F" w14:textId="5EC5B36D" w:rsidR="00D3201C" w:rsidRPr="00602568" w:rsidRDefault="00D3201C" w:rsidP="00D3201C">
      <w:pPr>
        <w:suppressAutoHyphens w:val="0"/>
        <w:spacing w:before="100" w:beforeAutospacing="1" w:after="100" w:afterAutospacing="1"/>
      </w:pPr>
      <w:r w:rsidRPr="00602568">
        <w:rPr>
          <w:b/>
          <w:bCs/>
        </w:rPr>
        <w:t>Izvršno tijelo:</w:t>
      </w:r>
      <w:r w:rsidRPr="00602568">
        <w:t xml:space="preserve"> </w:t>
      </w:r>
      <w:r>
        <w:t xml:space="preserve">MGIPU, </w:t>
      </w:r>
      <w:r w:rsidR="00D175DA">
        <w:t>Arhitekt</w:t>
      </w:r>
      <w:r w:rsidR="00D250AC">
        <w:t>o</w:t>
      </w:r>
      <w:r w:rsidR="00D175DA">
        <w:t>ns</w:t>
      </w:r>
      <w:r w:rsidR="00D250AC">
        <w:t>k</w:t>
      </w:r>
      <w:r w:rsidR="00D175DA">
        <w:t>i fakultet (</w:t>
      </w:r>
      <w:r>
        <w:t>AF</w:t>
      </w:r>
      <w:r w:rsidR="00D175DA">
        <w:t>)</w:t>
      </w:r>
    </w:p>
    <w:p w14:paraId="21892602" w14:textId="77777777" w:rsidR="00D3201C" w:rsidRPr="00602568" w:rsidRDefault="00D3201C" w:rsidP="00D3201C">
      <w:pPr>
        <w:suppressAutoHyphens w:val="0"/>
        <w:spacing w:before="100" w:beforeAutospacing="1" w:after="100" w:afterAutospacing="1"/>
      </w:pPr>
      <w:r w:rsidRPr="00602568">
        <w:rPr>
          <w:b/>
          <w:bCs/>
        </w:rPr>
        <w:t>Tijela za praćenje (nadzor):</w:t>
      </w:r>
      <w:r w:rsidRPr="00602568">
        <w:t xml:space="preserve"> </w:t>
      </w:r>
      <w:r>
        <w:t>MGIPU</w:t>
      </w:r>
    </w:p>
    <w:p w14:paraId="2583D207" w14:textId="77777777" w:rsidR="00D3201C" w:rsidRPr="00602568" w:rsidRDefault="00D3201C" w:rsidP="00D3201C">
      <w:pPr>
        <w:suppressAutoHyphens w:val="0"/>
        <w:spacing w:before="100" w:beforeAutospacing="1" w:after="100" w:afterAutospacing="1"/>
      </w:pPr>
      <w:r w:rsidRPr="00602568">
        <w:rPr>
          <w:b/>
          <w:bCs/>
        </w:rPr>
        <w:t>Učinak:</w:t>
      </w:r>
      <w:r>
        <w:rPr>
          <w:b/>
          <w:bCs/>
        </w:rPr>
        <w:t xml:space="preserve"> </w:t>
      </w:r>
      <w:r w:rsidRPr="00223709">
        <w:rPr>
          <w:rFonts w:cs="Arial"/>
          <w:color w:val="000000"/>
          <w:lang w:eastAsia="en-GB"/>
        </w:rPr>
        <w:t xml:space="preserve">Smanjenje toplinskih potreba i potrošnje energije u zgradama javnog </w:t>
      </w:r>
      <w:r>
        <w:rPr>
          <w:rFonts w:cs="Arial"/>
          <w:color w:val="000000"/>
          <w:lang w:eastAsia="en-GB"/>
        </w:rPr>
        <w:t xml:space="preserve">i stambenog </w:t>
      </w:r>
      <w:r w:rsidRPr="00223709">
        <w:rPr>
          <w:rFonts w:cs="Arial"/>
          <w:color w:val="000000"/>
          <w:lang w:eastAsia="en-GB"/>
        </w:rPr>
        <w:t>sektora i povećanje korištenja OIE te posljedično smanjenje emisija CO</w:t>
      </w:r>
      <w:r w:rsidRPr="00223709">
        <w:rPr>
          <w:rFonts w:cs="Arial"/>
          <w:color w:val="000000"/>
          <w:vertAlign w:val="subscript"/>
          <w:lang w:eastAsia="en-GB"/>
        </w:rPr>
        <w:t>2</w:t>
      </w:r>
      <w:r w:rsidRPr="00223709">
        <w:rPr>
          <w:rFonts w:cs="Arial"/>
          <w:color w:val="000000"/>
          <w:lang w:eastAsia="en-GB"/>
        </w:rPr>
        <w:t>;</w:t>
      </w:r>
    </w:p>
    <w:p w14:paraId="4D1D0BF7" w14:textId="333CA160" w:rsidR="00D3201C" w:rsidRPr="00602568" w:rsidRDefault="00D3201C" w:rsidP="00D3201C">
      <w:pPr>
        <w:suppressAutoHyphens w:val="0"/>
        <w:spacing w:before="100" w:beforeAutospacing="1" w:after="100" w:afterAutospacing="1"/>
      </w:pPr>
      <w:r w:rsidRPr="00602568">
        <w:rPr>
          <w:b/>
          <w:bCs/>
        </w:rPr>
        <w:t>Metoda praćenja:</w:t>
      </w:r>
      <w:r w:rsidRPr="00602568">
        <w:t xml:space="preserve"> </w:t>
      </w:r>
      <w:r>
        <w:t>Istraživanje će se provoditi putem Upitnika koji je upućen u JLS</w:t>
      </w:r>
    </w:p>
    <w:p w14:paraId="6E60F020" w14:textId="77777777" w:rsidR="00D3201C" w:rsidRDefault="00D3201C" w:rsidP="00D3201C">
      <w:pPr>
        <w:suppressAutoHyphens w:val="0"/>
        <w:spacing w:before="100" w:beforeAutospacing="1" w:after="100" w:afterAutospacing="1"/>
      </w:pPr>
      <w:r w:rsidRPr="00602568">
        <w:rPr>
          <w:b/>
          <w:bCs/>
        </w:rPr>
        <w:t>Povezanost s drugim dimenzijama:</w:t>
      </w:r>
      <w:r>
        <w:rPr>
          <w:b/>
          <w:bCs/>
        </w:rPr>
        <w:t xml:space="preserve"> </w:t>
      </w:r>
      <w:r w:rsidRPr="00602568">
        <w:t>Mjera je inovativna te omogućava razvoj urbanih sredina koji će doprinijeti i dekarbonizaciji i energetskoj učinkovitosti, ali će imati i brojne druge društvene, ekonomske i ekološke koristi.</w:t>
      </w:r>
    </w:p>
    <w:p w14:paraId="17E8DCF6" w14:textId="77777777" w:rsidR="00D3201C" w:rsidRPr="00602568" w:rsidRDefault="00D3201C" w:rsidP="00D3201C">
      <w:pPr>
        <w:suppressAutoHyphens w:val="0"/>
        <w:spacing w:before="100" w:beforeAutospacing="1" w:after="100" w:afterAutospacing="1"/>
      </w:pPr>
      <w:r w:rsidRPr="00602568">
        <w:rPr>
          <w:b/>
          <w:bCs/>
        </w:rPr>
        <w:t>Povezanost s prilagodbom klimatskim promjenama:</w:t>
      </w:r>
      <w:r w:rsidRPr="00602568">
        <w:t xml:space="preserve"> </w:t>
      </w:r>
      <w:r>
        <w:rPr>
          <w:rFonts w:cs="Arial"/>
          <w:color w:val="000000"/>
          <w:lang w:eastAsia="en-GB"/>
        </w:rPr>
        <w:t>razvojem zelene infrastrukture u urbanim područjima</w:t>
      </w:r>
      <w:r w:rsidRPr="00223709">
        <w:rPr>
          <w:rFonts w:cs="Arial"/>
          <w:color w:val="000000"/>
          <w:lang w:eastAsia="en-GB"/>
        </w:rPr>
        <w:t xml:space="preserve"> zgrade</w:t>
      </w:r>
      <w:r>
        <w:rPr>
          <w:rFonts w:cs="Arial"/>
          <w:color w:val="000000"/>
          <w:lang w:eastAsia="en-GB"/>
        </w:rPr>
        <w:t xml:space="preserve"> i građevinska područja</w:t>
      </w:r>
      <w:r w:rsidRPr="00223709">
        <w:rPr>
          <w:rFonts w:cs="Arial"/>
          <w:color w:val="000000"/>
          <w:lang w:eastAsia="en-GB"/>
        </w:rPr>
        <w:t xml:space="preserve"> postaju otpornij</w:t>
      </w:r>
      <w:r>
        <w:rPr>
          <w:rFonts w:cs="Arial"/>
          <w:color w:val="000000"/>
          <w:lang w:eastAsia="en-GB"/>
        </w:rPr>
        <w:t>i</w:t>
      </w:r>
      <w:r w:rsidRPr="00223709">
        <w:rPr>
          <w:rFonts w:cs="Arial"/>
          <w:color w:val="000000"/>
          <w:lang w:eastAsia="en-GB"/>
        </w:rPr>
        <w:t xml:space="preserve"> na neke od posljedica klimatskih promjena</w:t>
      </w:r>
      <w:r>
        <w:rPr>
          <w:rFonts w:cs="Arial"/>
          <w:color w:val="000000"/>
          <w:lang w:eastAsia="en-GB"/>
        </w:rPr>
        <w:t xml:space="preserve"> (npr. </w:t>
      </w:r>
      <w:r w:rsidRPr="00223709">
        <w:rPr>
          <w:rFonts w:cs="Arial"/>
          <w:color w:val="000000"/>
          <w:lang w:eastAsia="en-GB"/>
        </w:rPr>
        <w:t>ekstremni temperaturni uvjeti</w:t>
      </w:r>
      <w:r>
        <w:rPr>
          <w:rFonts w:cs="Arial"/>
          <w:color w:val="000000"/>
          <w:lang w:eastAsia="en-GB"/>
        </w:rPr>
        <w:t>, urbani toplinski otoci i dr.)</w:t>
      </w:r>
    </w:p>
    <w:p w14:paraId="19C0CC12" w14:textId="5B717B0B" w:rsidR="005E553E" w:rsidRPr="00602568" w:rsidRDefault="00D3201C" w:rsidP="00D3201C">
      <w:pPr>
        <w:suppressAutoHyphens w:val="0"/>
        <w:spacing w:before="100" w:beforeAutospacing="1" w:after="100" w:afterAutospacing="1"/>
      </w:pPr>
      <w:r w:rsidRPr="00602568">
        <w:rPr>
          <w:b/>
          <w:bCs/>
        </w:rPr>
        <w:t>Istraživanje i razvoj:</w:t>
      </w:r>
      <w:r>
        <w:rPr>
          <w:b/>
          <w:bCs/>
        </w:rPr>
        <w:t xml:space="preserve"> </w:t>
      </w:r>
      <w:r w:rsidRPr="00602568">
        <w:t xml:space="preserve">Mjera je izravno povezana s istraživanjem i razvojem te inovativnim mjerama za </w:t>
      </w:r>
      <w:r>
        <w:t>u</w:t>
      </w:r>
      <w:r w:rsidRPr="007D403B">
        <w:t>naprjeđenje održivosti urbanih sredina</w:t>
      </w:r>
    </w:p>
    <w:p w14:paraId="5F7EBFB5" w14:textId="77777777" w:rsidR="00094D20" w:rsidRPr="00602568" w:rsidRDefault="00094D20" w:rsidP="00602568">
      <w:pPr>
        <w:spacing w:before="100" w:beforeAutospacing="1" w:after="100" w:afterAutospacing="1"/>
      </w:pPr>
    </w:p>
    <w:p w14:paraId="395FB265" w14:textId="241DE217" w:rsidR="00095114" w:rsidRPr="00840E2E" w:rsidRDefault="004506FD" w:rsidP="00602568">
      <w:pPr>
        <w:spacing w:before="100" w:beforeAutospacing="1" w:after="100" w:afterAutospacing="1"/>
        <w:rPr>
          <w:b/>
          <w:bCs/>
          <w:u w:val="single"/>
        </w:rPr>
      </w:pPr>
      <w:r>
        <w:rPr>
          <w:b/>
          <w:bCs/>
          <w:u w:val="single"/>
        </w:rPr>
        <w:t>MS-10</w:t>
      </w:r>
      <w:r w:rsidR="00095114" w:rsidRPr="00840E2E">
        <w:rPr>
          <w:b/>
          <w:bCs/>
          <w:u w:val="single"/>
        </w:rPr>
        <w:t xml:space="preserve">: </w:t>
      </w:r>
      <w:r w:rsidR="00450635" w:rsidRPr="00840E2E">
        <w:rPr>
          <w:b/>
          <w:bCs/>
          <w:u w:val="single"/>
        </w:rPr>
        <w:t xml:space="preserve">Uspostava Programa za </w:t>
      </w:r>
      <w:r w:rsidR="009B4828" w:rsidRPr="00840E2E">
        <w:rPr>
          <w:b/>
          <w:bCs/>
          <w:u w:val="single"/>
        </w:rPr>
        <w:t xml:space="preserve">izračun i </w:t>
      </w:r>
      <w:r w:rsidR="00AA5089" w:rsidRPr="00840E2E">
        <w:rPr>
          <w:b/>
          <w:bCs/>
          <w:u w:val="single"/>
        </w:rPr>
        <w:t>s</w:t>
      </w:r>
      <w:r w:rsidR="00095114" w:rsidRPr="00840E2E">
        <w:rPr>
          <w:b/>
          <w:bCs/>
          <w:u w:val="single"/>
        </w:rPr>
        <w:t>manjenj</w:t>
      </w:r>
      <w:r w:rsidR="009B4828" w:rsidRPr="00840E2E">
        <w:rPr>
          <w:b/>
          <w:bCs/>
          <w:u w:val="single"/>
        </w:rPr>
        <w:t>e</w:t>
      </w:r>
      <w:r w:rsidR="00095114" w:rsidRPr="00840E2E">
        <w:rPr>
          <w:b/>
          <w:bCs/>
          <w:u w:val="single"/>
        </w:rPr>
        <w:t xml:space="preserve"> ugljikova otiska poslovnih subjekata </w:t>
      </w:r>
    </w:p>
    <w:p w14:paraId="274B978C" w14:textId="5D519201" w:rsidR="00095114" w:rsidRPr="00602568" w:rsidRDefault="00095114" w:rsidP="00602568">
      <w:pPr>
        <w:spacing w:before="100" w:beforeAutospacing="1" w:after="100" w:afterAutospacing="1"/>
        <w:rPr>
          <w:b/>
          <w:bCs/>
        </w:rPr>
      </w:pPr>
      <w:r w:rsidRPr="00602568">
        <w:rPr>
          <w:b/>
          <w:bCs/>
        </w:rPr>
        <w:t xml:space="preserve">Regulatorna mjera; provedba </w:t>
      </w:r>
      <w:r w:rsidR="00B0680E" w:rsidRPr="00602568">
        <w:rPr>
          <w:b/>
          <w:bCs/>
        </w:rPr>
        <w:t>202</w:t>
      </w:r>
      <w:r w:rsidR="00B0680E">
        <w:rPr>
          <w:b/>
          <w:bCs/>
        </w:rPr>
        <w:t>1</w:t>
      </w:r>
      <w:r w:rsidRPr="00602568">
        <w:rPr>
          <w:b/>
          <w:bCs/>
        </w:rPr>
        <w:t>.-2030.</w:t>
      </w:r>
    </w:p>
    <w:p w14:paraId="4AA1FB86" w14:textId="0ED42CB1" w:rsidR="00095114" w:rsidRPr="00602568" w:rsidRDefault="00095114" w:rsidP="00602568">
      <w:pPr>
        <w:spacing w:before="100" w:beforeAutospacing="1" w:after="100" w:afterAutospacing="1"/>
      </w:pPr>
      <w:r w:rsidRPr="00602568">
        <w:rPr>
          <w:b/>
          <w:bCs/>
        </w:rPr>
        <w:t>Cilj i opis mjere</w:t>
      </w:r>
      <w:r w:rsidRPr="00602568">
        <w:t xml:space="preserve">: Cilj mjere je </w:t>
      </w:r>
      <w:r w:rsidR="002A559D">
        <w:t xml:space="preserve">uspostava Programa </w:t>
      </w:r>
      <w:r w:rsidR="00724290">
        <w:t xml:space="preserve">za izračun i </w:t>
      </w:r>
      <w:r w:rsidR="002A559D">
        <w:t>smanjenj</w:t>
      </w:r>
      <w:r w:rsidR="00724290">
        <w:t>e</w:t>
      </w:r>
      <w:r w:rsidRPr="00602568">
        <w:t xml:space="preserve"> ugljikova otiska poslovnih subjekata izvan ETS sustava, kako bi se </w:t>
      </w:r>
      <w:r w:rsidR="00914805">
        <w:t>smanjile</w:t>
      </w:r>
      <w:r w:rsidR="00914805" w:rsidRPr="00602568">
        <w:t xml:space="preserve"> </w:t>
      </w:r>
      <w:r w:rsidRPr="00602568">
        <w:t xml:space="preserve">ukupne emisije stakleničkih </w:t>
      </w:r>
      <w:r w:rsidRPr="00602568">
        <w:lastRenderedPageBreak/>
        <w:t xml:space="preserve">plinova za sve aktivnosti za koje je poslovni subjekt odgovoran ili o kojima je ovisan. </w:t>
      </w:r>
      <w:r w:rsidRPr="00A113AE">
        <w:t>Potrebno je izračunati izravne emisije i uklanjanja stakleničkih plinova na lokaciji poslovnog subjekta, bilo zbog izgaranja goriva u termoenergetskom postrojenju, iz proizvodnog procesa i/ili iz tvrtkinih vozila, zatim neizravne emisije koje nastaju izvan lokacije poslovnog subjekta, a povezane su s nabavom i potrošnjom električne, toplinske i rashladne energije, ali i ostale neizravne emisije</w:t>
      </w:r>
      <w:r w:rsidR="00EB5888">
        <w:t>/uklanjanja</w:t>
      </w:r>
      <w:r w:rsidRPr="00A113AE">
        <w:t xml:space="preserve"> povezane s tokovima </w:t>
      </w:r>
      <w:r w:rsidR="00175007">
        <w:t>l</w:t>
      </w:r>
      <w:r w:rsidR="00EE118D">
        <w:t>judi,</w:t>
      </w:r>
      <w:r w:rsidRPr="00A113AE">
        <w:t xml:space="preserve"> materijala, otpada i finalnih proizvoda.</w:t>
      </w:r>
      <w:r w:rsidRPr="00602568">
        <w:t xml:space="preserve"> Izračun ugljikova otiska će omogućiti poslovnim subjektima upoznavanje sa strukturom emisija stakleničkih plinova, odnosno prepoznavanje aktivnosti koje najznačajnije doprinose smanjenju emisija, što je dobar temelj za izradu i provedbu Akcijskog plana za smanjenje ugljikova otiska. Provedba Akcijskog plana dovela bi do smanjenja emisija stakleničkih plinova i ublažavanja klimatskih promjena, odnosno lakšeg ostvarivanja Pariškim sporazumom preuzetih obveza.</w:t>
      </w:r>
    </w:p>
    <w:p w14:paraId="4C6FB9EE" w14:textId="77777777" w:rsidR="00095114" w:rsidRPr="00602568" w:rsidRDefault="00095114" w:rsidP="00602568">
      <w:pPr>
        <w:spacing w:before="100" w:beforeAutospacing="1" w:after="100" w:afterAutospacing="1"/>
      </w:pPr>
      <w:r w:rsidRPr="00602568">
        <w:rPr>
          <w:b/>
          <w:bCs/>
        </w:rPr>
        <w:t>Aktivnosti:</w:t>
      </w:r>
      <w:r w:rsidRPr="00602568">
        <w:t xml:space="preserve"> U okviru mjere provest će se sljedeće aktivnosti: </w:t>
      </w:r>
    </w:p>
    <w:p w14:paraId="753CBB9F" w14:textId="1CEAFCC2" w:rsidR="00095114" w:rsidRPr="00602568" w:rsidRDefault="008E4BF0" w:rsidP="00840E2E">
      <w:pPr>
        <w:numPr>
          <w:ilvl w:val="0"/>
          <w:numId w:val="105"/>
        </w:numPr>
        <w:suppressAutoHyphens w:val="0"/>
        <w:spacing w:before="100" w:beforeAutospacing="1" w:after="100" w:afterAutospacing="1"/>
        <w:rPr>
          <w:rFonts w:cs="Arial"/>
          <w:color w:val="000000"/>
        </w:rPr>
      </w:pPr>
      <w:r>
        <w:rPr>
          <w:rFonts w:cs="Arial"/>
          <w:color w:val="000000"/>
        </w:rPr>
        <w:t>unapr</w:t>
      </w:r>
      <w:r w:rsidR="00DA3090">
        <w:rPr>
          <w:rFonts w:cs="Arial"/>
          <w:color w:val="000000"/>
        </w:rPr>
        <w:t>jeđenje</w:t>
      </w:r>
      <w:r w:rsidR="00095114" w:rsidRPr="00602568">
        <w:rPr>
          <w:rFonts w:cs="Arial"/>
          <w:color w:val="000000"/>
        </w:rPr>
        <w:t xml:space="preserve"> nacionalnog modela za izračun ugljikova otiska poslovnih subjekata s integriranom bazom nacionalnih faktora emisije stakleničkih plinova;</w:t>
      </w:r>
    </w:p>
    <w:p w14:paraId="35F6ACA3" w14:textId="553BEFDB" w:rsidR="00095114" w:rsidRPr="00602568" w:rsidRDefault="00095114" w:rsidP="00840E2E">
      <w:pPr>
        <w:numPr>
          <w:ilvl w:val="0"/>
          <w:numId w:val="105"/>
        </w:numPr>
        <w:suppressAutoHyphens w:val="0"/>
        <w:spacing w:before="100" w:beforeAutospacing="1" w:after="100" w:afterAutospacing="1"/>
        <w:rPr>
          <w:rFonts w:cs="Arial"/>
          <w:color w:val="000000"/>
        </w:rPr>
      </w:pPr>
      <w:r w:rsidRPr="00602568">
        <w:rPr>
          <w:rFonts w:cs="Arial"/>
          <w:color w:val="000000"/>
        </w:rPr>
        <w:t xml:space="preserve">uspostava </w:t>
      </w:r>
      <w:r w:rsidR="00235F48">
        <w:rPr>
          <w:rFonts w:cs="Arial"/>
          <w:color w:val="000000"/>
        </w:rPr>
        <w:t xml:space="preserve">i provedba </w:t>
      </w:r>
      <w:r w:rsidRPr="00602568">
        <w:rPr>
          <w:rFonts w:cs="Arial"/>
          <w:color w:val="000000"/>
        </w:rPr>
        <w:t xml:space="preserve">dobrovoljnog programa za izračun </w:t>
      </w:r>
      <w:r w:rsidR="00803846">
        <w:rPr>
          <w:rFonts w:cs="Arial"/>
          <w:color w:val="000000"/>
        </w:rPr>
        <w:t>i smanjenje</w:t>
      </w:r>
      <w:r w:rsidRPr="00602568">
        <w:rPr>
          <w:rFonts w:cs="Arial"/>
          <w:color w:val="000000"/>
        </w:rPr>
        <w:t xml:space="preserve"> ugljikova otiska poslovnih subjekata od 2021. </w:t>
      </w:r>
      <w:r w:rsidR="00D14554">
        <w:rPr>
          <w:rFonts w:cs="Arial"/>
          <w:color w:val="000000"/>
        </w:rPr>
        <w:t>godine</w:t>
      </w:r>
      <w:r w:rsidRPr="00602568">
        <w:rPr>
          <w:rFonts w:cs="Arial"/>
          <w:color w:val="000000"/>
        </w:rPr>
        <w:t>;</w:t>
      </w:r>
    </w:p>
    <w:p w14:paraId="2E62943A" w14:textId="5EE1C818" w:rsidR="009E05EC" w:rsidRPr="009E05EC" w:rsidRDefault="009E05EC" w:rsidP="00840E2E">
      <w:pPr>
        <w:pStyle w:val="ListParagraph"/>
        <w:numPr>
          <w:ilvl w:val="0"/>
          <w:numId w:val="105"/>
        </w:numPr>
        <w:rPr>
          <w:rFonts w:cs="Arial"/>
          <w:color w:val="000000"/>
          <w:lang w:eastAsia="hr-HR"/>
        </w:rPr>
      </w:pPr>
      <w:r w:rsidRPr="009E05EC">
        <w:rPr>
          <w:rFonts w:cs="Arial"/>
          <w:color w:val="000000"/>
          <w:lang w:eastAsia="hr-HR"/>
        </w:rPr>
        <w:t>praćenje i analiza postignutog smanjenja ugljikova otiska poslovnih subjekata</w:t>
      </w:r>
      <w:r>
        <w:rPr>
          <w:rFonts w:cs="Arial"/>
          <w:color w:val="000000"/>
          <w:lang w:eastAsia="hr-HR"/>
        </w:rPr>
        <w:t>;</w:t>
      </w:r>
      <w:r w:rsidR="00622DB1">
        <w:rPr>
          <w:rFonts w:cs="Arial"/>
          <w:color w:val="000000"/>
          <w:lang w:eastAsia="hr-HR"/>
        </w:rPr>
        <w:t xml:space="preserve"> </w:t>
      </w:r>
    </w:p>
    <w:p w14:paraId="5349B604" w14:textId="11C9C002" w:rsidR="00095114" w:rsidRPr="00602568" w:rsidRDefault="00F6760D" w:rsidP="00840E2E">
      <w:pPr>
        <w:numPr>
          <w:ilvl w:val="0"/>
          <w:numId w:val="105"/>
        </w:numPr>
        <w:suppressAutoHyphens w:val="0"/>
        <w:spacing w:before="100" w:beforeAutospacing="1" w:after="100" w:afterAutospacing="1"/>
        <w:rPr>
          <w:rFonts w:cs="Arial"/>
          <w:color w:val="000000"/>
        </w:rPr>
      </w:pPr>
      <w:r>
        <w:rPr>
          <w:rFonts w:cs="Arial"/>
          <w:color w:val="000000"/>
        </w:rPr>
        <w:t xml:space="preserve">razmotrit </w:t>
      </w:r>
      <w:r w:rsidR="00D36165">
        <w:rPr>
          <w:rFonts w:cs="Arial"/>
          <w:color w:val="000000"/>
        </w:rPr>
        <w:t>će se</w:t>
      </w:r>
      <w:r>
        <w:rPr>
          <w:rFonts w:cs="Arial"/>
          <w:color w:val="000000"/>
        </w:rPr>
        <w:t xml:space="preserve"> </w:t>
      </w:r>
      <w:r w:rsidR="00095114" w:rsidRPr="00602568">
        <w:rPr>
          <w:rFonts w:cs="Arial"/>
          <w:color w:val="000000"/>
        </w:rPr>
        <w:t>donošenje podzakonskog akta koji će uspostaviti obvezu izračuna ugljikova otiska i izradu akcijskog plana za smanjenje ugljikova otiska poslovnih subjekata</w:t>
      </w:r>
      <w:r w:rsidR="009E05EC">
        <w:rPr>
          <w:rFonts w:cs="Arial"/>
          <w:color w:val="000000"/>
        </w:rPr>
        <w:t>.</w:t>
      </w:r>
    </w:p>
    <w:p w14:paraId="0474CCED" w14:textId="77777777" w:rsidR="00095114" w:rsidRPr="00602568" w:rsidRDefault="00095114" w:rsidP="00602568">
      <w:pPr>
        <w:spacing w:before="100" w:beforeAutospacing="1" w:after="100" w:afterAutospacing="1"/>
      </w:pPr>
      <w:r w:rsidRPr="00602568">
        <w:rPr>
          <w:b/>
          <w:bCs/>
        </w:rPr>
        <w:t>Sredstva potrebna za provedbu:</w:t>
      </w:r>
      <w:r w:rsidRPr="00602568">
        <w:t xml:space="preserve"> /</w:t>
      </w:r>
    </w:p>
    <w:p w14:paraId="0FE65740" w14:textId="559FF93A" w:rsidR="00095114" w:rsidRPr="00602568" w:rsidRDefault="00095114" w:rsidP="00602568">
      <w:pPr>
        <w:spacing w:before="100" w:beforeAutospacing="1" w:after="100" w:afterAutospacing="1"/>
      </w:pPr>
      <w:r w:rsidRPr="00602568">
        <w:rPr>
          <w:b/>
          <w:bCs/>
        </w:rPr>
        <w:t>Izvori financiranja:</w:t>
      </w:r>
      <w:r w:rsidRPr="00602568">
        <w:t xml:space="preserve"> </w:t>
      </w:r>
      <w:r w:rsidR="006C1565">
        <w:t>FZ</w:t>
      </w:r>
      <w:r w:rsidR="007735BC">
        <w:t>OEU</w:t>
      </w:r>
      <w:r w:rsidR="00F3421A">
        <w:t xml:space="preserve"> (sufinanciranje </w:t>
      </w:r>
      <w:r w:rsidR="00963FD4">
        <w:t xml:space="preserve">izračuna ugljikova otiska i </w:t>
      </w:r>
      <w:r w:rsidR="00014DDA">
        <w:t>izrade akcijsk</w:t>
      </w:r>
      <w:r w:rsidR="00A56D0C">
        <w:t>ih</w:t>
      </w:r>
      <w:r w:rsidR="00014DDA">
        <w:t xml:space="preserve"> plan</w:t>
      </w:r>
      <w:r w:rsidR="00A56D0C">
        <w:t>ov</w:t>
      </w:r>
      <w:r w:rsidR="00014DDA">
        <w:t>a</w:t>
      </w:r>
      <w:r w:rsidR="00504430">
        <w:t xml:space="preserve"> </w:t>
      </w:r>
      <w:r w:rsidR="00E51C33">
        <w:t>poslovnih subjekata izvan ETS sustava</w:t>
      </w:r>
      <w:r w:rsidR="001010AC">
        <w:t>)</w:t>
      </w:r>
      <w:r w:rsidR="00EA274C">
        <w:t>, redovni rad državnih tijela</w:t>
      </w:r>
    </w:p>
    <w:p w14:paraId="12ADD9BE" w14:textId="44F09126" w:rsidR="00095114" w:rsidRPr="00602568" w:rsidRDefault="00095114" w:rsidP="00602568">
      <w:pPr>
        <w:spacing w:before="100" w:beforeAutospacing="1" w:after="100" w:afterAutospacing="1"/>
      </w:pPr>
      <w:r w:rsidRPr="00602568">
        <w:rPr>
          <w:b/>
          <w:bCs/>
        </w:rPr>
        <w:t>Izvršno tijelo:</w:t>
      </w:r>
      <w:r w:rsidRPr="00602568">
        <w:t xml:space="preserve"> MZOE</w:t>
      </w:r>
      <w:r w:rsidR="00CD7AE6">
        <w:t>,</w:t>
      </w:r>
      <w:r w:rsidRPr="00602568">
        <w:t xml:space="preserve"> FZOEU</w:t>
      </w:r>
    </w:p>
    <w:p w14:paraId="3286F6EF" w14:textId="77777777" w:rsidR="00095114" w:rsidRPr="00602568" w:rsidRDefault="00095114" w:rsidP="00602568">
      <w:pPr>
        <w:spacing w:before="100" w:beforeAutospacing="1" w:after="100" w:afterAutospacing="1"/>
      </w:pPr>
      <w:r w:rsidRPr="00602568">
        <w:rPr>
          <w:b/>
          <w:bCs/>
        </w:rPr>
        <w:t>Tijela za praćenje (nadzor):</w:t>
      </w:r>
      <w:r w:rsidRPr="00602568">
        <w:t xml:space="preserve"> MZOE</w:t>
      </w:r>
    </w:p>
    <w:p w14:paraId="7EBC0F67" w14:textId="77777777" w:rsidR="00095114" w:rsidRPr="00602568" w:rsidRDefault="00095114" w:rsidP="00602568">
      <w:pPr>
        <w:spacing w:before="100" w:beforeAutospacing="1" w:after="100" w:afterAutospacing="1"/>
      </w:pPr>
      <w:r w:rsidRPr="00602568">
        <w:rPr>
          <w:b/>
          <w:bCs/>
        </w:rPr>
        <w:t>Učinak:</w:t>
      </w:r>
      <w:r w:rsidRPr="00602568">
        <w:t xml:space="preserve"> Povećanje energetske učinkovitosti, povećanje korištenja OIE, poticanje održivog korištenja resursa i kružnog gospodarstva te ublažavanje klimatskih promjena kroz smanjenje emisija stakleničkih plinova poslovnih subjekata.</w:t>
      </w:r>
    </w:p>
    <w:p w14:paraId="0FA7E7CB" w14:textId="77777777" w:rsidR="00095114" w:rsidRPr="00602568" w:rsidRDefault="00095114" w:rsidP="00602568">
      <w:pPr>
        <w:spacing w:before="100" w:beforeAutospacing="1" w:after="100" w:afterAutospacing="1"/>
      </w:pPr>
      <w:r w:rsidRPr="00602568">
        <w:rPr>
          <w:b/>
          <w:bCs/>
        </w:rPr>
        <w:t>Metoda praćenja:</w:t>
      </w:r>
      <w:r w:rsidRPr="00602568">
        <w:t xml:space="preserve"> Broj poslovnih subjekata koji izračunavaju ugljikov otisak, izrađuju akcijski plan, provode mjere i prate učinak mjera kroz smanjenje emisije stakleničkih plinova; izračun godišnjeg smanjenja emisije stakleničkih plinova za sve poslovne subjekte, koji sudjeluju u dobrovoljnom/obveznom programu izračuna i smanjenja ugljikova otiska.</w:t>
      </w:r>
    </w:p>
    <w:p w14:paraId="37741683" w14:textId="77777777" w:rsidR="00095114" w:rsidRPr="00602568" w:rsidRDefault="00095114" w:rsidP="00602568">
      <w:pPr>
        <w:spacing w:before="100" w:beforeAutospacing="1" w:after="100" w:afterAutospacing="1"/>
      </w:pPr>
      <w:r w:rsidRPr="00602568">
        <w:rPr>
          <w:b/>
          <w:bCs/>
        </w:rPr>
        <w:t>Povezanost s drugim dimenzijama:</w:t>
      </w:r>
      <w:r w:rsidRPr="00602568">
        <w:t xml:space="preserve"> Izračun i smanjenje ugljikova otiska poslovnih subjekata doprinosi drugim dimenzijama, a naročito povećanju energetske učinkovitosti i većem </w:t>
      </w:r>
      <w:r w:rsidRPr="00602568">
        <w:lastRenderedPageBreak/>
        <w:t>korištenju OIE (dekarbonizacija). Provođenje mjere neizravno utječe i na povećanje energetske sigurnosti te na istraživanje, inovacije i konkurentnost.</w:t>
      </w:r>
    </w:p>
    <w:p w14:paraId="7B90692B" w14:textId="77777777" w:rsidR="00095114" w:rsidRPr="00602568" w:rsidRDefault="00095114" w:rsidP="00602568">
      <w:pPr>
        <w:spacing w:before="100" w:beforeAutospacing="1" w:after="100" w:afterAutospacing="1"/>
      </w:pPr>
      <w:r w:rsidRPr="00602568">
        <w:rPr>
          <w:b/>
          <w:bCs/>
        </w:rPr>
        <w:t>Povezanost s prilagodbom klimatskim promjenama:</w:t>
      </w:r>
      <w:r w:rsidRPr="00602568">
        <w:t xml:space="preserve"> Primjena mjera smanjenja ugljikova otiska poslovnih subjekata se planira uz integraciju mjera prilagodbe klimatskim promjenama te jačanje otpornosti, odnosno smanjenja ranjivosti OIE tehnologija na klimatske promjene.</w:t>
      </w:r>
    </w:p>
    <w:p w14:paraId="75076FCE" w14:textId="6E1F7EB2" w:rsidR="00095114" w:rsidRPr="00602568" w:rsidRDefault="00095114" w:rsidP="00602568">
      <w:pPr>
        <w:spacing w:before="100" w:beforeAutospacing="1" w:after="100" w:afterAutospacing="1"/>
      </w:pPr>
      <w:r w:rsidRPr="00602568">
        <w:rPr>
          <w:b/>
          <w:bCs/>
        </w:rPr>
        <w:t>Istraživanje i razvoj:</w:t>
      </w:r>
      <w:r w:rsidRPr="00602568">
        <w:t xml:space="preserve"> Potiče se primjena inovativnih mjera za smanjenje ugljikova otiska, a koje su posljedica istraživanja i razvoja.</w:t>
      </w:r>
    </w:p>
    <w:p w14:paraId="4A91C3AE" w14:textId="38CB02A6" w:rsidR="003A6103" w:rsidRPr="00840E2E" w:rsidRDefault="004506FD" w:rsidP="003A6103">
      <w:pPr>
        <w:rPr>
          <w:b/>
          <w:u w:val="single"/>
        </w:rPr>
      </w:pPr>
      <w:r>
        <w:rPr>
          <w:b/>
          <w:u w:val="single"/>
        </w:rPr>
        <w:t>MS-11</w:t>
      </w:r>
      <w:r w:rsidR="003A6103" w:rsidRPr="00840E2E">
        <w:rPr>
          <w:b/>
          <w:u w:val="single"/>
        </w:rPr>
        <w:t xml:space="preserve">: </w:t>
      </w:r>
      <w:r w:rsidR="00044C47" w:rsidRPr="00840E2E">
        <w:rPr>
          <w:b/>
          <w:u w:val="single"/>
        </w:rPr>
        <w:t>Uspostava platforme za k</w:t>
      </w:r>
      <w:r w:rsidR="003A6103" w:rsidRPr="00840E2E">
        <w:rPr>
          <w:b/>
          <w:u w:val="single"/>
        </w:rPr>
        <w:t>ružno gospodarstvo</w:t>
      </w:r>
    </w:p>
    <w:p w14:paraId="40E44280" w14:textId="0C12B5D5" w:rsidR="005D0343" w:rsidRPr="005D0343" w:rsidRDefault="005D0343" w:rsidP="003A6103">
      <w:pPr>
        <w:rPr>
          <w:b/>
          <w:bCs/>
        </w:rPr>
      </w:pPr>
      <w:r w:rsidRPr="005D0343">
        <w:rPr>
          <w:b/>
          <w:bCs/>
        </w:rPr>
        <w:t>Informativna, obrazovna, regulatorna mjera; provedba: 2021</w:t>
      </w:r>
      <w:r w:rsidR="00024A39">
        <w:rPr>
          <w:b/>
          <w:bCs/>
        </w:rPr>
        <w:t>.</w:t>
      </w:r>
      <w:r w:rsidRPr="005D0343">
        <w:rPr>
          <w:b/>
          <w:bCs/>
        </w:rPr>
        <w:t>-2030.</w:t>
      </w:r>
    </w:p>
    <w:p w14:paraId="550CCB18" w14:textId="70C2CB52" w:rsidR="003A6103" w:rsidRPr="00602568" w:rsidRDefault="003A6103" w:rsidP="003A6103">
      <w:r w:rsidRPr="00602568">
        <w:t>Prema Paketu za kružno gospodarstvo iz 2018</w:t>
      </w:r>
      <w:r w:rsidR="53B4DFB6" w:rsidRPr="00602568">
        <w:t>.</w:t>
      </w:r>
      <w:r w:rsidRPr="00602568">
        <w:t xml:space="preserve">, EK je razradila 54 mjere u Akcijskom planu za kružno gospodarstvo COM(2015) 614 i okviru za praćenje kružnog gospodarstva COM(2018) 29 final. Potrebno je razraditi sustavni pristup u svim vrijednosnim lancima koje se odnose na hrvatsko gospodarstvo, a odnose se na navedene mjere u Akcijskom planu na čijem temelju Komisija integrira načela kružnog gospodarstva u proizvodnju i potrošnju plastike, gospodarenje vodama, prehrambene sustave i gospodarenje posebnim tokovima otpada. Potrebno je osnovati međusektorsku tematsku radnu skupinu koja će odrediti dionike kružnog gospodarstva (fokus na industriju i dobavljače sirovina, energenata i ambalaže) i prema njima napraviti nacionalni akcijski plan za tranziciju na kružno gospodarstvo. Uključivanje predstavnika RH u Platformu dionika za Europsko kružno gospodarstvo omogućuje </w:t>
      </w:r>
      <w:r w:rsidR="115E214A" w:rsidRPr="00602568">
        <w:t xml:space="preserve">izravan </w:t>
      </w:r>
      <w:r w:rsidRPr="00602568">
        <w:t xml:space="preserve">pristup inovacijama i najboljim praksama kao i suradnju u istima. </w:t>
      </w:r>
      <w:r w:rsidR="00A772EE">
        <w:t>Mjera je povezana</w:t>
      </w:r>
      <w:r w:rsidR="7D9E456E" w:rsidRPr="00602568">
        <w:t xml:space="preserve"> s </w:t>
      </w:r>
      <w:r w:rsidR="004506FD">
        <w:t>MS-1</w:t>
      </w:r>
      <w:r w:rsidR="00A93676">
        <w:t>2</w:t>
      </w:r>
      <w:r w:rsidR="7D9E456E" w:rsidRPr="00602568">
        <w:t xml:space="preserve"> i svim mjerama u GO.</w:t>
      </w:r>
    </w:p>
    <w:p w14:paraId="5E1E6998" w14:textId="5E62F0FF" w:rsidR="003A6103" w:rsidRPr="00840E2E" w:rsidRDefault="004506FD" w:rsidP="003A6103">
      <w:pPr>
        <w:rPr>
          <w:b/>
          <w:u w:val="single"/>
        </w:rPr>
      </w:pPr>
      <w:r>
        <w:rPr>
          <w:b/>
          <w:u w:val="single"/>
        </w:rPr>
        <w:t>MS-12</w:t>
      </w:r>
      <w:r w:rsidR="003A6103" w:rsidRPr="00840E2E">
        <w:rPr>
          <w:b/>
          <w:u w:val="single"/>
        </w:rPr>
        <w:t xml:space="preserve">: </w:t>
      </w:r>
      <w:r w:rsidR="00044C47" w:rsidRPr="00840E2E">
        <w:rPr>
          <w:b/>
          <w:u w:val="single"/>
        </w:rPr>
        <w:t>Uspostava platforme za b</w:t>
      </w:r>
      <w:r w:rsidR="003A6103" w:rsidRPr="00840E2E">
        <w:rPr>
          <w:b/>
          <w:u w:val="single"/>
        </w:rPr>
        <w:t>iogospodarstvo</w:t>
      </w:r>
    </w:p>
    <w:p w14:paraId="458CEDCC" w14:textId="44D67356" w:rsidR="005D0343" w:rsidRPr="005D0343" w:rsidRDefault="005D0343" w:rsidP="005D0343">
      <w:pPr>
        <w:rPr>
          <w:b/>
          <w:bCs/>
        </w:rPr>
      </w:pPr>
      <w:r w:rsidRPr="005D0343">
        <w:rPr>
          <w:b/>
          <w:bCs/>
        </w:rPr>
        <w:t>Informativna, obrazovna, regulatorna mjera; provedba: 2021</w:t>
      </w:r>
      <w:r w:rsidR="00024A39">
        <w:rPr>
          <w:b/>
          <w:bCs/>
        </w:rPr>
        <w:t>.</w:t>
      </w:r>
      <w:r w:rsidRPr="005D0343">
        <w:rPr>
          <w:b/>
          <w:bCs/>
        </w:rPr>
        <w:t>-2030.</w:t>
      </w:r>
    </w:p>
    <w:p w14:paraId="748D999D" w14:textId="02BCFB29" w:rsidR="003A6103" w:rsidRPr="00602568" w:rsidRDefault="00523632" w:rsidP="000C3300">
      <w:r>
        <w:t>U kontekstu razvoja</w:t>
      </w:r>
      <w:r w:rsidR="003A6103" w:rsidRPr="00602568">
        <w:t xml:space="preserve"> biogospodarstv</w:t>
      </w:r>
      <w:r>
        <w:t>a,</w:t>
      </w:r>
      <w:r w:rsidR="003A6103" w:rsidRPr="00602568">
        <w:t xml:space="preserve"> </w:t>
      </w:r>
      <w:r>
        <w:t>nužno je povezati</w:t>
      </w:r>
      <w:r w:rsidR="003A6103">
        <w:t xml:space="preserve"> </w:t>
      </w:r>
      <w:r w:rsidR="003A6103" w:rsidRPr="00602568">
        <w:t xml:space="preserve">tri ključna aspekta: razvoj novih tehnologija i procesa; razvoj tržišta i konkurentnost sektora temeljenih na biomasi te politička volja za suradnju politike i dionika </w:t>
      </w:r>
      <w:r w:rsidR="0D8DE074" w:rsidRPr="00602568">
        <w:t xml:space="preserve">da bi se </w:t>
      </w:r>
      <w:r w:rsidR="003A6103" w:rsidRPr="00602568">
        <w:t>biogospodarstv</w:t>
      </w:r>
      <w:r w:rsidR="0D8DE074" w:rsidRPr="00602568">
        <w:t>o</w:t>
      </w:r>
      <w:r w:rsidR="003A6103" w:rsidRPr="00602568">
        <w:t xml:space="preserve"> ostvaril</w:t>
      </w:r>
      <w:r w:rsidR="003250B5">
        <w:t>o</w:t>
      </w:r>
      <w:r w:rsidR="003A6103" w:rsidRPr="00602568">
        <w:t xml:space="preserve"> u hrvatskom kontekstu. Time se treba osigurati </w:t>
      </w:r>
      <w:r>
        <w:t>transformacija</w:t>
      </w:r>
      <w:r w:rsidR="003A6103" w:rsidRPr="00602568">
        <w:t xml:space="preserve"> postojećih „tradicionalnih“ dionika biogospodarstva (poljoprivrednika, OPG-a, prehrambeno-prerađivačke, drvno-prerađivačke, farmaceutske i kemijske industrije…) </w:t>
      </w:r>
      <w:r>
        <w:t>u nove,</w:t>
      </w:r>
      <w:r w:rsidR="003A6103" w:rsidRPr="00602568">
        <w:t xml:space="preserve"> moderne dionike čiji proizvodi više nisu temeljeni na neobnovlj</w:t>
      </w:r>
      <w:r w:rsidR="00AE3CDB">
        <w:t>iv</w:t>
      </w:r>
      <w:r w:rsidR="003A6103" w:rsidRPr="00602568">
        <w:t>om ugljiku (bioplastika, biogoriva, biokemikalije, proizvodi „tradicionalnih“ dionika s manjim ugljičnim otiskom...) i pripremiti ih za najavljene EU fondove za tranziciju na biogospodarstvo. Za prelazak na biogospodarstvo je ne</w:t>
      </w:r>
      <w:r w:rsidR="7D76D19D" w:rsidRPr="00602568">
        <w:t>op</w:t>
      </w:r>
      <w:r w:rsidR="003A6103" w:rsidRPr="00602568">
        <w:t>hodno prilagoditi sektore poljoprivrede, šumarstva i gospodarenja otpadom kako bi se uravnotežila ponuda i potražnja za biomasom, što uključuje i osnivanje sabirno-logističkih centara za biomasu</w:t>
      </w:r>
      <w:r w:rsidR="00A47967">
        <w:t xml:space="preserve"> i</w:t>
      </w:r>
      <w:r w:rsidR="003A6103" w:rsidRPr="00602568">
        <w:t xml:space="preserve"> biorafinerija</w:t>
      </w:r>
      <w:r w:rsidR="00A47967">
        <w:t xml:space="preserve">. </w:t>
      </w:r>
      <w:r w:rsidR="00A772EE">
        <w:t>Mjera je povezana</w:t>
      </w:r>
      <w:r w:rsidR="003A6103" w:rsidRPr="00602568">
        <w:t xml:space="preserve"> s </w:t>
      </w:r>
      <w:r w:rsidR="30CEBB1E" w:rsidRPr="00602568">
        <w:t>POLJ-</w:t>
      </w:r>
      <w:r w:rsidR="005C6B93">
        <w:t>4</w:t>
      </w:r>
      <w:r w:rsidR="30CEBB1E" w:rsidRPr="00602568">
        <w:t xml:space="preserve">,7,9 </w:t>
      </w:r>
      <w:r w:rsidR="7D9E456E" w:rsidRPr="00602568">
        <w:t xml:space="preserve">te </w:t>
      </w:r>
      <w:r w:rsidR="003A6103" w:rsidRPr="00602568">
        <w:t>TR-</w:t>
      </w:r>
      <w:r w:rsidR="30CEBB1E" w:rsidRPr="00602568">
        <w:t xml:space="preserve">5,9 i </w:t>
      </w:r>
      <w:r w:rsidR="003A6103" w:rsidRPr="00602568">
        <w:t xml:space="preserve">12. </w:t>
      </w:r>
      <w:r w:rsidR="00D36A42">
        <w:t>Putem ove platforme, n</w:t>
      </w:r>
      <w:r w:rsidR="002B770E">
        <w:t xml:space="preserve">acionalni dionici povezat će se </w:t>
      </w:r>
      <w:r w:rsidR="003A6103" w:rsidRPr="00602568">
        <w:t xml:space="preserve">s inicijativama u EU. </w:t>
      </w:r>
    </w:p>
    <w:p w14:paraId="5132429B" w14:textId="5D747587" w:rsidR="00564265" w:rsidRPr="00840E2E" w:rsidRDefault="004506FD" w:rsidP="00564265">
      <w:pPr>
        <w:rPr>
          <w:b/>
          <w:u w:val="single"/>
        </w:rPr>
      </w:pPr>
      <w:r>
        <w:rPr>
          <w:b/>
          <w:u w:val="single"/>
        </w:rPr>
        <w:t>MS-13</w:t>
      </w:r>
      <w:r w:rsidR="00564265" w:rsidRPr="00840E2E">
        <w:rPr>
          <w:b/>
          <w:u w:val="single"/>
        </w:rPr>
        <w:t xml:space="preserve">: </w:t>
      </w:r>
      <w:r w:rsidR="009C3BDF" w:rsidRPr="00840E2E">
        <w:rPr>
          <w:b/>
          <w:u w:val="single"/>
        </w:rPr>
        <w:t>Uspostava platforme za tehnologiju vodika</w:t>
      </w:r>
      <w:r w:rsidR="009C3BDF" w:rsidRPr="00840E2E" w:rsidDel="009C3BDF">
        <w:rPr>
          <w:b/>
          <w:u w:val="single"/>
        </w:rPr>
        <w:t xml:space="preserve"> </w:t>
      </w:r>
    </w:p>
    <w:p w14:paraId="4A8B8B04" w14:textId="7213849A" w:rsidR="005D0343" w:rsidRPr="005D0343" w:rsidRDefault="005D0343" w:rsidP="005D0343">
      <w:pPr>
        <w:rPr>
          <w:b/>
          <w:bCs/>
        </w:rPr>
      </w:pPr>
      <w:r w:rsidRPr="005D0343">
        <w:rPr>
          <w:b/>
          <w:bCs/>
        </w:rPr>
        <w:lastRenderedPageBreak/>
        <w:t>Informativna, obrazovna, regulatorna mjera; provedba: 2021</w:t>
      </w:r>
      <w:r w:rsidR="00024A39">
        <w:rPr>
          <w:b/>
          <w:bCs/>
        </w:rPr>
        <w:t>.</w:t>
      </w:r>
      <w:r w:rsidRPr="005D0343">
        <w:rPr>
          <w:b/>
          <w:bCs/>
        </w:rPr>
        <w:t>-2030.</w:t>
      </w:r>
    </w:p>
    <w:p w14:paraId="2872A50A" w14:textId="59D760E0" w:rsidR="00564265" w:rsidRPr="009477C1" w:rsidRDefault="00005D35" w:rsidP="00286B4C">
      <w:pPr>
        <w:spacing w:before="100" w:beforeAutospacing="1" w:after="100" w:afterAutospacing="1"/>
      </w:pPr>
      <w:r>
        <w:t>Očekuje se kako će uloga vodika u energetskim</w:t>
      </w:r>
      <w:r w:rsidR="004B4A73">
        <w:t xml:space="preserve"> i prometnim</w:t>
      </w:r>
      <w:r>
        <w:t xml:space="preserve"> sustavima budućnosti biti značajnija, tim više što će ciljevi u pogledu smanjenja emisija stakleničkih plinova biti ambiciozniji. </w:t>
      </w:r>
      <w:r w:rsidR="008245A1">
        <w:t>Zato je potrebno pr</w:t>
      </w:r>
      <w:r w:rsidR="0084604C">
        <w:t>a</w:t>
      </w:r>
      <w:r w:rsidR="008245A1">
        <w:t>vovremeno identificirati prilike povezane s korištenjem vodika</w:t>
      </w:r>
      <w:r w:rsidR="0092668D">
        <w:t>,</w:t>
      </w:r>
      <w:r w:rsidR="008245A1">
        <w:t xml:space="preserve"> razmotriti </w:t>
      </w:r>
      <w:r w:rsidR="001D3D72">
        <w:t xml:space="preserve">njegovu primjenu u </w:t>
      </w:r>
      <w:r w:rsidR="001D3D72" w:rsidRPr="009F572E">
        <w:t>narednom desetljeću</w:t>
      </w:r>
      <w:r w:rsidR="00D87F5B" w:rsidRPr="009F572E">
        <w:t xml:space="preserve"> </w:t>
      </w:r>
      <w:r w:rsidR="00D87F5B" w:rsidRPr="00286B4C">
        <w:t>i istražiti mogućnosti financijskog poticanja proizvodnje i potrošnje vodika</w:t>
      </w:r>
      <w:r w:rsidR="001D3D72" w:rsidRPr="009F572E">
        <w:t>. U tu svrhu će se formirati platforma za tehnologiju vodika koja će povezati nacionalne dionike relevantne</w:t>
      </w:r>
      <w:r w:rsidR="001D3D72">
        <w:t xml:space="preserve"> za istraživanje i primjenu tehnologije vodika</w:t>
      </w:r>
      <w:r w:rsidR="003A5F68">
        <w:t xml:space="preserve">, </w:t>
      </w:r>
      <w:r w:rsidR="000E05A8">
        <w:t>pratiti razvoj teh</w:t>
      </w:r>
      <w:r w:rsidR="00677E7D">
        <w:t>n</w:t>
      </w:r>
      <w:r w:rsidR="000E05A8">
        <w:t>ologija vodika na EU i međunarodnoj razini</w:t>
      </w:r>
      <w:r w:rsidR="003A5F68">
        <w:t xml:space="preserve"> te služiti kao poveznica između nacionalne, EU i međunarodne razine</w:t>
      </w:r>
      <w:r w:rsidR="000E05A8">
        <w:t xml:space="preserve">. </w:t>
      </w:r>
    </w:p>
    <w:p w14:paraId="781BCA3A" w14:textId="1AF0E045" w:rsidR="00174263" w:rsidRDefault="00706DCB" w:rsidP="008870B5">
      <w:pPr>
        <w:rPr>
          <w:rFonts w:cs="Arial"/>
        </w:rPr>
      </w:pPr>
      <w:r>
        <w:t xml:space="preserve">U nastavku su prikazane mjere vezane za </w:t>
      </w:r>
      <w:r w:rsidRPr="00276CE9">
        <w:rPr>
          <w:b/>
        </w:rPr>
        <w:t>industrijske procese</w:t>
      </w:r>
      <w:r>
        <w:t>.</w:t>
      </w:r>
      <w:r w:rsidR="00924F7F">
        <w:t xml:space="preserve"> U praćenju učinkovitosti ovih mjera, veliku će ulogu imati </w:t>
      </w:r>
      <w:r w:rsidR="006402AC" w:rsidRPr="006402AC">
        <w:t>Informacijski sustav zaštite prirode</w:t>
      </w:r>
      <w:r w:rsidR="006402AC">
        <w:t>, koji vodi Zavod za zaštitu prirode, unutar MZOE.</w:t>
      </w:r>
    </w:p>
    <w:p w14:paraId="2D5AF57F" w14:textId="4E0E6421" w:rsidR="00706DCB" w:rsidRDefault="00706DCB" w:rsidP="00706DCB">
      <w:pPr>
        <w:rPr>
          <w:rFonts w:cs="Arial"/>
          <w:b/>
          <w:bCs/>
          <w:u w:val="single"/>
        </w:rPr>
      </w:pPr>
      <w:r w:rsidRPr="00840E2E">
        <w:rPr>
          <w:rFonts w:cs="Arial"/>
          <w:b/>
          <w:bCs/>
          <w:u w:val="single"/>
        </w:rPr>
        <w:t xml:space="preserve">IP-1: </w:t>
      </w:r>
      <w:r w:rsidR="00C36C28" w:rsidRPr="00840E2E">
        <w:rPr>
          <w:rFonts w:cs="Arial"/>
          <w:b/>
          <w:bCs/>
          <w:u w:val="single"/>
        </w:rPr>
        <w:t>Smanjenje udjela klinkera u proizvodnji cementa</w:t>
      </w:r>
    </w:p>
    <w:p w14:paraId="19241A5C" w14:textId="49563A98" w:rsidR="00F16325" w:rsidRPr="005D0343" w:rsidRDefault="005D0343" w:rsidP="00706DCB">
      <w:pPr>
        <w:rPr>
          <w:rFonts w:cs="Arial"/>
          <w:b/>
          <w:bCs/>
        </w:rPr>
      </w:pPr>
      <w:r w:rsidRPr="005D0343">
        <w:rPr>
          <w:rFonts w:cs="Arial"/>
          <w:b/>
          <w:bCs/>
        </w:rPr>
        <w:t>Ekonomska i okolišna mjera; provedba: 2021</w:t>
      </w:r>
      <w:r w:rsidR="00024A39">
        <w:rPr>
          <w:rFonts w:cs="Arial"/>
          <w:b/>
          <w:bCs/>
        </w:rPr>
        <w:t>.</w:t>
      </w:r>
      <w:r w:rsidRPr="005D0343">
        <w:rPr>
          <w:rFonts w:cs="Arial"/>
          <w:b/>
          <w:bCs/>
        </w:rPr>
        <w:t>-2030</w:t>
      </w:r>
      <w:r w:rsidR="00024A39">
        <w:rPr>
          <w:rFonts w:cs="Arial"/>
          <w:b/>
          <w:bCs/>
        </w:rPr>
        <w:t>.</w:t>
      </w:r>
    </w:p>
    <w:p w14:paraId="2DF80B02" w14:textId="77777777" w:rsidR="00F16325" w:rsidRPr="00F16325" w:rsidRDefault="00F16325" w:rsidP="00F16325">
      <w:pPr>
        <w:ind w:left="147"/>
        <w:rPr>
          <w:rFonts w:cs="Arial"/>
        </w:rPr>
      </w:pPr>
      <w:r w:rsidRPr="00F16325">
        <w:rPr>
          <w:rFonts w:cs="Arial"/>
        </w:rPr>
        <w:t>Od ukupne direktne emisije ugljikovog dioksida (CO</w:t>
      </w:r>
      <w:r w:rsidRPr="00F16325">
        <w:rPr>
          <w:rFonts w:cs="Arial"/>
          <w:vertAlign w:val="subscript"/>
        </w:rPr>
        <w:t>2</w:t>
      </w:r>
      <w:r w:rsidRPr="00F16325">
        <w:rPr>
          <w:rFonts w:cs="Arial"/>
        </w:rPr>
        <w:t>) iz proizvodnje cementa, oko 60 posto se odnosi na proces proizvodnje klinkera, a ostalih 40 posto čine emisije uslijed izgaranja goriva u rotacijskoj peći i za druge potrebe u procesu proizvodnje cementa. Smanjenjem udjela klinkera, odnosno povećanjem udjela mineralnih dodataka u proizvodnji cementa, smanjuje se potrebna količina proizvedenog klinkera, što doprinosi smanjenju ukupne emisije CO2 u proizvodnji cementa.</w:t>
      </w:r>
    </w:p>
    <w:p w14:paraId="1588C768" w14:textId="1FCB1C6E" w:rsidR="00706DCB" w:rsidRPr="001025CD" w:rsidRDefault="00F16325" w:rsidP="00F16325">
      <w:pPr>
        <w:ind w:left="147"/>
        <w:rPr>
          <w:rFonts w:cs="Arial"/>
        </w:rPr>
      </w:pPr>
      <w:r w:rsidRPr="00F16325">
        <w:rPr>
          <w:rFonts w:cs="Arial"/>
        </w:rPr>
        <w:t>Udio klinkera u cementu definiran je normom HRN EN 197-1. Povećanje udjela mineralnih dodataka u cementu ovisno je o sastavu sirovine, raspoloživosti dodataka odgovarajućeg sastava na tržištu te o zahtjevima tržišta za pojedinim vrstama cementa s većim udjelom dodataka, a manjim udjelom klinkera.</w:t>
      </w:r>
      <w:r w:rsidR="00C623EB" w:rsidRPr="00C623EB">
        <w:rPr>
          <w:rFonts w:cs="Arial"/>
        </w:rPr>
        <w:t>.</w:t>
      </w:r>
    </w:p>
    <w:p w14:paraId="6A73452E" w14:textId="3D89E9C6" w:rsidR="00706DCB" w:rsidRPr="00840E2E" w:rsidRDefault="00706DCB" w:rsidP="00706DCB">
      <w:pPr>
        <w:rPr>
          <w:rFonts w:cs="Arial"/>
          <w:b/>
          <w:bCs/>
          <w:u w:val="single"/>
        </w:rPr>
      </w:pPr>
      <w:r w:rsidRPr="00840E2E">
        <w:rPr>
          <w:rFonts w:cs="Arial"/>
          <w:b/>
          <w:bCs/>
          <w:u w:val="single"/>
        </w:rPr>
        <w:t xml:space="preserve">IP-2: </w:t>
      </w:r>
      <w:r w:rsidR="006C544C" w:rsidRPr="00840E2E">
        <w:rPr>
          <w:rFonts w:cs="Arial"/>
          <w:b/>
          <w:bCs/>
          <w:u w:val="single"/>
        </w:rPr>
        <w:t>Ograničavanje emisija fl</w:t>
      </w:r>
      <w:r w:rsidR="00C910BC">
        <w:rPr>
          <w:rFonts w:cs="Arial"/>
          <w:b/>
          <w:bCs/>
          <w:u w:val="single"/>
        </w:rPr>
        <w:t>uo</w:t>
      </w:r>
      <w:r w:rsidR="006C544C" w:rsidRPr="00840E2E">
        <w:rPr>
          <w:rFonts w:cs="Arial"/>
          <w:b/>
          <w:bCs/>
          <w:u w:val="single"/>
        </w:rPr>
        <w:t>riranih stakleničkih plinova</w:t>
      </w:r>
      <w:r w:rsidR="006C544C" w:rsidRPr="00840E2E" w:rsidDel="006C544C">
        <w:rPr>
          <w:rFonts w:cs="Arial"/>
          <w:b/>
          <w:bCs/>
          <w:u w:val="single"/>
        </w:rPr>
        <w:t xml:space="preserve"> </w:t>
      </w:r>
    </w:p>
    <w:p w14:paraId="7462AB4C" w14:textId="1BCAD4A6" w:rsidR="00024A39" w:rsidRPr="00024A39" w:rsidRDefault="00024A39" w:rsidP="00024A39">
      <w:pPr>
        <w:rPr>
          <w:rFonts w:cs="Arial"/>
          <w:b/>
          <w:bCs/>
        </w:rPr>
      </w:pPr>
      <w:r w:rsidRPr="00024A39">
        <w:rPr>
          <w:rFonts w:cs="Arial"/>
          <w:b/>
          <w:bCs/>
        </w:rPr>
        <w:t>Regulatorna, ekonomska, obrazovna mjera; provedba: 2021</w:t>
      </w:r>
      <w:r>
        <w:rPr>
          <w:rFonts w:cs="Arial"/>
          <w:b/>
          <w:bCs/>
        </w:rPr>
        <w:t>.</w:t>
      </w:r>
      <w:r w:rsidRPr="00024A39">
        <w:rPr>
          <w:rFonts w:cs="Arial"/>
          <w:b/>
          <w:bCs/>
        </w:rPr>
        <w:t>-2030.</w:t>
      </w:r>
    </w:p>
    <w:p w14:paraId="664B49FF" w14:textId="06729249" w:rsidR="00C24A02" w:rsidRPr="00C24A02" w:rsidRDefault="00C24A02" w:rsidP="00840E2E">
      <w:pPr>
        <w:ind w:left="142"/>
        <w:rPr>
          <w:rFonts w:cs="Arial"/>
        </w:rPr>
      </w:pPr>
      <w:r w:rsidRPr="00C24A02">
        <w:rPr>
          <w:rFonts w:cs="Arial"/>
        </w:rPr>
        <w:t>Provedba Uredbe (EU) br. 517/2014 u Republici Hrvatskoj regulirana je Zakonom o provedbi Uredbe (EU) br. 517/2014 Europskog parlamenta i Vijeća od 16. travnja 2014. o fluoriranim stakleničkim plinovima i stavljanju izvan snage Uredbe (EZ) br. 842/2006 (NN 61/17, 118/18), koji je na snazi od 01.01.2019. godine.</w:t>
      </w:r>
    </w:p>
    <w:p w14:paraId="6331DBD6" w14:textId="451F56DD" w:rsidR="00706DCB" w:rsidRPr="001025CD" w:rsidRDefault="00C24A02" w:rsidP="00C24A02">
      <w:pPr>
        <w:ind w:left="147"/>
        <w:rPr>
          <w:rFonts w:cs="Arial"/>
        </w:rPr>
      </w:pPr>
      <w:r w:rsidRPr="00C24A02">
        <w:rPr>
          <w:rFonts w:cs="Arial"/>
        </w:rPr>
        <w:t xml:space="preserve">Mjerom su definirane aktivnosti i postupci za sprječavanje emisija fluoriranih stakleničkih plinova, provođenje provjere propuštanja opreme, korištenje opreme sa sustavima za otkrivanje propuštanja, vođenje evidencije o opremi na kojoj je potrebno obavljati provjere propuštanja, prikupljanje fluoriranih stakleničkih plinova kako bi se osiguralo njihovo obnavljanje, oporaba ili uništavanje, razvoj sustava odgovornosti proizvođača za prikupljanje </w:t>
      </w:r>
      <w:r w:rsidRPr="00C24A02">
        <w:rPr>
          <w:rFonts w:cs="Arial"/>
        </w:rPr>
        <w:lastRenderedPageBreak/>
        <w:t>fluoriranih stakleničkih plinova i njihovo obnavljanje, oporabu ili uništavanje te primjena programa za osposobljavanje i certifikaciju</w:t>
      </w:r>
      <w:r w:rsidR="00706DCB" w:rsidRPr="001025CD">
        <w:rPr>
          <w:rFonts w:cs="Arial"/>
        </w:rPr>
        <w:t>.</w:t>
      </w:r>
    </w:p>
    <w:p w14:paraId="6DA1C4ED" w14:textId="0CB3AC98" w:rsidR="00706DCB" w:rsidRPr="00840E2E" w:rsidRDefault="00706DCB" w:rsidP="00706DCB">
      <w:pPr>
        <w:rPr>
          <w:rFonts w:cs="Arial"/>
          <w:b/>
          <w:bCs/>
          <w:u w:val="single"/>
        </w:rPr>
      </w:pPr>
      <w:r w:rsidRPr="00840E2E">
        <w:rPr>
          <w:rFonts w:cs="Arial"/>
          <w:b/>
          <w:bCs/>
          <w:u w:val="single"/>
        </w:rPr>
        <w:t xml:space="preserve">IP-3: </w:t>
      </w:r>
      <w:r w:rsidR="00DA0761" w:rsidRPr="00840E2E">
        <w:rPr>
          <w:rFonts w:cs="Arial"/>
          <w:b/>
          <w:bCs/>
          <w:u w:val="single"/>
        </w:rPr>
        <w:t>Postupno smanjenje količine fluorougljikovodika koj</w:t>
      </w:r>
      <w:r w:rsidR="00CB3DC0" w:rsidRPr="00840E2E">
        <w:rPr>
          <w:rFonts w:cs="Arial"/>
          <w:b/>
          <w:bCs/>
          <w:u w:val="single"/>
        </w:rPr>
        <w:t>a</w:t>
      </w:r>
      <w:r w:rsidR="00DA0761" w:rsidRPr="00840E2E">
        <w:rPr>
          <w:rFonts w:cs="Arial"/>
          <w:b/>
          <w:bCs/>
          <w:u w:val="single"/>
        </w:rPr>
        <w:t xml:space="preserve"> se mo</w:t>
      </w:r>
      <w:r w:rsidR="00CB3DC0" w:rsidRPr="00840E2E">
        <w:rPr>
          <w:rFonts w:cs="Arial"/>
          <w:b/>
          <w:bCs/>
          <w:u w:val="single"/>
        </w:rPr>
        <w:t>že</w:t>
      </w:r>
      <w:r w:rsidR="00DA0761" w:rsidRPr="00840E2E">
        <w:rPr>
          <w:rFonts w:cs="Arial"/>
          <w:b/>
          <w:bCs/>
          <w:u w:val="single"/>
        </w:rPr>
        <w:t xml:space="preserve"> stavljati na tržište</w:t>
      </w:r>
      <w:r w:rsidR="00DA0761" w:rsidRPr="00840E2E" w:rsidDel="00DA0761">
        <w:rPr>
          <w:rFonts w:cs="Arial"/>
          <w:b/>
          <w:bCs/>
          <w:u w:val="single"/>
        </w:rPr>
        <w:t xml:space="preserve"> </w:t>
      </w:r>
    </w:p>
    <w:p w14:paraId="2D2EC8D0" w14:textId="77777777" w:rsidR="003A0664" w:rsidRPr="00024A39" w:rsidRDefault="003A0664" w:rsidP="003A0664">
      <w:pPr>
        <w:rPr>
          <w:rFonts w:cs="Arial"/>
          <w:b/>
          <w:bCs/>
        </w:rPr>
      </w:pPr>
      <w:r w:rsidRPr="00024A39">
        <w:rPr>
          <w:rFonts w:cs="Arial"/>
          <w:b/>
          <w:bCs/>
        </w:rPr>
        <w:t>Regulatorna, ekonomska, obrazovna mjera; provedba: 2021</w:t>
      </w:r>
      <w:r>
        <w:rPr>
          <w:rFonts w:cs="Arial"/>
          <w:b/>
          <w:bCs/>
        </w:rPr>
        <w:t>.</w:t>
      </w:r>
      <w:r w:rsidRPr="00024A39">
        <w:rPr>
          <w:rFonts w:cs="Arial"/>
          <w:b/>
          <w:bCs/>
        </w:rPr>
        <w:t>-2030.</w:t>
      </w:r>
    </w:p>
    <w:p w14:paraId="1F2E7BC7" w14:textId="77777777" w:rsidR="00A612F2" w:rsidRPr="00A612F2" w:rsidRDefault="00A612F2" w:rsidP="00840E2E">
      <w:pPr>
        <w:ind w:left="142"/>
        <w:rPr>
          <w:rFonts w:cs="Arial"/>
        </w:rPr>
      </w:pPr>
      <w:r w:rsidRPr="00A612F2">
        <w:rPr>
          <w:rFonts w:cs="Arial"/>
        </w:rPr>
        <w:t>Mjera se odnosi na postupno ograničavanje količine fluorougljikovodika dostupnih na tržištu EU do 2030. godine na 21% od ukupne količine fluorougljikovodika koji su stavljeni na tržište tijekom referentnog razdoblja od 2009. do 2012. godine., kako je utvrđeno Uredbom (EU) br. 517/2014.</w:t>
      </w:r>
    </w:p>
    <w:p w14:paraId="720C9B13" w14:textId="0DDAE9D2" w:rsidR="00706DCB" w:rsidRPr="001025CD" w:rsidRDefault="00A612F2" w:rsidP="00A612F2">
      <w:pPr>
        <w:ind w:left="147"/>
        <w:rPr>
          <w:rFonts w:cs="Arial"/>
        </w:rPr>
      </w:pPr>
      <w:r w:rsidRPr="00A612F2">
        <w:rPr>
          <w:rFonts w:cs="Arial"/>
        </w:rPr>
        <w:t>Uredbom (EU) br. 517/2014 uvodi se sustav kvota za stavljanje fluorougljikovodika na tržište. Izračun referentnih vrijednosti i raspodjelu kvota potrebno je temeljiti na prijavljenim količinama fluorougljikovodika koji su stavljeni na tržište tijekom referentnog razdoblja od 2009. do 2012. godine. Kvote za stavljanje fluorougljikovodika na tržište dodjeljuju se za svakog proizvođača i uvoznika za svaku godinu, s početkom od 2015. godine, na temelju referentnih vrijednosti, primjenjujući definirane postotke za izračun maksimalne količine fluorougljikovodika za stavljanje na tržište te mehanizam dodjele</w:t>
      </w:r>
      <w:r w:rsidR="00706DCB" w:rsidRPr="00706DCB">
        <w:rPr>
          <w:rFonts w:cs="Arial"/>
        </w:rPr>
        <w:t>.</w:t>
      </w:r>
    </w:p>
    <w:p w14:paraId="76F5C70D" w14:textId="2248CC0C" w:rsidR="00706DCB" w:rsidRPr="00840E2E" w:rsidRDefault="00706DCB" w:rsidP="00706DCB">
      <w:pPr>
        <w:rPr>
          <w:rFonts w:cs="Arial"/>
          <w:b/>
          <w:bCs/>
          <w:u w:val="single"/>
        </w:rPr>
      </w:pPr>
      <w:r w:rsidRPr="00840E2E">
        <w:rPr>
          <w:rFonts w:cs="Arial"/>
          <w:b/>
          <w:bCs/>
          <w:u w:val="single"/>
        </w:rPr>
        <w:t xml:space="preserve">IP-4: </w:t>
      </w:r>
      <w:r w:rsidR="00FB21D8" w:rsidRPr="00840E2E">
        <w:rPr>
          <w:rFonts w:cs="Arial"/>
          <w:b/>
          <w:bCs/>
          <w:u w:val="single"/>
        </w:rPr>
        <w:t>Ograničenja i zabrana stavljanja na tržište određenih proizvoda i opreme</w:t>
      </w:r>
      <w:r w:rsidR="00FB21D8" w:rsidRPr="00840E2E" w:rsidDel="00FB21D8">
        <w:rPr>
          <w:rFonts w:cs="Arial"/>
          <w:b/>
          <w:bCs/>
          <w:u w:val="single"/>
        </w:rPr>
        <w:t xml:space="preserve"> </w:t>
      </w:r>
    </w:p>
    <w:p w14:paraId="76DA9CFD" w14:textId="77777777" w:rsidR="003A0664" w:rsidRPr="00024A39" w:rsidRDefault="003A0664" w:rsidP="003A0664">
      <w:pPr>
        <w:rPr>
          <w:rFonts w:cs="Arial"/>
          <w:b/>
          <w:bCs/>
        </w:rPr>
      </w:pPr>
      <w:r w:rsidRPr="00024A39">
        <w:rPr>
          <w:rFonts w:cs="Arial"/>
          <w:b/>
          <w:bCs/>
        </w:rPr>
        <w:t>Regulatorna, ekonomska, obrazovna mjera; provedba: 2021</w:t>
      </w:r>
      <w:r>
        <w:rPr>
          <w:rFonts w:cs="Arial"/>
          <w:b/>
          <w:bCs/>
        </w:rPr>
        <w:t>.</w:t>
      </w:r>
      <w:r w:rsidRPr="00024A39">
        <w:rPr>
          <w:rFonts w:cs="Arial"/>
          <w:b/>
          <w:bCs/>
        </w:rPr>
        <w:t>-2030.</w:t>
      </w:r>
    </w:p>
    <w:p w14:paraId="4DE23528" w14:textId="5DC8A905" w:rsidR="00706DCB" w:rsidRPr="001025CD" w:rsidRDefault="00E8671B" w:rsidP="00E8671B">
      <w:pPr>
        <w:ind w:left="147"/>
        <w:rPr>
          <w:rFonts w:cs="Arial"/>
        </w:rPr>
      </w:pPr>
      <w:r w:rsidRPr="00E8671B">
        <w:rPr>
          <w:rFonts w:cs="Arial"/>
        </w:rPr>
        <w:t>Fluorirani staklenički plinovi s visokim stakleničkim potencijalom ograničeni su za upotrebu u novoj opremi za hlađenje i klimatizaciju, sustavima za gašenje požara, dodacima za potiskivanje pjena i aerosolima</w:t>
      </w:r>
      <w:r w:rsidR="00706DCB" w:rsidRPr="00706DCB">
        <w:rPr>
          <w:rFonts w:cs="Arial"/>
        </w:rPr>
        <w:t>.</w:t>
      </w:r>
    </w:p>
    <w:p w14:paraId="5A68F78A" w14:textId="6C259338" w:rsidR="00850315" w:rsidRPr="00840E2E" w:rsidRDefault="00850315" w:rsidP="00850315">
      <w:pPr>
        <w:rPr>
          <w:rFonts w:cs="Arial"/>
          <w:b/>
          <w:bCs/>
          <w:u w:val="single"/>
        </w:rPr>
      </w:pPr>
      <w:r w:rsidRPr="00840E2E">
        <w:rPr>
          <w:rFonts w:cs="Arial"/>
          <w:b/>
          <w:bCs/>
          <w:u w:val="single"/>
        </w:rPr>
        <w:t xml:space="preserve">IP-5: </w:t>
      </w:r>
      <w:r w:rsidR="001A6A0B" w:rsidRPr="00840E2E">
        <w:rPr>
          <w:rFonts w:cs="Arial"/>
          <w:b/>
          <w:bCs/>
          <w:u w:val="single"/>
        </w:rPr>
        <w:t>Smanjenje emisija fluoriranih stakleničkih plinova iz mobilnih sustava za klimatiziranje</w:t>
      </w:r>
      <w:r w:rsidR="001A6A0B" w:rsidRPr="00840E2E" w:rsidDel="001A6A0B">
        <w:rPr>
          <w:rFonts w:cs="Arial"/>
          <w:b/>
          <w:bCs/>
          <w:u w:val="single"/>
        </w:rPr>
        <w:t xml:space="preserve"> </w:t>
      </w:r>
    </w:p>
    <w:p w14:paraId="41EA9D4D" w14:textId="7E02B749" w:rsidR="008826EB" w:rsidRPr="00024A39" w:rsidRDefault="008826EB" w:rsidP="008826EB">
      <w:pPr>
        <w:rPr>
          <w:rFonts w:cs="Arial"/>
          <w:b/>
          <w:bCs/>
        </w:rPr>
      </w:pPr>
      <w:r w:rsidRPr="00024A39">
        <w:rPr>
          <w:rFonts w:cs="Arial"/>
          <w:b/>
          <w:bCs/>
        </w:rPr>
        <w:t>Regulatorna mjera; provedba: 2021</w:t>
      </w:r>
      <w:r>
        <w:rPr>
          <w:rFonts w:cs="Arial"/>
          <w:b/>
          <w:bCs/>
        </w:rPr>
        <w:t>.</w:t>
      </w:r>
      <w:r w:rsidRPr="00024A39">
        <w:rPr>
          <w:rFonts w:cs="Arial"/>
          <w:b/>
          <w:bCs/>
        </w:rPr>
        <w:t>-2030.</w:t>
      </w:r>
    </w:p>
    <w:p w14:paraId="07ED3C9B" w14:textId="45E699BE" w:rsidR="00850315" w:rsidRDefault="000F7E4A" w:rsidP="00850315">
      <w:pPr>
        <w:ind w:left="147"/>
        <w:rPr>
          <w:rFonts w:cs="Arial"/>
        </w:rPr>
      </w:pPr>
      <w:r w:rsidRPr="000F7E4A">
        <w:rPr>
          <w:rFonts w:cs="Arial"/>
        </w:rPr>
        <w:t>Direktiva 2006/40/EZ Europskog parlamenta i Vijeća od 17. svibnja 2006. o emisijama iz sustava za klimatizaciju u motornim vozilima i o izmjeni Direktive Vijeća 70/156/EEZ provedena je u tri faze. Posljednja faza stupila je na snagu 01.01.2017. godine ograničenjem mogućnosti naknadne ugradnje klimatizacijske opreme oblikovane da sadrži fluorirane stakleničke plinove s potencijalom globalnog zagrijavanja iznad 150 u motorna vozila i zabranom punjenja klimatizacijske opreme tim plinovima</w:t>
      </w:r>
      <w:r w:rsidR="00850315" w:rsidRPr="00706DCB">
        <w:rPr>
          <w:rFonts w:cs="Arial"/>
        </w:rPr>
        <w:t>.</w:t>
      </w:r>
    </w:p>
    <w:p w14:paraId="67D3C269" w14:textId="77777777" w:rsidR="00B53E9C" w:rsidRPr="001025CD" w:rsidRDefault="00B53E9C" w:rsidP="00850315">
      <w:pPr>
        <w:ind w:left="147"/>
        <w:rPr>
          <w:rFonts w:cs="Arial"/>
        </w:rPr>
      </w:pPr>
    </w:p>
    <w:p w14:paraId="7B0892F3" w14:textId="24A52763" w:rsidR="00A15C5F" w:rsidRDefault="00A15C5F" w:rsidP="00840E2E">
      <w:pPr>
        <w:ind w:left="147"/>
      </w:pPr>
      <w:r>
        <w:t xml:space="preserve">U nastavku su prikazane mjere vezane za </w:t>
      </w:r>
      <w:r w:rsidRPr="0031468F">
        <w:rPr>
          <w:b/>
        </w:rPr>
        <w:t>gospodarenje otpadom</w:t>
      </w:r>
      <w:r>
        <w:t>.</w:t>
      </w:r>
    </w:p>
    <w:p w14:paraId="6C02599C" w14:textId="4878DC23" w:rsidR="00A15C5F" w:rsidRPr="00840E2E" w:rsidRDefault="00A15C5F" w:rsidP="00A15C5F">
      <w:pPr>
        <w:rPr>
          <w:rFonts w:cs="Arial"/>
          <w:b/>
          <w:bCs/>
          <w:u w:val="single"/>
        </w:rPr>
      </w:pPr>
      <w:r w:rsidRPr="00840E2E">
        <w:rPr>
          <w:rFonts w:cs="Arial"/>
          <w:b/>
          <w:bCs/>
          <w:u w:val="single"/>
        </w:rPr>
        <w:t>GO-1: Sprječavanje nastajanja i smanjivanje količine krutog otpada</w:t>
      </w:r>
    </w:p>
    <w:p w14:paraId="2C9BF164" w14:textId="77777777" w:rsidR="00974513" w:rsidRPr="00024A39" w:rsidRDefault="00974513" w:rsidP="00974513">
      <w:pPr>
        <w:rPr>
          <w:rFonts w:cs="Arial"/>
          <w:b/>
          <w:bCs/>
        </w:rPr>
      </w:pPr>
      <w:r w:rsidRPr="00024A39">
        <w:rPr>
          <w:rFonts w:cs="Arial"/>
          <w:b/>
          <w:bCs/>
        </w:rPr>
        <w:t>Regulatorna, ekonomska, obrazovna mjera; provedba: 2021</w:t>
      </w:r>
      <w:r>
        <w:rPr>
          <w:rFonts w:cs="Arial"/>
          <w:b/>
          <w:bCs/>
        </w:rPr>
        <w:t>.</w:t>
      </w:r>
      <w:r w:rsidRPr="00024A39">
        <w:rPr>
          <w:rFonts w:cs="Arial"/>
          <w:b/>
          <w:bCs/>
        </w:rPr>
        <w:t>-2030.</w:t>
      </w:r>
    </w:p>
    <w:p w14:paraId="5B8437B5" w14:textId="77777777" w:rsidR="00766F36" w:rsidRPr="00766F36" w:rsidRDefault="00766F36" w:rsidP="00840E2E">
      <w:pPr>
        <w:ind w:left="142"/>
        <w:rPr>
          <w:rFonts w:cs="Arial"/>
        </w:rPr>
      </w:pPr>
      <w:r w:rsidRPr="00766F36">
        <w:rPr>
          <w:rFonts w:cs="Arial"/>
        </w:rPr>
        <w:lastRenderedPageBreak/>
        <w:t>To je prvi po redu prioritet u gospodarenju otpadom, prema Zakonu o održivom gospodarenju otpadom (NN 94/13, 73/17, 14/19). Sprječavanje nastajanja i smanjivanje količine otpada uključuje komunalni otpad, proizvodni otpad i mulj iz uređaja za pročišćavanje otpadnih voda.</w:t>
      </w:r>
    </w:p>
    <w:p w14:paraId="7A59F783" w14:textId="77777777" w:rsidR="00766F36" w:rsidRPr="00766F36" w:rsidRDefault="00766F36" w:rsidP="00840E2E">
      <w:pPr>
        <w:ind w:left="142"/>
        <w:rPr>
          <w:rFonts w:cs="Arial"/>
        </w:rPr>
      </w:pPr>
      <w:r w:rsidRPr="00766F36">
        <w:rPr>
          <w:rFonts w:cs="Arial"/>
        </w:rPr>
        <w:t xml:space="preserve">Ova mjera se treba postići čistijom proizvodnjom, odgojem i obrazovanjem, ekonomskim instrumentima, primjenom propisa u gospodarenju otpadom i ulaganjem u suvremene tehnologije. Sukladno zakonu definirani su kvantitativni ciljevi i rokovi za smanjenje ukupne količine odloženog otpada na neusklađena odlagališta. Odlaganje otpada na neusklađena odlagališta u RH zabranjeno je nakon 31. prosinca 2017. godine. </w:t>
      </w:r>
    </w:p>
    <w:p w14:paraId="53EA709F" w14:textId="7789BCA9" w:rsidR="00A15C5F" w:rsidRDefault="00766F36" w:rsidP="00766F36">
      <w:pPr>
        <w:ind w:left="147"/>
        <w:rPr>
          <w:rFonts w:cs="Arial"/>
        </w:rPr>
      </w:pPr>
      <w:r w:rsidRPr="00766F36">
        <w:rPr>
          <w:rFonts w:cs="Arial"/>
        </w:rPr>
        <w:t>Prema Direktivi (EU) 2018/850 Europskog parlamenta i Vijeća od 30. svibnja 2018. o izmjeni Direktive 1999/31/EZ o odlagalištima otpada, države članice trebale bi poduzeti potrebne mjere da se do 2035. godine količina odloženog komunalnog otpada smanji na 10% ukupne količine (po masi) proizvedenog komunalnog otpada ili manje. Hrvatska je dobila mogućnost odgode od pet godina za ispunjavanje navedenog cilja jer je među državama članicama koje su 2013. godine odlagale više od 60% komunalnog otpada na odlagalištima. Sukladno tome, Hrvatska mora poduzeti potrebne mjere da se do 2035. godine količina komunalnog otpada koji se odlaže smanji na 25% ukupne količine (po masi) nastalog komunalnog otpada ili manje.</w:t>
      </w:r>
    </w:p>
    <w:p w14:paraId="2D36F5DE" w14:textId="641D5D63" w:rsidR="00A15C5F" w:rsidRPr="00840E2E" w:rsidRDefault="00A15C5F" w:rsidP="00A15C5F">
      <w:pPr>
        <w:rPr>
          <w:rFonts w:cs="Arial"/>
          <w:b/>
          <w:bCs/>
          <w:u w:val="single"/>
        </w:rPr>
      </w:pPr>
      <w:r w:rsidRPr="00840E2E">
        <w:rPr>
          <w:rFonts w:cs="Arial"/>
          <w:b/>
          <w:bCs/>
          <w:u w:val="single"/>
        </w:rPr>
        <w:t>GO-2: Povećanje količine odvojeno s</w:t>
      </w:r>
      <w:r w:rsidR="00C23269">
        <w:rPr>
          <w:rFonts w:cs="Arial"/>
          <w:b/>
          <w:bCs/>
          <w:u w:val="single"/>
        </w:rPr>
        <w:t>a</w:t>
      </w:r>
      <w:r w:rsidRPr="00840E2E">
        <w:rPr>
          <w:rFonts w:cs="Arial"/>
          <w:b/>
          <w:bCs/>
          <w:u w:val="single"/>
        </w:rPr>
        <w:t>kupljenog i recikliranog krutog otpada</w:t>
      </w:r>
    </w:p>
    <w:p w14:paraId="75884831" w14:textId="77777777" w:rsidR="00974513" w:rsidRPr="00024A39" w:rsidRDefault="00974513" w:rsidP="00974513">
      <w:pPr>
        <w:rPr>
          <w:rFonts w:cs="Arial"/>
          <w:b/>
          <w:bCs/>
        </w:rPr>
      </w:pPr>
      <w:r w:rsidRPr="00024A39">
        <w:rPr>
          <w:rFonts w:cs="Arial"/>
          <w:b/>
          <w:bCs/>
        </w:rPr>
        <w:t>Regulatorna, ekonomska, obrazovna mjera; provedba: 2021</w:t>
      </w:r>
      <w:r>
        <w:rPr>
          <w:rFonts w:cs="Arial"/>
          <w:b/>
          <w:bCs/>
        </w:rPr>
        <w:t>.</w:t>
      </w:r>
      <w:r w:rsidRPr="00024A39">
        <w:rPr>
          <w:rFonts w:cs="Arial"/>
          <w:b/>
          <w:bCs/>
        </w:rPr>
        <w:t>-2030.</w:t>
      </w:r>
    </w:p>
    <w:p w14:paraId="26E709F8" w14:textId="77777777" w:rsidR="00B02BDE" w:rsidRPr="00B02BDE" w:rsidRDefault="00B02BDE" w:rsidP="00840E2E">
      <w:pPr>
        <w:ind w:left="142"/>
        <w:rPr>
          <w:rFonts w:cs="Arial"/>
        </w:rPr>
      </w:pPr>
      <w:r w:rsidRPr="00B02BDE">
        <w:rPr>
          <w:rFonts w:cs="Arial"/>
        </w:rPr>
        <w:t>Kvantitativni ciljevi i rokovi za povećanje količine odvojeno skupljenog i recikliranog otpada osim Zakonom o održivom gospodarenju otpadom definirani su i Planom gospodarenja otpadom Republike Hrvatske za razdoblje 2017. - 2022. godine (NN 3/17). Do 2020. godine potrebno je osigurati pripremu za ponovnu uporabu i recikliranje sljedećih otpadnih materijala: papir, metal, plastika i staklo iz kućanstva, a po mogućnosti i iz drugih izvora ako su ti tokovi otpada slični otpadu iz kućanstva, u minimalnom udjelu od 50% mase otpada.</w:t>
      </w:r>
    </w:p>
    <w:p w14:paraId="30831838" w14:textId="5D1AD4FC" w:rsidR="00A15C5F" w:rsidRDefault="00B02BDE" w:rsidP="00B02BDE">
      <w:pPr>
        <w:ind w:left="147"/>
        <w:rPr>
          <w:rFonts w:cs="Arial"/>
        </w:rPr>
      </w:pPr>
      <w:r w:rsidRPr="00B02BDE">
        <w:rPr>
          <w:rFonts w:cs="Arial"/>
        </w:rPr>
        <w:t>Prema Direktivi (EU) 2018/851 Europskog parlamenta i Vijeća od 30. svibnja 2018. o izmjeni Direktive 2008/98/EZ o otpadu, države članice trebale bi poduzeti potrebne mjere da se priprema za ponovnu uporabu i recikliranje komunalnog otpada poveća na najmanje 55% mase do 2025. godine, 60% mase do 2030. godine i 65% mase do 2035. godine. Hrvatska je dobila mogućnost odgode od pet godina za ispunjavanje navedenih ciljeva jer je među državama članicama koje su 2013. godine reciklirale manje od 20% komunalnog otpada. Sukladno tome, Hrvatska mora poduzeti potrebne mjere za povećanje pripreme za ponovnu uporabu i recikliranje komunalnog otpada na najmanje 50% do 2025. godine, 55% do 2030. godine i 60% do 2035. godine.</w:t>
      </w:r>
    </w:p>
    <w:p w14:paraId="4794DAF4" w14:textId="17B6DE3B" w:rsidR="00A15C5F" w:rsidRPr="00840E2E" w:rsidRDefault="00A15C5F" w:rsidP="00A15C5F">
      <w:pPr>
        <w:rPr>
          <w:rFonts w:cs="Arial"/>
          <w:b/>
          <w:bCs/>
          <w:u w:val="single"/>
        </w:rPr>
      </w:pPr>
      <w:r w:rsidRPr="00840E2E">
        <w:rPr>
          <w:rFonts w:cs="Arial"/>
          <w:b/>
          <w:bCs/>
          <w:u w:val="single"/>
        </w:rPr>
        <w:t xml:space="preserve">GO-3: </w:t>
      </w:r>
      <w:r w:rsidR="00CD20D2" w:rsidRPr="00840E2E">
        <w:rPr>
          <w:rFonts w:cs="Arial"/>
          <w:b/>
          <w:bCs/>
          <w:u w:val="single"/>
        </w:rPr>
        <w:t xml:space="preserve">Osiguravanje </w:t>
      </w:r>
      <w:r w:rsidR="00B04A0C" w:rsidRPr="00840E2E">
        <w:rPr>
          <w:rFonts w:cs="Arial"/>
          <w:b/>
          <w:bCs/>
          <w:u w:val="single"/>
        </w:rPr>
        <w:t>sustava obrade i korištenja odlagališnog plina</w:t>
      </w:r>
    </w:p>
    <w:p w14:paraId="084668DB" w14:textId="77777777" w:rsidR="00974513" w:rsidRPr="00024A39" w:rsidRDefault="00974513" w:rsidP="00974513">
      <w:pPr>
        <w:rPr>
          <w:rFonts w:cs="Arial"/>
          <w:b/>
          <w:bCs/>
        </w:rPr>
      </w:pPr>
      <w:r w:rsidRPr="00024A39">
        <w:rPr>
          <w:rFonts w:cs="Arial"/>
          <w:b/>
          <w:bCs/>
        </w:rPr>
        <w:t>Regulatorna, ekonomska, obrazovna mjera; provedba: 2021</w:t>
      </w:r>
      <w:r>
        <w:rPr>
          <w:rFonts w:cs="Arial"/>
          <w:b/>
          <w:bCs/>
        </w:rPr>
        <w:t>.</w:t>
      </w:r>
      <w:r w:rsidRPr="00024A39">
        <w:rPr>
          <w:rFonts w:cs="Arial"/>
          <w:b/>
          <w:bCs/>
        </w:rPr>
        <w:t>-2030.</w:t>
      </w:r>
    </w:p>
    <w:p w14:paraId="0321FD62" w14:textId="77777777" w:rsidR="00AB3DE7" w:rsidRPr="00AB3DE7" w:rsidRDefault="00AB3DE7" w:rsidP="00840E2E">
      <w:pPr>
        <w:ind w:left="142"/>
        <w:rPr>
          <w:rFonts w:cs="Arial"/>
        </w:rPr>
      </w:pPr>
      <w:r w:rsidRPr="00AB3DE7">
        <w:rPr>
          <w:rFonts w:cs="Arial"/>
        </w:rPr>
        <w:lastRenderedPageBreak/>
        <w:t>Pravilnikom o načinima i uvjetima odlaganja otpada, kategorijama i uvjetima rada za odlagališta otpada (NN 114/15, 103/18, 56/19) i Pravilnikom o gospodarenju otpadom (NN 117/17) propisani su strogi tehnički uvjeti rada za odlagališta otpada, kojima se smanjuju moguće štetne posljedice odlagališta na okoliš. 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p w14:paraId="34A0A89E" w14:textId="00867687" w:rsidR="00A15C5F" w:rsidRDefault="00AB3DE7" w:rsidP="00AB3DE7">
      <w:pPr>
        <w:ind w:left="147"/>
        <w:rPr>
          <w:rFonts w:cs="Arial"/>
        </w:rPr>
      </w:pPr>
      <w:r w:rsidRPr="00AB3DE7">
        <w:rPr>
          <w:rFonts w:cs="Arial"/>
        </w:rPr>
        <w:t>Primjena obvezujućih ciljeva vezanih uz smanjenje odlaganja i recikliranje otpada, opisanih u mjerama Sprječavanje nastajanja i smanjivanje količine krutog otpada i Povećanje količine odvojeno skupljenog i recikliranog krutog otpada, utječe na količinu nastalog odlagališnog plina</w:t>
      </w:r>
      <w:r w:rsidR="00A15C5F" w:rsidRPr="00A15C5F">
        <w:rPr>
          <w:rFonts w:cs="Arial"/>
        </w:rPr>
        <w:t>.</w:t>
      </w:r>
    </w:p>
    <w:p w14:paraId="6D3D2DAE" w14:textId="417DB943" w:rsidR="00A15C5F" w:rsidRPr="00840E2E" w:rsidRDefault="00A15C5F" w:rsidP="00A15C5F">
      <w:pPr>
        <w:rPr>
          <w:rFonts w:cs="Arial"/>
          <w:b/>
          <w:bCs/>
          <w:u w:val="single"/>
        </w:rPr>
      </w:pPr>
      <w:r w:rsidRPr="00840E2E">
        <w:rPr>
          <w:rFonts w:cs="Arial"/>
          <w:b/>
          <w:bCs/>
          <w:u w:val="single"/>
        </w:rPr>
        <w:t>GO-4: Smanjenje količine odloženog biorazgradivog otpada</w:t>
      </w:r>
    </w:p>
    <w:p w14:paraId="10314026" w14:textId="77777777" w:rsidR="00974513" w:rsidRPr="00024A39" w:rsidRDefault="00974513" w:rsidP="00974513">
      <w:pPr>
        <w:rPr>
          <w:rFonts w:cs="Arial"/>
          <w:b/>
          <w:bCs/>
        </w:rPr>
      </w:pPr>
      <w:r w:rsidRPr="00024A39">
        <w:rPr>
          <w:rFonts w:cs="Arial"/>
          <w:b/>
          <w:bCs/>
        </w:rPr>
        <w:t>Regulatorna, ekonomska, obrazovna mjera; provedba: 2021</w:t>
      </w:r>
      <w:r>
        <w:rPr>
          <w:rFonts w:cs="Arial"/>
          <w:b/>
          <w:bCs/>
        </w:rPr>
        <w:t>.</w:t>
      </w:r>
      <w:r w:rsidRPr="00024A39">
        <w:rPr>
          <w:rFonts w:cs="Arial"/>
          <w:b/>
          <w:bCs/>
        </w:rPr>
        <w:t>-2030.</w:t>
      </w:r>
    </w:p>
    <w:p w14:paraId="596C7947" w14:textId="5F1665FE" w:rsidR="00A15C5F" w:rsidRDefault="00A15C5F" w:rsidP="00A15C5F">
      <w:pPr>
        <w:ind w:left="147"/>
        <w:rPr>
          <w:rFonts w:cs="Arial"/>
        </w:rPr>
      </w:pPr>
      <w:r w:rsidRPr="00A15C5F">
        <w:rPr>
          <w:rFonts w:cs="Arial"/>
        </w:rPr>
        <w:t>Cilj ove mjere je smanjiti količinu biorazgradive frakcije otpada koja se odlaže na odlagalištu, čime se smanjuje emisija metana nastalog anaerobnim procesima razgradnje otpada.</w:t>
      </w:r>
      <w:r>
        <w:rPr>
          <w:rFonts w:cs="Arial"/>
        </w:rPr>
        <w:t xml:space="preserve"> </w:t>
      </w:r>
      <w:r w:rsidRPr="00A15C5F">
        <w:rPr>
          <w:rFonts w:cs="Arial"/>
        </w:rPr>
        <w:t>Sukladno Zakonu o održivom gospodarenju otpadom utvrđeni su kvantitativni ciljevi koji se odnose na smanjenje udjela biorazgradivog komunalnog otpada koji se odlaže na odlagališta. Do kraja 2020. godine udio biorazgradivog komunalnog otpada koji se odlaže na odlagališta mora se smanjiti na 35% masenog udjela biorazgradivog komunalnog otpada koji je proizveden 1997. godine.</w:t>
      </w:r>
    </w:p>
    <w:p w14:paraId="7953B449" w14:textId="19EB6D50" w:rsidR="008A7ACF" w:rsidRDefault="008A7ACF" w:rsidP="00A15C5F">
      <w:pPr>
        <w:ind w:left="147"/>
        <w:rPr>
          <w:rFonts w:cs="Arial"/>
        </w:rPr>
      </w:pPr>
      <w:r w:rsidRPr="008A7ACF">
        <w:rPr>
          <w:rFonts w:cs="Arial"/>
        </w:rPr>
        <w:t>Primjena obvezujućih ciljeva vezanih uz smanjenje odlaganja i recikliranje otpada, opisanih u mjerama Sprječavanje nastajanja i smanjivanje količine krutog otpada i Povećanje količine odvojeno skupljenog i recikliranog krutog otpada, utječe na smanjenje količine odloženog biorazgradivog otpada.</w:t>
      </w:r>
    </w:p>
    <w:p w14:paraId="113DC9D9" w14:textId="65246A4C" w:rsidR="00A15C5F" w:rsidRPr="00840E2E" w:rsidRDefault="00A15C5F" w:rsidP="00A15C5F">
      <w:pPr>
        <w:rPr>
          <w:rFonts w:cs="Arial"/>
          <w:b/>
          <w:bCs/>
          <w:u w:val="single"/>
        </w:rPr>
      </w:pPr>
      <w:r w:rsidRPr="00840E2E">
        <w:rPr>
          <w:rFonts w:cs="Arial"/>
          <w:b/>
          <w:bCs/>
          <w:u w:val="single"/>
        </w:rPr>
        <w:t>GO-5: Korištenje bioplina za proizvodnju</w:t>
      </w:r>
      <w:r w:rsidR="00336254" w:rsidRPr="00840E2E">
        <w:rPr>
          <w:rFonts w:cs="Arial"/>
          <w:b/>
          <w:bCs/>
          <w:u w:val="single"/>
        </w:rPr>
        <w:t xml:space="preserve"> biometana,</w:t>
      </w:r>
      <w:r w:rsidRPr="00840E2E">
        <w:rPr>
          <w:rFonts w:cs="Arial"/>
          <w:b/>
          <w:bCs/>
          <w:u w:val="single"/>
        </w:rPr>
        <w:t xml:space="preserve"> električne energije</w:t>
      </w:r>
      <w:r w:rsidR="00360798">
        <w:rPr>
          <w:rFonts w:cs="Arial"/>
          <w:b/>
          <w:bCs/>
          <w:u w:val="single"/>
        </w:rPr>
        <w:t xml:space="preserve"> i</w:t>
      </w:r>
      <w:r w:rsidR="007F78D8" w:rsidRPr="00840E2E">
        <w:rPr>
          <w:rFonts w:cs="Arial"/>
          <w:b/>
          <w:bCs/>
          <w:u w:val="single"/>
        </w:rPr>
        <w:t xml:space="preserve"> </w:t>
      </w:r>
      <w:r w:rsidRPr="00840E2E">
        <w:rPr>
          <w:rFonts w:cs="Arial"/>
          <w:b/>
          <w:bCs/>
          <w:u w:val="single"/>
        </w:rPr>
        <w:t>topline</w:t>
      </w:r>
      <w:r w:rsidR="007F78D8" w:rsidRPr="00840E2E">
        <w:rPr>
          <w:rFonts w:cs="Arial"/>
          <w:b/>
          <w:bCs/>
          <w:u w:val="single"/>
        </w:rPr>
        <w:t xml:space="preserve"> </w:t>
      </w:r>
    </w:p>
    <w:p w14:paraId="7864FB92" w14:textId="6458393C" w:rsidR="008C3CD5" w:rsidRPr="00024A39" w:rsidRDefault="008C3CD5" w:rsidP="008C3CD5">
      <w:pPr>
        <w:rPr>
          <w:rFonts w:cs="Arial"/>
          <w:b/>
          <w:bCs/>
        </w:rPr>
      </w:pPr>
      <w:r w:rsidRPr="00024A39">
        <w:rPr>
          <w:rFonts w:cs="Arial"/>
          <w:b/>
          <w:bCs/>
        </w:rPr>
        <w:t>Regulatorna, ekonomska mjera; provedba: 2021</w:t>
      </w:r>
      <w:r>
        <w:rPr>
          <w:rFonts w:cs="Arial"/>
          <w:b/>
          <w:bCs/>
        </w:rPr>
        <w:t>.</w:t>
      </w:r>
      <w:r w:rsidRPr="00024A39">
        <w:rPr>
          <w:rFonts w:cs="Arial"/>
          <w:b/>
          <w:bCs/>
        </w:rPr>
        <w:t>-2030.</w:t>
      </w:r>
    </w:p>
    <w:p w14:paraId="0A754255" w14:textId="054062D8" w:rsidR="00A15C5F" w:rsidRDefault="00A15C5F" w:rsidP="00A15C5F">
      <w:pPr>
        <w:ind w:left="147"/>
        <w:rPr>
          <w:rFonts w:cs="Arial"/>
        </w:rPr>
      </w:pPr>
      <w:r w:rsidRPr="00A15C5F">
        <w:rPr>
          <w:rFonts w:cs="Arial"/>
        </w:rPr>
        <w:t xml:space="preserve">Mjera je povezana s mjerom </w:t>
      </w:r>
      <w:r w:rsidR="00387630" w:rsidRPr="00387630">
        <w:rPr>
          <w:rFonts w:cs="Arial"/>
        </w:rPr>
        <w:t>OIE-</w:t>
      </w:r>
      <w:r w:rsidR="00966AC9">
        <w:rPr>
          <w:rFonts w:cs="Arial"/>
        </w:rPr>
        <w:t>3</w:t>
      </w:r>
      <w:r w:rsidR="00387630" w:rsidRPr="00387630">
        <w:rPr>
          <w:rFonts w:cs="Arial"/>
        </w:rPr>
        <w:t xml:space="preserve">: Poticanje korištenja </w:t>
      </w:r>
      <w:r w:rsidR="00A646A2">
        <w:rPr>
          <w:rFonts w:cs="Arial"/>
        </w:rPr>
        <w:t xml:space="preserve">OIE </w:t>
      </w:r>
      <w:r w:rsidR="00387630" w:rsidRPr="00387630">
        <w:rPr>
          <w:rFonts w:cs="Arial"/>
        </w:rPr>
        <w:t>za proizvodnju električne</w:t>
      </w:r>
      <w:r w:rsidR="00A21FBF">
        <w:rPr>
          <w:rFonts w:cs="Arial"/>
        </w:rPr>
        <w:t xml:space="preserve"> i toplinske</w:t>
      </w:r>
      <w:r w:rsidR="00387630" w:rsidRPr="00387630">
        <w:rPr>
          <w:rFonts w:cs="Arial"/>
        </w:rPr>
        <w:t xml:space="preserve"> energije</w:t>
      </w:r>
      <w:r w:rsidR="00387630">
        <w:rPr>
          <w:rFonts w:cs="Arial"/>
        </w:rPr>
        <w:t xml:space="preserve">, </w:t>
      </w:r>
      <w:r w:rsidR="00067915">
        <w:rPr>
          <w:rFonts w:cs="Arial"/>
        </w:rPr>
        <w:t>u okviru obnovljivih izvora</w:t>
      </w:r>
      <w:r w:rsidR="00387630">
        <w:rPr>
          <w:rFonts w:cs="Arial"/>
        </w:rPr>
        <w:t xml:space="preserve"> energije</w:t>
      </w:r>
      <w:r w:rsidR="00951D21">
        <w:rPr>
          <w:rFonts w:cs="Arial"/>
        </w:rPr>
        <w:t xml:space="preserve"> te </w:t>
      </w:r>
      <w:r w:rsidR="00FA16B6" w:rsidRPr="00FA16B6">
        <w:rPr>
          <w:rFonts w:cs="Arial"/>
        </w:rPr>
        <w:t xml:space="preserve">TR-5: Obveza korištenja </w:t>
      </w:r>
      <w:r w:rsidR="00587252">
        <w:rPr>
          <w:rFonts w:cs="Arial"/>
        </w:rPr>
        <w:t>obnovljivih izvora energije</w:t>
      </w:r>
      <w:r w:rsidR="00FA16B6" w:rsidRPr="00FA16B6">
        <w:rPr>
          <w:rFonts w:cs="Arial"/>
        </w:rPr>
        <w:t xml:space="preserve"> u prometu</w:t>
      </w:r>
      <w:r w:rsidR="3EBAC2D7" w:rsidRPr="00FA16B6">
        <w:rPr>
          <w:rFonts w:cs="Arial"/>
        </w:rPr>
        <w:t xml:space="preserve">, </w:t>
      </w:r>
      <w:r w:rsidR="00DC15AF">
        <w:rPr>
          <w:rFonts w:cs="Arial"/>
        </w:rPr>
        <w:t>TR-12</w:t>
      </w:r>
      <w:r w:rsidR="122CD346" w:rsidRPr="00FA16B6">
        <w:rPr>
          <w:rFonts w:cs="Arial"/>
        </w:rPr>
        <w:t xml:space="preserve"> i </w:t>
      </w:r>
      <w:r w:rsidR="00DC15AF">
        <w:rPr>
          <w:rFonts w:cs="Arial"/>
        </w:rPr>
        <w:t>TR-9</w:t>
      </w:r>
      <w:r w:rsidR="122CD346" w:rsidRPr="00FA16B6">
        <w:rPr>
          <w:rFonts w:cs="Arial"/>
        </w:rPr>
        <w:t>:</w:t>
      </w:r>
      <w:r w:rsidRPr="00A15C5F">
        <w:rPr>
          <w:rFonts w:cs="Arial"/>
        </w:rPr>
        <w:t>.</w:t>
      </w:r>
      <w:r w:rsidR="0086329E">
        <w:rPr>
          <w:rFonts w:cs="Arial"/>
        </w:rPr>
        <w:t xml:space="preserve"> </w:t>
      </w:r>
      <w:r w:rsidRPr="00A15C5F">
        <w:rPr>
          <w:rFonts w:cs="Arial"/>
        </w:rPr>
        <w:t>Gledajući sektor gospodarenja otpadom, potencijal smanjenja emisije stakleničkih plinova ove mjere predstavlja potencijal smanjenja emisije metana (nastalog anaerobnom razgradnjom biorazgradive frakcije otpada), koji se koristi za proizvodnju električne energije i topline.</w:t>
      </w:r>
      <w:r w:rsidR="0040290E">
        <w:rPr>
          <w:rFonts w:cs="Arial"/>
        </w:rPr>
        <w:t xml:space="preserve"> Također se predviđa ubrizgavanje bio</w:t>
      </w:r>
      <w:r w:rsidR="00055E45">
        <w:rPr>
          <w:rFonts w:cs="Arial"/>
        </w:rPr>
        <w:t>metan</w:t>
      </w:r>
      <w:r w:rsidR="0040290E">
        <w:rPr>
          <w:rFonts w:cs="Arial"/>
        </w:rPr>
        <w:t>a u plinsku mrežu.</w:t>
      </w:r>
    </w:p>
    <w:p w14:paraId="5458FA24" w14:textId="2B595131" w:rsidR="00A15C5F" w:rsidRDefault="00A15C5F" w:rsidP="00A15C5F">
      <w:pPr>
        <w:suppressAutoHyphens w:val="0"/>
        <w:spacing w:after="160" w:line="259" w:lineRule="auto"/>
        <w:jc w:val="left"/>
      </w:pPr>
      <w:r>
        <w:t xml:space="preserve">U nastavku su prikazane mjere vezane za </w:t>
      </w:r>
      <w:r w:rsidRPr="0031468F">
        <w:rPr>
          <w:b/>
        </w:rPr>
        <w:t>sektor poljoprivrede</w:t>
      </w:r>
      <w:r>
        <w:t>.</w:t>
      </w:r>
    </w:p>
    <w:p w14:paraId="1C12CCB4" w14:textId="4BA1A3FC" w:rsidR="00A32225" w:rsidRPr="00840E2E" w:rsidRDefault="00A32225" w:rsidP="00A32225">
      <w:pPr>
        <w:rPr>
          <w:rFonts w:cs="Arial"/>
          <w:b/>
          <w:bCs/>
          <w:u w:val="single"/>
        </w:rPr>
      </w:pPr>
      <w:r w:rsidRPr="00840E2E">
        <w:rPr>
          <w:rFonts w:cs="Arial"/>
          <w:b/>
          <w:bCs/>
          <w:u w:val="single"/>
        </w:rPr>
        <w:t xml:space="preserve">POLJ-1: Promjena u prehrani </w:t>
      </w:r>
      <w:r w:rsidR="006873FE" w:rsidRPr="00840E2E">
        <w:rPr>
          <w:rFonts w:cs="Arial"/>
          <w:b/>
          <w:bCs/>
          <w:u w:val="single"/>
        </w:rPr>
        <w:t xml:space="preserve">goveda </w:t>
      </w:r>
      <w:r w:rsidRPr="00840E2E">
        <w:rPr>
          <w:rFonts w:cs="Arial"/>
          <w:b/>
          <w:bCs/>
          <w:u w:val="single"/>
        </w:rPr>
        <w:t>i svinja i kvaliteta stočne hrane</w:t>
      </w:r>
    </w:p>
    <w:p w14:paraId="1A2D9F07" w14:textId="6425F23F" w:rsidR="0046406D" w:rsidRPr="00B56FE5" w:rsidRDefault="0046406D">
      <w:pPr>
        <w:pStyle w:val="NormalWeb"/>
        <w:spacing w:after="120" w:line="288" w:lineRule="auto"/>
        <w:jc w:val="both"/>
        <w:rPr>
          <w:rFonts w:ascii="Arial" w:hAnsi="Arial" w:cs="Arial"/>
          <w:color w:val="000000"/>
          <w:sz w:val="22"/>
          <w:szCs w:val="22"/>
        </w:rPr>
      </w:pPr>
      <w:r w:rsidRPr="0046406D">
        <w:rPr>
          <w:rFonts w:ascii="Arial" w:hAnsi="Arial" w:cs="Arial"/>
          <w:b/>
          <w:bCs/>
          <w:color w:val="000000"/>
          <w:sz w:val="22"/>
          <w:szCs w:val="22"/>
          <w:lang w:eastAsia="en-GB"/>
        </w:rPr>
        <w:t>Informacijska, obrazovna, ekonomska</w:t>
      </w:r>
      <w:r>
        <w:rPr>
          <w:rFonts w:ascii="Arial" w:hAnsi="Arial" w:cs="Arial"/>
          <w:b/>
          <w:bCs/>
          <w:color w:val="000000"/>
          <w:sz w:val="22"/>
          <w:szCs w:val="22"/>
          <w:lang w:eastAsia="en-GB"/>
        </w:rPr>
        <w:t xml:space="preserve"> mjera; provedba 2021.-2030.</w:t>
      </w:r>
    </w:p>
    <w:p w14:paraId="66955BB1" w14:textId="4CE6A43A" w:rsidR="00D808E1" w:rsidRPr="00B56FE5" w:rsidRDefault="00302BCD" w:rsidP="00840E2E">
      <w:pPr>
        <w:pStyle w:val="NormalWeb"/>
        <w:spacing w:after="120" w:line="288" w:lineRule="auto"/>
        <w:ind w:left="142"/>
        <w:jc w:val="both"/>
        <w:rPr>
          <w:rFonts w:ascii="Arial" w:hAnsi="Arial" w:cs="Arial"/>
          <w:color w:val="000000"/>
          <w:sz w:val="22"/>
          <w:szCs w:val="22"/>
          <w:lang w:eastAsia="en-GB"/>
        </w:rPr>
      </w:pPr>
      <w:r>
        <w:rPr>
          <w:rFonts w:ascii="Arial" w:hAnsi="Arial" w:cs="Arial"/>
          <w:color w:val="000000"/>
          <w:sz w:val="22"/>
          <w:szCs w:val="22"/>
          <w:lang w:eastAsia="en-GB"/>
        </w:rPr>
        <w:lastRenderedPageBreak/>
        <w:t>Cilj mjere je s</w:t>
      </w:r>
      <w:r w:rsidRPr="00302BCD">
        <w:rPr>
          <w:rFonts w:ascii="Arial" w:hAnsi="Arial" w:cs="Arial"/>
          <w:color w:val="000000"/>
          <w:sz w:val="22"/>
          <w:szCs w:val="22"/>
          <w:lang w:eastAsia="en-GB"/>
        </w:rPr>
        <w:t>manjenje emisija metana iz crijevne fermentacija i izlučivanja metana i dušika iz gospodarenja stajskim gnojem kroz promjene u režimu ishrane i izmjenama sastava stočne hrane; unaprjeđenje sustava izvještavanja o emisijama</w:t>
      </w:r>
      <w:r w:rsidR="00D808E1" w:rsidRPr="00CC6367">
        <w:rPr>
          <w:rFonts w:ascii="Arial" w:hAnsi="Arial" w:cs="Arial"/>
          <w:color w:val="000000"/>
          <w:sz w:val="22"/>
          <w:szCs w:val="22"/>
          <w:lang w:eastAsia="en-GB"/>
        </w:rPr>
        <w:t>.</w:t>
      </w:r>
      <w:r w:rsidR="004135E6">
        <w:rPr>
          <w:rFonts w:ascii="Arial" w:hAnsi="Arial" w:cs="Arial"/>
          <w:color w:val="000000"/>
          <w:sz w:val="22"/>
          <w:szCs w:val="22"/>
          <w:lang w:eastAsia="en-GB"/>
        </w:rPr>
        <w:t xml:space="preserve"> </w:t>
      </w:r>
      <w:r w:rsidR="004135E6" w:rsidRPr="004135E6">
        <w:rPr>
          <w:rFonts w:ascii="Arial" w:hAnsi="Arial" w:cs="Arial"/>
          <w:color w:val="000000"/>
          <w:sz w:val="22"/>
          <w:szCs w:val="22"/>
          <w:lang w:eastAsia="en-GB"/>
        </w:rPr>
        <w:t>Emisija stakleničkih plinova iz stočarske proizvodnje izravna je posljedica procesa crijevne fermentacije i dekompozicije stajskog gnoja ili nastaje neizravno tijekom aktivnosti vezanih za pripremu hrane ili drugih procesa na farmi. Stoga su i mjere koje se poduzimaju u cilju smanjenja emisije stakleničkih plinova usmjerene na regulaciju probavnih procesa. U praksi se najčešće primjenjuje više mjera istovremeno pri čemu neke od njih djeluju istovremeno na crijevnu fermentaciju ali i smanjenje emisije tijekom manipulacije stajskim gnojem. Postoje različite mjere kojima se može značajno utjecati na smanjenje emisija, od kojih se određene već provode, a neke su očekivane</w:t>
      </w:r>
      <w:r w:rsidR="00622DB1">
        <w:rPr>
          <w:rFonts w:ascii="Arial" w:hAnsi="Arial" w:cs="Arial"/>
          <w:color w:val="000000"/>
          <w:sz w:val="22"/>
          <w:szCs w:val="22"/>
          <w:lang w:eastAsia="en-GB"/>
        </w:rPr>
        <w:t xml:space="preserve"> </w:t>
      </w:r>
      <w:r w:rsidR="004135E6" w:rsidRPr="004135E6">
        <w:rPr>
          <w:rFonts w:ascii="Arial" w:hAnsi="Arial" w:cs="Arial"/>
          <w:color w:val="000000"/>
          <w:sz w:val="22"/>
          <w:szCs w:val="22"/>
          <w:lang w:eastAsia="en-GB"/>
        </w:rPr>
        <w:t>u referentnom scenariju. Do 2020. godine očekuje se daljnji rad na implementaciji i sinergiji aktivnosti promjene režima ishrane, obrada krmiv</w:t>
      </w:r>
      <w:r w:rsidR="0002550C">
        <w:rPr>
          <w:rFonts w:ascii="Arial" w:hAnsi="Arial" w:cs="Arial"/>
          <w:color w:val="000000"/>
          <w:sz w:val="22"/>
          <w:szCs w:val="22"/>
          <w:lang w:eastAsia="en-GB"/>
        </w:rPr>
        <w:t>a</w:t>
      </w:r>
      <w:r w:rsidR="004135E6" w:rsidRPr="004135E6">
        <w:rPr>
          <w:rFonts w:ascii="Arial" w:hAnsi="Arial" w:cs="Arial"/>
          <w:color w:val="000000"/>
          <w:sz w:val="22"/>
          <w:szCs w:val="22"/>
          <w:lang w:eastAsia="en-GB"/>
        </w:rPr>
        <w:t xml:space="preserve"> s ciljem povećanja njihove probavljivosti i upotrebe dodataka (aditiva) u hrani za životinje. Dodatno je moguće daljnje smanjenje emisije stakleničkih plinova implementacijom ciljanih podmjera promjene režima ishrane, kao i na poboljšanju kvalitete voluminoznih krmiva i unapređenje sustava napasivanja.</w:t>
      </w:r>
    </w:p>
    <w:p w14:paraId="3A13DF32" w14:textId="179DCA74" w:rsidR="00B910B6" w:rsidRPr="009A1A78" w:rsidRDefault="00B910B6" w:rsidP="00B910B6">
      <w:pPr>
        <w:rPr>
          <w:rFonts w:cs="Arial"/>
          <w:b/>
          <w:bCs/>
          <w:u w:val="single"/>
        </w:rPr>
      </w:pPr>
      <w:r w:rsidRPr="009A1A78">
        <w:rPr>
          <w:rFonts w:cs="Arial"/>
          <w:b/>
          <w:bCs/>
          <w:u w:val="single"/>
        </w:rPr>
        <w:t>POLJ-</w:t>
      </w:r>
      <w:r>
        <w:rPr>
          <w:rFonts w:cs="Arial"/>
          <w:b/>
          <w:bCs/>
          <w:u w:val="single"/>
        </w:rPr>
        <w:t>2</w:t>
      </w:r>
      <w:r w:rsidRPr="009A1A78">
        <w:rPr>
          <w:rFonts w:cs="Arial"/>
          <w:b/>
          <w:bCs/>
          <w:u w:val="single"/>
        </w:rPr>
        <w:t xml:space="preserve">: </w:t>
      </w:r>
      <w:r w:rsidR="001D5B7C" w:rsidRPr="001D5B7C">
        <w:rPr>
          <w:rFonts w:cs="Arial"/>
          <w:b/>
          <w:bCs/>
          <w:u w:val="single"/>
        </w:rPr>
        <w:t>Poboljšanje stočarskih postrojenja i sustava gospodarenja stajskim gnojem</w:t>
      </w:r>
      <w:r w:rsidR="001D5B7C" w:rsidRPr="001D5B7C" w:rsidDel="001D5B7C">
        <w:rPr>
          <w:rFonts w:cs="Arial"/>
          <w:b/>
          <w:bCs/>
          <w:u w:val="single"/>
        </w:rPr>
        <w:t xml:space="preserve"> </w:t>
      </w:r>
    </w:p>
    <w:p w14:paraId="27664E91" w14:textId="39370120" w:rsidR="00B910B6" w:rsidRPr="00B56FE5" w:rsidRDefault="00B910B6" w:rsidP="00B910B6">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 obrazovna</w:t>
      </w:r>
      <w:r w:rsidR="000C6964">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1AE0DC81" w14:textId="397EDA18" w:rsidR="00B910B6" w:rsidRPr="00B56FE5" w:rsidRDefault="00B910B6" w:rsidP="00B910B6">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Pr>
          <w:rFonts w:ascii="Arial" w:hAnsi="Arial" w:cs="Arial"/>
          <w:color w:val="000000"/>
          <w:sz w:val="22"/>
          <w:szCs w:val="22"/>
          <w:lang w:eastAsia="en-GB"/>
        </w:rPr>
        <w:t xml:space="preserve">Cilj mjere je </w:t>
      </w:r>
      <w:r w:rsidR="00073EDD">
        <w:rPr>
          <w:rFonts w:ascii="Arial" w:hAnsi="Arial" w:cs="Arial"/>
          <w:color w:val="000000"/>
          <w:sz w:val="22"/>
          <w:szCs w:val="22"/>
          <w:lang w:eastAsia="en-GB"/>
        </w:rPr>
        <w:t>s</w:t>
      </w:r>
      <w:r w:rsidR="00073EDD" w:rsidRPr="00073EDD">
        <w:rPr>
          <w:rFonts w:ascii="Arial" w:hAnsi="Arial" w:cs="Arial"/>
          <w:color w:val="000000"/>
          <w:sz w:val="22"/>
          <w:szCs w:val="22"/>
          <w:lang w:eastAsia="en-GB"/>
        </w:rPr>
        <w:t>manjenje emisija metana, dušika i amonijaka kroz poboljšanja u prehrani životinja te sustava prikupljanja i skladištenja stajskog gnoja</w:t>
      </w:r>
      <w:r w:rsidRPr="004135E6">
        <w:rPr>
          <w:rFonts w:ascii="Arial" w:hAnsi="Arial" w:cs="Arial"/>
          <w:color w:val="000000"/>
          <w:sz w:val="22"/>
          <w:szCs w:val="22"/>
          <w:lang w:eastAsia="en-GB"/>
        </w:rPr>
        <w:t>.</w:t>
      </w:r>
      <w:r w:rsidR="00064DE1">
        <w:rPr>
          <w:rFonts w:ascii="Arial" w:hAnsi="Arial" w:cs="Arial"/>
          <w:color w:val="000000"/>
          <w:sz w:val="22"/>
          <w:szCs w:val="22"/>
          <w:lang w:eastAsia="en-GB"/>
        </w:rPr>
        <w:t xml:space="preserve"> </w:t>
      </w:r>
      <w:r w:rsidR="00064DE1" w:rsidRPr="00064DE1">
        <w:rPr>
          <w:rFonts w:ascii="Arial" w:hAnsi="Arial" w:cs="Arial"/>
          <w:color w:val="000000"/>
          <w:sz w:val="22"/>
          <w:szCs w:val="22"/>
          <w:lang w:eastAsia="en-GB"/>
        </w:rPr>
        <w:t>Kategorija gospodarenje stajskim gnojivom je izvor emisije dušikovih spojeva, amonijaka i čestica. Do emisije dolazi iz izlučevina životinjskog gnojiva odloženog u i oko nastambi i prikupljene kao tekuća gnojovka, čvrsto gnojivo ili gnojivo u jami na dvorištu s tim da se posljednja dva promatraju zajedno kao čvrsta gnojiva. Emisije potječu iz nastambi životinja i iz dvorišnog područja, iz skladišnih prostora i od primjene gnojiva na tlo i tijekom ispaše.</w:t>
      </w:r>
    </w:p>
    <w:p w14:paraId="4176B756" w14:textId="2368EC0F" w:rsidR="00B910B6" w:rsidRDefault="00B910B6" w:rsidP="00A32225">
      <w:pPr>
        <w:rPr>
          <w:rFonts w:cs="Arial"/>
          <w:u w:val="single"/>
        </w:rPr>
      </w:pPr>
    </w:p>
    <w:p w14:paraId="7F5E294F" w14:textId="553DDDC8" w:rsidR="00441136" w:rsidRPr="009A1A78" w:rsidRDefault="00441136" w:rsidP="00441136">
      <w:pPr>
        <w:rPr>
          <w:rFonts w:cs="Arial"/>
          <w:b/>
          <w:bCs/>
          <w:u w:val="single"/>
        </w:rPr>
      </w:pPr>
      <w:r w:rsidRPr="009A1A78">
        <w:rPr>
          <w:rFonts w:cs="Arial"/>
          <w:b/>
          <w:bCs/>
          <w:u w:val="single"/>
        </w:rPr>
        <w:t>POLJ-</w:t>
      </w:r>
      <w:r w:rsidR="0039564B">
        <w:rPr>
          <w:rFonts w:cs="Arial"/>
          <w:b/>
          <w:bCs/>
          <w:u w:val="single"/>
        </w:rPr>
        <w:t>3</w:t>
      </w:r>
      <w:r w:rsidRPr="009A1A78">
        <w:rPr>
          <w:rFonts w:cs="Arial"/>
          <w:b/>
          <w:bCs/>
          <w:u w:val="single"/>
        </w:rPr>
        <w:t xml:space="preserve">: </w:t>
      </w:r>
      <w:r w:rsidR="0039564B" w:rsidRPr="0039564B">
        <w:rPr>
          <w:rFonts w:cs="Arial"/>
          <w:b/>
          <w:bCs/>
          <w:u w:val="single"/>
        </w:rPr>
        <w:t>Izmjena sustava uzgoja stoke</w:t>
      </w:r>
      <w:r w:rsidR="0039564B" w:rsidRPr="0039564B" w:rsidDel="0039564B">
        <w:rPr>
          <w:rFonts w:cs="Arial"/>
          <w:b/>
          <w:bCs/>
          <w:u w:val="single"/>
        </w:rPr>
        <w:t xml:space="preserve"> </w:t>
      </w:r>
    </w:p>
    <w:p w14:paraId="5A63B9E1" w14:textId="1AB4D9C4" w:rsidR="00441136" w:rsidRPr="00B56FE5" w:rsidRDefault="00441136" w:rsidP="00441136">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 obrazovna</w:t>
      </w:r>
      <w:r w:rsidR="00B346C1">
        <w:rPr>
          <w:rFonts w:ascii="Arial" w:hAnsi="Arial" w:cs="Arial"/>
          <w:b/>
          <w:bCs/>
          <w:color w:val="000000"/>
          <w:sz w:val="22"/>
          <w:szCs w:val="22"/>
          <w:lang w:eastAsia="en-GB"/>
        </w:rPr>
        <w:t>, ekonomska</w:t>
      </w:r>
      <w:r>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3EDEC215" w14:textId="56D0B171" w:rsidR="00441136" w:rsidRDefault="00441136" w:rsidP="00840E2E">
      <w:pPr>
        <w:pStyle w:val="NormalWeb"/>
        <w:spacing w:before="240" w:beforeAutospacing="0" w:after="120" w:afterAutospacing="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Pr>
          <w:rFonts w:ascii="Arial" w:hAnsi="Arial" w:cs="Arial"/>
          <w:color w:val="000000"/>
          <w:sz w:val="22"/>
          <w:szCs w:val="22"/>
          <w:lang w:eastAsia="en-GB"/>
        </w:rPr>
        <w:t xml:space="preserve">Cilj mjere je </w:t>
      </w:r>
      <w:r w:rsidR="0079284A">
        <w:rPr>
          <w:rFonts w:ascii="Arial" w:hAnsi="Arial" w:cs="Arial"/>
          <w:color w:val="000000"/>
          <w:sz w:val="22"/>
          <w:szCs w:val="22"/>
          <w:lang w:eastAsia="en-GB"/>
        </w:rPr>
        <w:t>n</w:t>
      </w:r>
      <w:r w:rsidR="0079284A" w:rsidRPr="0079284A">
        <w:rPr>
          <w:rFonts w:ascii="Arial" w:hAnsi="Arial" w:cs="Arial"/>
          <w:color w:val="000000"/>
          <w:sz w:val="22"/>
          <w:szCs w:val="22"/>
          <w:lang w:eastAsia="en-GB"/>
        </w:rPr>
        <w:t>eizravno smanjenje emisije metana i didušikovog oksida kroz povećanje udjela goveda u sustavu „krava-tele“</w:t>
      </w:r>
      <w:r w:rsidRPr="00064DE1">
        <w:rPr>
          <w:rFonts w:ascii="Arial" w:hAnsi="Arial" w:cs="Arial"/>
          <w:color w:val="000000"/>
          <w:sz w:val="22"/>
          <w:szCs w:val="22"/>
          <w:lang w:eastAsia="en-GB"/>
        </w:rPr>
        <w:t>.</w:t>
      </w:r>
    </w:p>
    <w:p w14:paraId="332A4AE9" w14:textId="77777777" w:rsidR="00C422E7" w:rsidRPr="00C422E7" w:rsidRDefault="00C422E7" w:rsidP="00840E2E">
      <w:pPr>
        <w:pStyle w:val="NormalWeb"/>
        <w:spacing w:before="240" w:beforeAutospacing="0" w:after="120" w:afterAutospacing="0" w:line="288" w:lineRule="auto"/>
        <w:rPr>
          <w:rFonts w:ascii="Arial" w:hAnsi="Arial" w:cs="Arial"/>
          <w:color w:val="000000"/>
          <w:sz w:val="22"/>
          <w:szCs w:val="22"/>
          <w:lang w:eastAsia="en-GB"/>
        </w:rPr>
      </w:pPr>
      <w:r w:rsidRPr="00C422E7">
        <w:rPr>
          <w:rFonts w:ascii="Arial" w:hAnsi="Arial" w:cs="Arial"/>
          <w:color w:val="000000"/>
          <w:sz w:val="22"/>
          <w:szCs w:val="22"/>
          <w:lang w:eastAsia="en-GB"/>
        </w:rPr>
        <w:t xml:space="preserve">Mjere kojima se postižu neizravni učinci na smanjenje emisije stakleničkih plinova odnose se na mjere kojima se povećava intenzitet proizvodnje (veća količina animalnih proizvoda – mlijeko, meso, jaja i dr., po životinji i u jedinici vremena), a time i neizravno utječe na emisiju u procesu crijevne fermentacije ili iz stajskog gnoja. Njihov učinak uvelike ovisi o sustavu uzgoja (tehnologije) stoke. </w:t>
      </w:r>
    </w:p>
    <w:p w14:paraId="78888A75" w14:textId="77777777" w:rsidR="00C422E7" w:rsidRPr="00C422E7" w:rsidRDefault="00C422E7" w:rsidP="00840E2E">
      <w:pPr>
        <w:pStyle w:val="NormalWeb"/>
        <w:spacing w:before="240" w:beforeAutospacing="0" w:after="120" w:afterAutospacing="0" w:line="288" w:lineRule="auto"/>
        <w:rPr>
          <w:rFonts w:ascii="Arial" w:hAnsi="Arial" w:cs="Arial"/>
          <w:color w:val="000000"/>
          <w:sz w:val="22"/>
          <w:szCs w:val="22"/>
          <w:lang w:eastAsia="en-GB"/>
        </w:rPr>
      </w:pPr>
      <w:r w:rsidRPr="00C422E7">
        <w:rPr>
          <w:rFonts w:ascii="Arial" w:hAnsi="Arial" w:cs="Arial"/>
          <w:color w:val="000000"/>
          <w:sz w:val="22"/>
          <w:szCs w:val="22"/>
          <w:lang w:eastAsia="en-GB"/>
        </w:rPr>
        <w:lastRenderedPageBreak/>
        <w:t xml:space="preserve">Potrebno je napomenuti da pašnjački uzgoj goveda za posljedicu ima pojačanu emisija NO2 u odnosu na ostale načine uzgoja, stoga bi svako povećavanje udjela goveda u pašnjačkom uzgoju moralo biti popraćeno pojačanim aktivnostima putem ostalih mjera ili u samom broju stočnog fonda. </w:t>
      </w:r>
    </w:p>
    <w:p w14:paraId="2934A517" w14:textId="77777777" w:rsidR="00C422E7" w:rsidRPr="00C422E7" w:rsidRDefault="00C422E7" w:rsidP="00840E2E">
      <w:pPr>
        <w:pStyle w:val="NormalWeb"/>
        <w:spacing w:before="240" w:beforeAutospacing="0" w:after="120" w:afterAutospacing="0" w:line="288" w:lineRule="auto"/>
        <w:rPr>
          <w:rFonts w:ascii="Arial" w:hAnsi="Arial" w:cs="Arial"/>
          <w:color w:val="000000"/>
          <w:sz w:val="22"/>
          <w:szCs w:val="22"/>
          <w:lang w:eastAsia="en-GB"/>
        </w:rPr>
      </w:pPr>
      <w:r w:rsidRPr="00C422E7">
        <w:rPr>
          <w:rFonts w:ascii="Arial" w:hAnsi="Arial" w:cs="Arial"/>
          <w:color w:val="000000"/>
          <w:sz w:val="22"/>
          <w:szCs w:val="22"/>
          <w:lang w:eastAsia="en-GB"/>
        </w:rPr>
        <w:t xml:space="preserve">U Hrvatskoj su problem neiskorišteni pašnjaci i livade pod kojima je velika površina poljoprivrednog zemljišta. Kako bi se smanjili troškovi, ekstenzivni tov na pašnjacima postaje sve važniji. Brojne varijable su uključene u određivanje broja životinja (uvjetnih grla/ha) koje mogu biti na pašnjaku, a da pri tome ne uzrokuju oštećenje prirodnih resursa: tlo, klima, sklop biljaka, vrsta i dob stoke, dostupnost vode, osjetljiva područja (prevelik nagib, ugrožene vrste, močvare i sl.), opće stanje tla i vrsta stočarske proizvodnje. </w:t>
      </w:r>
    </w:p>
    <w:p w14:paraId="46FB3AB8" w14:textId="63AE1D20" w:rsidR="00BD36A4" w:rsidRPr="00B56FE5" w:rsidRDefault="00C422E7" w:rsidP="00840E2E">
      <w:pPr>
        <w:pStyle w:val="NormalWeb"/>
        <w:spacing w:before="240" w:beforeAutospacing="0" w:after="120" w:afterAutospacing="0" w:line="288" w:lineRule="auto"/>
        <w:jc w:val="both"/>
        <w:rPr>
          <w:rFonts w:ascii="Arial" w:hAnsi="Arial" w:cs="Arial"/>
          <w:color w:val="000000"/>
          <w:sz w:val="22"/>
          <w:szCs w:val="22"/>
          <w:lang w:eastAsia="en-GB"/>
        </w:rPr>
      </w:pPr>
      <w:r w:rsidRPr="00C422E7">
        <w:rPr>
          <w:rFonts w:ascii="Arial" w:hAnsi="Arial" w:cs="Arial"/>
          <w:color w:val="000000"/>
          <w:sz w:val="22"/>
          <w:szCs w:val="22"/>
          <w:lang w:eastAsia="en-GB"/>
        </w:rPr>
        <w:t>Obzirom na uvoz velikog broja teladi za tov ili utovljene junadi i mesa, uspostava sustav krava-tele se nameće kao logično rješenje i izvor teladi koja se kasnije može ili dotovljavati na istim gospodarstvima (pašni tov) ili toviti u specijaliziranim tovilištima.</w:t>
      </w:r>
    </w:p>
    <w:p w14:paraId="0B34B05A" w14:textId="57F5D11C" w:rsidR="00441136" w:rsidRDefault="00441136" w:rsidP="00A32225">
      <w:pPr>
        <w:rPr>
          <w:rFonts w:cs="Arial"/>
          <w:u w:val="single"/>
        </w:rPr>
      </w:pPr>
    </w:p>
    <w:p w14:paraId="73D8C84D" w14:textId="154435F8" w:rsidR="00AC35EC" w:rsidRPr="009A1A78" w:rsidRDefault="00AC35EC" w:rsidP="00AC35EC">
      <w:pPr>
        <w:rPr>
          <w:rFonts w:cs="Arial"/>
          <w:b/>
          <w:bCs/>
          <w:u w:val="single"/>
        </w:rPr>
      </w:pPr>
      <w:r w:rsidRPr="009A1A78">
        <w:rPr>
          <w:rFonts w:cs="Arial"/>
          <w:b/>
          <w:bCs/>
          <w:u w:val="single"/>
        </w:rPr>
        <w:t>POLJ-</w:t>
      </w:r>
      <w:r w:rsidR="00347E70">
        <w:rPr>
          <w:rFonts w:cs="Arial"/>
          <w:b/>
          <w:bCs/>
          <w:u w:val="single"/>
        </w:rPr>
        <w:t>4</w:t>
      </w:r>
      <w:r w:rsidRPr="009A1A78">
        <w:rPr>
          <w:rFonts w:cs="Arial"/>
          <w:b/>
          <w:bCs/>
          <w:u w:val="single"/>
        </w:rPr>
        <w:t xml:space="preserve">: </w:t>
      </w:r>
      <w:r w:rsidR="00347E70" w:rsidRPr="00347E70">
        <w:rPr>
          <w:rFonts w:cs="Arial"/>
          <w:b/>
          <w:bCs/>
          <w:u w:val="single"/>
        </w:rPr>
        <w:t>Anaerobna razgradnja stajskog gnoja i proizvodnja bioplina</w:t>
      </w:r>
      <w:r w:rsidRPr="0039564B" w:rsidDel="0039564B">
        <w:rPr>
          <w:rFonts w:cs="Arial"/>
          <w:b/>
          <w:bCs/>
          <w:u w:val="single"/>
        </w:rPr>
        <w:t xml:space="preserve"> </w:t>
      </w:r>
    </w:p>
    <w:p w14:paraId="5E891E78" w14:textId="126F196B" w:rsidR="00AC35EC" w:rsidRPr="00B56FE5" w:rsidRDefault="00AC35EC" w:rsidP="00AC35EC">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 xml:space="preserve">Informacijska, </w:t>
      </w:r>
      <w:r>
        <w:rPr>
          <w:rFonts w:ascii="Arial" w:hAnsi="Arial" w:cs="Arial"/>
          <w:b/>
          <w:bCs/>
          <w:color w:val="000000"/>
          <w:sz w:val="22"/>
          <w:szCs w:val="22"/>
          <w:lang w:eastAsia="en-GB"/>
        </w:rPr>
        <w:t>ekonomska</w:t>
      </w:r>
      <w:r w:rsidR="00C00C3F">
        <w:rPr>
          <w:rFonts w:ascii="Arial" w:hAnsi="Arial" w:cs="Arial"/>
          <w:b/>
          <w:bCs/>
          <w:color w:val="000000"/>
          <w:sz w:val="22"/>
          <w:szCs w:val="22"/>
          <w:lang w:eastAsia="en-GB"/>
        </w:rPr>
        <w:t>, regulatorna</w:t>
      </w:r>
      <w:r>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4D62BC08" w14:textId="5D981B36" w:rsidR="00AC35EC" w:rsidRDefault="00AC35EC">
      <w:pPr>
        <w:pStyle w:val="NormalWeb"/>
        <w:spacing w:before="240" w:beforeAutospacing="0" w:after="120" w:afterAutospacing="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Pr>
          <w:rFonts w:ascii="Arial" w:hAnsi="Arial" w:cs="Arial"/>
          <w:color w:val="000000"/>
          <w:sz w:val="22"/>
          <w:szCs w:val="22"/>
          <w:lang w:eastAsia="en-GB"/>
        </w:rPr>
        <w:t xml:space="preserve">Cilj mjere je </w:t>
      </w:r>
      <w:r w:rsidR="00BE3289">
        <w:rPr>
          <w:rFonts w:ascii="Arial" w:hAnsi="Arial" w:cs="Arial"/>
          <w:color w:val="000000"/>
          <w:sz w:val="22"/>
          <w:szCs w:val="22"/>
          <w:lang w:eastAsia="en-GB"/>
        </w:rPr>
        <w:t>s</w:t>
      </w:r>
      <w:r w:rsidR="00BE3289" w:rsidRPr="00BE3289">
        <w:rPr>
          <w:rFonts w:ascii="Arial" w:hAnsi="Arial" w:cs="Arial"/>
          <w:color w:val="000000"/>
          <w:sz w:val="22"/>
          <w:szCs w:val="22"/>
          <w:lang w:eastAsia="en-GB"/>
        </w:rPr>
        <w:t>manjenje emisije metana iz sustava gospodarenja stajskim gnojem za goveda i svinje povećanjem udjela bioplinskih postrojenja</w:t>
      </w:r>
      <w:r w:rsidRPr="00064DE1">
        <w:rPr>
          <w:rFonts w:ascii="Arial" w:hAnsi="Arial" w:cs="Arial"/>
          <w:color w:val="000000"/>
          <w:sz w:val="22"/>
          <w:szCs w:val="22"/>
          <w:lang w:eastAsia="en-GB"/>
        </w:rPr>
        <w:t>.</w:t>
      </w:r>
    </w:p>
    <w:p w14:paraId="4C55D6E0" w14:textId="2A4A6F91" w:rsidR="0065122C" w:rsidRPr="0065122C" w:rsidRDefault="0065122C" w:rsidP="00840E2E">
      <w:pPr>
        <w:pStyle w:val="NormalWeb"/>
        <w:spacing w:line="288" w:lineRule="auto"/>
        <w:jc w:val="both"/>
        <w:rPr>
          <w:rFonts w:ascii="Arial" w:hAnsi="Arial" w:cs="Arial"/>
          <w:color w:val="000000"/>
          <w:sz w:val="22"/>
          <w:szCs w:val="22"/>
          <w:lang w:eastAsia="en-GB"/>
        </w:rPr>
      </w:pPr>
      <w:r w:rsidRPr="0065122C">
        <w:rPr>
          <w:rFonts w:ascii="Arial" w:hAnsi="Arial" w:cs="Arial"/>
          <w:color w:val="000000"/>
          <w:sz w:val="22"/>
          <w:szCs w:val="22"/>
          <w:lang w:eastAsia="en-GB"/>
        </w:rPr>
        <w:t>Uvođenjem bioplinskih postrojenja ostvaruje se smanjenje emisije CO2 koje proizlazi iz eliminacije emisije metana zbog odlaganja iskorištene stelje i zbog električne energije iz obnovljivog izvora. Emisija stakleničkih plinova iz prijevoza ne iznosi veliku razliku s obzirom na male udaljenosti koje se</w:t>
      </w:r>
      <w:r w:rsidR="00622DB1">
        <w:rPr>
          <w:rFonts w:ascii="Arial" w:hAnsi="Arial" w:cs="Arial"/>
          <w:color w:val="000000"/>
          <w:sz w:val="22"/>
          <w:szCs w:val="22"/>
          <w:lang w:eastAsia="en-GB"/>
        </w:rPr>
        <w:t xml:space="preserve"> </w:t>
      </w:r>
      <w:r w:rsidRPr="0065122C">
        <w:rPr>
          <w:rFonts w:ascii="Arial" w:hAnsi="Arial" w:cs="Arial"/>
          <w:color w:val="000000"/>
          <w:sz w:val="22"/>
          <w:szCs w:val="22"/>
          <w:lang w:eastAsia="en-GB"/>
        </w:rPr>
        <w:t>prelaze do postrojenja ili odlagališta.</w:t>
      </w:r>
    </w:p>
    <w:p w14:paraId="14213BE0" w14:textId="77777777" w:rsidR="0065122C" w:rsidRPr="0065122C" w:rsidRDefault="0065122C" w:rsidP="00840E2E">
      <w:pPr>
        <w:pStyle w:val="NormalWeb"/>
        <w:spacing w:line="288" w:lineRule="auto"/>
        <w:jc w:val="both"/>
        <w:rPr>
          <w:rFonts w:ascii="Arial" w:hAnsi="Arial" w:cs="Arial"/>
          <w:color w:val="000000"/>
          <w:sz w:val="22"/>
          <w:szCs w:val="22"/>
          <w:lang w:eastAsia="en-GB"/>
        </w:rPr>
      </w:pPr>
      <w:r w:rsidRPr="0065122C">
        <w:rPr>
          <w:rFonts w:ascii="Arial" w:hAnsi="Arial" w:cs="Arial"/>
          <w:color w:val="000000"/>
          <w:sz w:val="22"/>
          <w:szCs w:val="22"/>
          <w:lang w:eastAsia="en-GB"/>
        </w:rPr>
        <w:t xml:space="preserve">Bioplinsko postrojenje dijeli se na dva djela. Jedan je digestor u kojem se procesom anaerobne digestije stvara bioplin (plin koji se dobiva razgradnjom organske tvari u anaerobnim uvjetima) a drugi je agregat gdje se taj bioplin pretvara u električnu energiju. Digestor nosi najviše investicijske troškove kod bioplinskog postrojenja a nosi i pogonske troškove koji proizlaze iz potrošnje energije za grijanje digestora i vode. </w:t>
      </w:r>
    </w:p>
    <w:p w14:paraId="5A02B473" w14:textId="77777777" w:rsidR="0065122C" w:rsidRPr="0065122C" w:rsidRDefault="0065122C" w:rsidP="00840E2E">
      <w:pPr>
        <w:pStyle w:val="NormalWeb"/>
        <w:spacing w:line="288" w:lineRule="auto"/>
        <w:jc w:val="both"/>
        <w:rPr>
          <w:rFonts w:ascii="Arial" w:hAnsi="Arial" w:cs="Arial"/>
          <w:color w:val="000000"/>
          <w:sz w:val="22"/>
          <w:szCs w:val="22"/>
          <w:lang w:eastAsia="en-GB"/>
        </w:rPr>
      </w:pPr>
      <w:r w:rsidRPr="0065122C">
        <w:rPr>
          <w:rFonts w:ascii="Arial" w:hAnsi="Arial" w:cs="Arial"/>
          <w:color w:val="000000"/>
          <w:sz w:val="22"/>
          <w:szCs w:val="22"/>
          <w:lang w:eastAsia="en-GB"/>
        </w:rPr>
        <w:t>Glavni mehanizam za poticanje primjene bioplina za proizvodnju električne energije i poticanje izgradnje kogeneracijskih bioplinskih postrojenja su poticajne cijene (tarife) koje ovise o instaliranoj električnoj snazi postrojenja. Česta klasifikacija bioplinskih postrojenja je na velika bioplinska postrojenja, kodigestijska te farmska. Za male farme ovo je skup proces pa bi osnova mogla biti udruženja farmera u cilju smanjenja troškova instalacije postrojenja.</w:t>
      </w:r>
    </w:p>
    <w:p w14:paraId="1DC47E1C" w14:textId="493FA5A5" w:rsidR="006923F9" w:rsidRDefault="0065122C">
      <w:pPr>
        <w:pStyle w:val="NormalWeb"/>
        <w:spacing w:after="120" w:line="288" w:lineRule="auto"/>
        <w:jc w:val="both"/>
        <w:rPr>
          <w:rFonts w:ascii="Arial" w:hAnsi="Arial" w:cs="Arial"/>
          <w:color w:val="000000"/>
          <w:sz w:val="22"/>
          <w:szCs w:val="22"/>
          <w:lang w:eastAsia="en-GB"/>
        </w:rPr>
      </w:pPr>
      <w:r w:rsidRPr="0065122C">
        <w:rPr>
          <w:rFonts w:ascii="Arial" w:hAnsi="Arial" w:cs="Arial"/>
          <w:color w:val="000000"/>
          <w:sz w:val="22"/>
          <w:szCs w:val="22"/>
          <w:lang w:eastAsia="en-GB"/>
        </w:rPr>
        <w:t>Osim što se anaerobnom razgradnjom u bioplinskim postrojenjima smanjuje izvor lako razgradivog ugljika u stajskom gnoju koji se primjenjuje na poljoprivredne površine, potencijalno se smanjuje i proces nitrifikacije te emisija N2O.</w:t>
      </w:r>
    </w:p>
    <w:p w14:paraId="43CD907B" w14:textId="41F53129" w:rsidR="0065122C" w:rsidRDefault="006923F9">
      <w:pPr>
        <w:pStyle w:val="NormalWeb"/>
        <w:spacing w:before="240" w:beforeAutospacing="0" w:after="120" w:afterAutospacing="0" w:line="288" w:lineRule="auto"/>
        <w:jc w:val="both"/>
        <w:rPr>
          <w:rFonts w:ascii="Arial" w:hAnsi="Arial" w:cs="Arial"/>
          <w:color w:val="000000"/>
          <w:sz w:val="22"/>
          <w:szCs w:val="22"/>
          <w:lang w:eastAsia="en-GB"/>
        </w:rPr>
      </w:pPr>
      <w:r w:rsidRPr="006923F9">
        <w:rPr>
          <w:rFonts w:ascii="Arial" w:hAnsi="Arial" w:cs="Arial"/>
          <w:color w:val="000000"/>
          <w:sz w:val="22"/>
          <w:szCs w:val="22"/>
          <w:lang w:eastAsia="en-GB"/>
        </w:rPr>
        <w:lastRenderedPageBreak/>
        <w:t>Također</w:t>
      </w:r>
      <w:r>
        <w:rPr>
          <w:rFonts w:ascii="Arial" w:hAnsi="Arial" w:cs="Arial"/>
          <w:color w:val="000000"/>
          <w:sz w:val="22"/>
          <w:szCs w:val="22"/>
          <w:lang w:eastAsia="en-GB"/>
        </w:rPr>
        <w:t xml:space="preserve">, </w:t>
      </w:r>
      <w:r w:rsidRPr="006923F9">
        <w:rPr>
          <w:rFonts w:ascii="Arial" w:hAnsi="Arial" w:cs="Arial"/>
          <w:color w:val="000000"/>
          <w:sz w:val="22"/>
          <w:szCs w:val="22"/>
          <w:lang w:eastAsia="en-GB"/>
        </w:rPr>
        <w:t>predviđa</w:t>
      </w:r>
      <w:r>
        <w:rPr>
          <w:rFonts w:ascii="Arial" w:hAnsi="Arial" w:cs="Arial"/>
          <w:color w:val="000000"/>
          <w:sz w:val="22"/>
          <w:szCs w:val="22"/>
          <w:lang w:eastAsia="en-GB"/>
        </w:rPr>
        <w:t xml:space="preserve"> se</w:t>
      </w:r>
      <w:r w:rsidRPr="006923F9">
        <w:rPr>
          <w:rFonts w:ascii="Arial" w:hAnsi="Arial" w:cs="Arial"/>
          <w:color w:val="000000"/>
          <w:sz w:val="22"/>
          <w:szCs w:val="22"/>
          <w:lang w:eastAsia="en-GB"/>
        </w:rPr>
        <w:t xml:space="preserve"> korištenje bioplina u prometu</w:t>
      </w:r>
      <w:r>
        <w:rPr>
          <w:rFonts w:ascii="Arial" w:hAnsi="Arial" w:cs="Arial"/>
          <w:color w:val="000000"/>
          <w:sz w:val="22"/>
          <w:szCs w:val="22"/>
          <w:lang w:eastAsia="en-GB"/>
        </w:rPr>
        <w:t xml:space="preserve"> te utiskivanje biometana u pl</w:t>
      </w:r>
      <w:r w:rsidR="004B2F12">
        <w:rPr>
          <w:rFonts w:ascii="Arial" w:hAnsi="Arial" w:cs="Arial"/>
          <w:color w:val="000000"/>
          <w:sz w:val="22"/>
          <w:szCs w:val="22"/>
          <w:lang w:eastAsia="en-GB"/>
        </w:rPr>
        <w:t>insku mrežu.</w:t>
      </w:r>
    </w:p>
    <w:p w14:paraId="0C640321" w14:textId="52D00375" w:rsidR="00AC35EC" w:rsidRDefault="00AC35EC">
      <w:pPr>
        <w:rPr>
          <w:rFonts w:cs="Arial"/>
          <w:u w:val="single"/>
        </w:rPr>
      </w:pPr>
    </w:p>
    <w:p w14:paraId="4F35943D" w14:textId="4C337208" w:rsidR="00B21480" w:rsidRPr="009A1A78" w:rsidRDefault="00B21480" w:rsidP="00B21480">
      <w:pPr>
        <w:rPr>
          <w:rFonts w:cs="Arial"/>
          <w:b/>
          <w:bCs/>
          <w:u w:val="single"/>
        </w:rPr>
      </w:pPr>
      <w:r w:rsidRPr="009A1A78">
        <w:rPr>
          <w:rFonts w:cs="Arial"/>
          <w:b/>
          <w:bCs/>
          <w:u w:val="single"/>
        </w:rPr>
        <w:t>POLJ-</w:t>
      </w:r>
      <w:r>
        <w:rPr>
          <w:rFonts w:cs="Arial"/>
          <w:b/>
          <w:bCs/>
          <w:u w:val="single"/>
        </w:rPr>
        <w:t>5</w:t>
      </w:r>
      <w:r w:rsidRPr="009A1A78">
        <w:rPr>
          <w:rFonts w:cs="Arial"/>
          <w:b/>
          <w:bCs/>
          <w:u w:val="single"/>
        </w:rPr>
        <w:t xml:space="preserve"> </w:t>
      </w:r>
      <w:r w:rsidR="00317732" w:rsidRPr="00317732">
        <w:rPr>
          <w:rFonts w:cs="Arial"/>
          <w:b/>
          <w:bCs/>
          <w:u w:val="single"/>
        </w:rPr>
        <w:t>Poboljšanje uzgojno-selekcijskog programa, zdravlja i dobrobiti životinja</w:t>
      </w:r>
      <w:r w:rsidR="00317732" w:rsidRPr="00317732" w:rsidDel="00317732">
        <w:rPr>
          <w:rFonts w:cs="Arial"/>
          <w:b/>
          <w:bCs/>
          <w:u w:val="single"/>
        </w:rPr>
        <w:t xml:space="preserve"> </w:t>
      </w:r>
    </w:p>
    <w:p w14:paraId="5584D1E2" w14:textId="6E1AFAFE" w:rsidR="00B21480" w:rsidRPr="00B56FE5" w:rsidRDefault="00B21480" w:rsidP="00B21480">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sidR="00B33DE4">
        <w:rPr>
          <w:rFonts w:ascii="Arial" w:hAnsi="Arial" w:cs="Arial"/>
          <w:b/>
          <w:bCs/>
          <w:color w:val="000000"/>
          <w:sz w:val="22"/>
          <w:szCs w:val="22"/>
          <w:lang w:eastAsia="en-GB"/>
        </w:rPr>
        <w:t xml:space="preserve"> obrazovna,</w:t>
      </w:r>
      <w:r w:rsidRPr="00831D34">
        <w:rPr>
          <w:rFonts w:ascii="Arial" w:hAnsi="Arial" w:cs="Arial"/>
          <w:b/>
          <w:bCs/>
          <w:color w:val="000000"/>
          <w:sz w:val="22"/>
          <w:szCs w:val="22"/>
          <w:lang w:eastAsia="en-GB"/>
        </w:rPr>
        <w:t xml:space="preserve"> </w:t>
      </w:r>
      <w:r>
        <w:rPr>
          <w:rFonts w:ascii="Arial" w:hAnsi="Arial" w:cs="Arial"/>
          <w:b/>
          <w:bCs/>
          <w:color w:val="000000"/>
          <w:sz w:val="22"/>
          <w:szCs w:val="22"/>
          <w:lang w:eastAsia="en-GB"/>
        </w:rPr>
        <w:t>ekonomska</w:t>
      </w:r>
      <w:r w:rsidR="00B33DE4">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6374B041" w14:textId="646E4380" w:rsidR="00B21480" w:rsidRDefault="00B21480" w:rsidP="00B21480">
      <w:pPr>
        <w:pStyle w:val="NormalWeb"/>
        <w:spacing w:before="240" w:beforeAutospacing="0" w:after="120" w:afterAutospacing="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sidR="0051133D" w:rsidRPr="0051133D">
        <w:rPr>
          <w:rFonts w:ascii="Arial" w:hAnsi="Arial" w:cs="Arial"/>
          <w:color w:val="000000"/>
          <w:sz w:val="22"/>
          <w:szCs w:val="22"/>
          <w:lang w:eastAsia="en-GB"/>
        </w:rPr>
        <w:t>Neizravno smanjenje emisije metana i didušikovog oksida kroz pasminska poboljšanja i unaprjeđenje genetskog potencijala</w:t>
      </w:r>
      <w:r w:rsidRPr="00064DE1">
        <w:rPr>
          <w:rFonts w:ascii="Arial" w:hAnsi="Arial" w:cs="Arial"/>
          <w:color w:val="000000"/>
          <w:sz w:val="22"/>
          <w:szCs w:val="22"/>
          <w:lang w:eastAsia="en-GB"/>
        </w:rPr>
        <w:t>.</w:t>
      </w:r>
    </w:p>
    <w:p w14:paraId="5B952962" w14:textId="6F7B0E06" w:rsidR="0039602A" w:rsidRPr="0039602A" w:rsidRDefault="0039602A" w:rsidP="00840E2E">
      <w:pPr>
        <w:pStyle w:val="NormalWeb"/>
        <w:spacing w:line="288" w:lineRule="auto"/>
        <w:rPr>
          <w:rFonts w:ascii="Arial" w:hAnsi="Arial" w:cs="Arial"/>
          <w:color w:val="000000"/>
          <w:sz w:val="22"/>
          <w:szCs w:val="22"/>
          <w:lang w:eastAsia="en-GB"/>
        </w:rPr>
      </w:pPr>
      <w:r w:rsidRPr="0039602A">
        <w:rPr>
          <w:rFonts w:ascii="Arial" w:hAnsi="Arial" w:cs="Arial"/>
          <w:color w:val="000000"/>
          <w:sz w:val="22"/>
          <w:szCs w:val="22"/>
          <w:lang w:eastAsia="en-GB"/>
        </w:rPr>
        <w:t>Uzgojni program skup je selekcijskih postupaka kojima se ostvaruje genetsko unapređivanje pojedinih vrsta i pasmina životinja s ciljem smanjenje emisija metana u mliječnih krava, ali i povećanja intenziteta proizvodnje. Ovaj neizravan učinak na smanjenje emis</w:t>
      </w:r>
      <w:r w:rsidR="00197F10">
        <w:rPr>
          <w:rFonts w:ascii="Arial" w:hAnsi="Arial" w:cs="Arial"/>
          <w:color w:val="000000"/>
          <w:sz w:val="22"/>
          <w:szCs w:val="22"/>
          <w:lang w:eastAsia="en-GB"/>
        </w:rPr>
        <w:t>i</w:t>
      </w:r>
      <w:r w:rsidRPr="0039602A">
        <w:rPr>
          <w:rFonts w:ascii="Arial" w:hAnsi="Arial" w:cs="Arial"/>
          <w:color w:val="000000"/>
          <w:sz w:val="22"/>
          <w:szCs w:val="22"/>
          <w:lang w:eastAsia="en-GB"/>
        </w:rPr>
        <w:t>je stakleničkih plinova uvelike ovisi</w:t>
      </w:r>
      <w:r w:rsidR="00346150">
        <w:rPr>
          <w:rFonts w:ascii="Arial" w:hAnsi="Arial" w:cs="Arial"/>
          <w:color w:val="000000"/>
          <w:sz w:val="22"/>
          <w:szCs w:val="22"/>
          <w:lang w:eastAsia="en-GB"/>
        </w:rPr>
        <w:t xml:space="preserve"> o</w:t>
      </w:r>
      <w:r w:rsidRPr="0039602A">
        <w:rPr>
          <w:rFonts w:ascii="Arial" w:hAnsi="Arial" w:cs="Arial"/>
          <w:color w:val="000000"/>
          <w:sz w:val="22"/>
          <w:szCs w:val="22"/>
          <w:lang w:eastAsia="en-GB"/>
        </w:rPr>
        <w:t>:</w:t>
      </w:r>
    </w:p>
    <w:p w14:paraId="046183F3" w14:textId="7D608F84" w:rsidR="0039602A" w:rsidRPr="0039602A" w:rsidRDefault="0039602A" w:rsidP="00840E2E">
      <w:pPr>
        <w:pStyle w:val="NormalWeb"/>
        <w:numPr>
          <w:ilvl w:val="0"/>
          <w:numId w:val="214"/>
        </w:numPr>
        <w:spacing w:line="288" w:lineRule="auto"/>
        <w:rPr>
          <w:rFonts w:ascii="Arial" w:hAnsi="Arial" w:cs="Arial"/>
          <w:color w:val="000000"/>
          <w:sz w:val="22"/>
          <w:szCs w:val="22"/>
          <w:lang w:eastAsia="en-GB"/>
        </w:rPr>
      </w:pPr>
      <w:r w:rsidRPr="0039602A">
        <w:rPr>
          <w:rFonts w:ascii="Arial" w:hAnsi="Arial" w:cs="Arial"/>
          <w:color w:val="000000"/>
          <w:sz w:val="22"/>
          <w:szCs w:val="22"/>
          <w:lang w:eastAsia="en-GB"/>
        </w:rPr>
        <w:t>Genetskom potencijalu i vrsti jedinki (uzgojno selekcijski rad) – Intenzivnom selekcijom na povećanje proizvodnosti (veća proizvodnja mlijeka, mesa, jaja i dr., veći dnevni prirasti, broj mladunčadi) postižu se neizravni učinci budući da se s manjim brojem životinja i uz manji utrošak hrane</w:t>
      </w:r>
      <w:r w:rsidR="00622DB1">
        <w:rPr>
          <w:rFonts w:ascii="Arial" w:hAnsi="Arial" w:cs="Arial"/>
          <w:color w:val="000000"/>
          <w:sz w:val="22"/>
          <w:szCs w:val="22"/>
          <w:lang w:eastAsia="en-GB"/>
        </w:rPr>
        <w:t xml:space="preserve"> </w:t>
      </w:r>
      <w:r w:rsidRPr="0039602A">
        <w:rPr>
          <w:rFonts w:ascii="Arial" w:hAnsi="Arial" w:cs="Arial"/>
          <w:color w:val="000000"/>
          <w:sz w:val="22"/>
          <w:szCs w:val="22"/>
          <w:lang w:eastAsia="en-GB"/>
        </w:rPr>
        <w:t>proizvodi više animalnih proizvoda, a u isto vrijeme izlučuje manje hranjiva ekskrementima. Nadalje, veće iskorištavanje hrane rezultira smanjenim izlučivanjem N spojeva u fecesu i urinu, ali i navedeno smanjuje izlučivanje, a time i njihovu potencijalnu emisiju. Pozitivna genetska korelacija između PME (predviđena emisija metana) i RFI (rezidualnog unosa hrane) pokazuje je da krave s nižim RFI imaju i nižu potencijalnu emisiju. Dakle, moguće je smanjiti proizvodnju metana kod krava odabirom genetski podobnijih krava s obzirom na emisiju metana. Genetska varijabilnost pretpostavlja smanjenje od 11-26% u desetogodišnjem razdoblju, ali može biti i veći primjenom selekcijskog programa. Međutim, postoji nekoliko sumnji, primjerice nedostatak točnih mjerenja metana (a glavna pretpostavka je da metan proizveden po jedinici hrane ne utječe na razinu RFI), kao i predviđanje</w:t>
      </w:r>
      <w:r w:rsidR="00622DB1">
        <w:rPr>
          <w:rFonts w:ascii="Arial" w:hAnsi="Arial" w:cs="Arial"/>
          <w:color w:val="000000"/>
          <w:sz w:val="22"/>
          <w:szCs w:val="22"/>
          <w:lang w:eastAsia="en-GB"/>
        </w:rPr>
        <w:t xml:space="preserve"> </w:t>
      </w:r>
      <w:r w:rsidRPr="0039602A">
        <w:rPr>
          <w:rFonts w:ascii="Arial" w:hAnsi="Arial" w:cs="Arial"/>
          <w:color w:val="000000"/>
          <w:sz w:val="22"/>
          <w:szCs w:val="22"/>
          <w:lang w:eastAsia="en-GB"/>
        </w:rPr>
        <w:t>mogućih posljedica genetskog odabira. Za prevladavanje tih ograničenja, potrebno je prikupiti</w:t>
      </w:r>
      <w:r w:rsidR="00622DB1">
        <w:rPr>
          <w:rFonts w:ascii="Arial" w:hAnsi="Arial" w:cs="Arial"/>
          <w:color w:val="000000"/>
          <w:sz w:val="22"/>
          <w:szCs w:val="22"/>
          <w:lang w:eastAsia="en-GB"/>
        </w:rPr>
        <w:t xml:space="preserve"> </w:t>
      </w:r>
      <w:r w:rsidRPr="0039602A">
        <w:rPr>
          <w:rFonts w:ascii="Arial" w:hAnsi="Arial" w:cs="Arial"/>
          <w:color w:val="000000"/>
          <w:sz w:val="22"/>
          <w:szCs w:val="22"/>
          <w:lang w:eastAsia="en-GB"/>
        </w:rPr>
        <w:t>podatke unosu hrane i o emisijama metana u mliječnih krava. </w:t>
      </w:r>
    </w:p>
    <w:p w14:paraId="2C0FB19C" w14:textId="3967A387" w:rsidR="0039602A" w:rsidRDefault="0039602A" w:rsidP="00346150">
      <w:pPr>
        <w:pStyle w:val="NormalWeb"/>
        <w:numPr>
          <w:ilvl w:val="0"/>
          <w:numId w:val="214"/>
        </w:numPr>
        <w:spacing w:line="288" w:lineRule="auto"/>
        <w:rPr>
          <w:rFonts w:ascii="Arial" w:hAnsi="Arial" w:cs="Arial"/>
          <w:color w:val="000000"/>
          <w:sz w:val="22"/>
          <w:szCs w:val="22"/>
          <w:lang w:eastAsia="en-GB"/>
        </w:rPr>
      </w:pPr>
      <w:r w:rsidRPr="0039602A">
        <w:rPr>
          <w:rFonts w:ascii="Arial" w:hAnsi="Arial" w:cs="Arial"/>
          <w:color w:val="000000"/>
          <w:sz w:val="22"/>
          <w:szCs w:val="22"/>
          <w:lang w:eastAsia="en-GB"/>
        </w:rPr>
        <w:t xml:space="preserve">Zdravstvenom statusu i visini mortaliteta – očuvanje zdravlja je preduvjet za efikasnu stočarsku proizvodnju. Pozitivni učinci se očituju kroz veći unos i iskorištavanje hrane, veću proizvodnju, smanjen mortalitet i veću dobrobit životinja. Navedeno ima neizravni učinak na emisije. </w:t>
      </w:r>
    </w:p>
    <w:p w14:paraId="58162D55" w14:textId="560CA035" w:rsidR="00765B07" w:rsidRDefault="00765B07" w:rsidP="00346150">
      <w:pPr>
        <w:pStyle w:val="NormalWeb"/>
        <w:numPr>
          <w:ilvl w:val="0"/>
          <w:numId w:val="214"/>
        </w:numPr>
        <w:spacing w:line="288" w:lineRule="auto"/>
        <w:rPr>
          <w:rFonts w:ascii="Arial" w:hAnsi="Arial" w:cs="Arial"/>
          <w:color w:val="000000"/>
          <w:sz w:val="22"/>
          <w:szCs w:val="22"/>
          <w:lang w:eastAsia="en-GB"/>
        </w:rPr>
      </w:pPr>
      <w:r w:rsidRPr="0039602A">
        <w:rPr>
          <w:rFonts w:ascii="Arial" w:hAnsi="Arial" w:cs="Arial"/>
          <w:color w:val="000000"/>
          <w:sz w:val="22"/>
          <w:szCs w:val="22"/>
          <w:lang w:eastAsia="en-GB"/>
        </w:rPr>
        <w:t>Trajanju proizvodnog ciklusa (dana tova, hranidbenih dana) – ima neizravni učinak kod vrsta/kategorija stoke koji se koriste za proizvodnju mesa, a usko je vezano uz genetski potencijal jedinki kao i sastav obroka (zadovoljavanje nutritivnih potreba).</w:t>
      </w:r>
    </w:p>
    <w:p w14:paraId="11218D47" w14:textId="081C0E6E" w:rsidR="00B21480" w:rsidRDefault="00B21480" w:rsidP="00A32225">
      <w:pPr>
        <w:rPr>
          <w:rFonts w:cs="Arial"/>
          <w:u w:val="single"/>
        </w:rPr>
      </w:pPr>
    </w:p>
    <w:p w14:paraId="520B7478" w14:textId="69679591" w:rsidR="0004673D" w:rsidRPr="009A1A78" w:rsidRDefault="0004673D" w:rsidP="0004673D">
      <w:pPr>
        <w:rPr>
          <w:rFonts w:cs="Arial"/>
          <w:b/>
          <w:bCs/>
          <w:u w:val="single"/>
        </w:rPr>
      </w:pPr>
      <w:r w:rsidRPr="009A1A78">
        <w:rPr>
          <w:rFonts w:cs="Arial"/>
          <w:b/>
          <w:bCs/>
          <w:u w:val="single"/>
        </w:rPr>
        <w:t>POLJ-</w:t>
      </w:r>
      <w:r>
        <w:rPr>
          <w:rFonts w:cs="Arial"/>
          <w:b/>
          <w:bCs/>
          <w:u w:val="single"/>
        </w:rPr>
        <w:t>6</w:t>
      </w:r>
      <w:r w:rsidRPr="009A1A78">
        <w:rPr>
          <w:rFonts w:cs="Arial"/>
          <w:b/>
          <w:bCs/>
          <w:u w:val="single"/>
        </w:rPr>
        <w:t xml:space="preserve"> </w:t>
      </w:r>
      <w:r w:rsidR="006C3392" w:rsidRPr="006C3392">
        <w:rPr>
          <w:rFonts w:cs="Arial"/>
          <w:b/>
          <w:bCs/>
          <w:u w:val="single"/>
        </w:rPr>
        <w:t>Unaprjeđivanje i promjena sustava obrade tla (reducirana obrada)</w:t>
      </w:r>
    </w:p>
    <w:p w14:paraId="1C7FF876" w14:textId="7F739852" w:rsidR="0004673D" w:rsidRPr="00B56FE5" w:rsidRDefault="0004673D" w:rsidP="0004673D">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lastRenderedPageBreak/>
        <w:t>Informacijska,</w:t>
      </w:r>
      <w:r>
        <w:rPr>
          <w:rFonts w:ascii="Arial" w:hAnsi="Arial" w:cs="Arial"/>
          <w:b/>
          <w:bCs/>
          <w:color w:val="000000"/>
          <w:sz w:val="22"/>
          <w:szCs w:val="22"/>
          <w:lang w:eastAsia="en-GB"/>
        </w:rPr>
        <w:t xml:space="preserve"> obrazovna</w:t>
      </w:r>
      <w:r w:rsidR="004A1D0F">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746B8AAD" w14:textId="74BF7CC2" w:rsidR="0004673D" w:rsidRDefault="0004673D" w:rsidP="0004673D">
      <w:pPr>
        <w:pStyle w:val="NormalWeb"/>
        <w:spacing w:before="240" w:beforeAutospacing="0" w:after="120" w:afterAutospacing="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sidR="00985332" w:rsidRPr="00985332">
        <w:rPr>
          <w:rFonts w:ascii="Arial" w:hAnsi="Arial" w:cs="Arial"/>
          <w:color w:val="000000"/>
          <w:sz w:val="22"/>
          <w:szCs w:val="22"/>
          <w:lang w:eastAsia="en-GB"/>
        </w:rPr>
        <w:t>Povećanje sekvestracije ugljika u tlu kroz unaprjeđenja i izmjene sustava obrade tla</w:t>
      </w:r>
      <w:r w:rsidRPr="00064DE1">
        <w:rPr>
          <w:rFonts w:ascii="Arial" w:hAnsi="Arial" w:cs="Arial"/>
          <w:color w:val="000000"/>
          <w:sz w:val="22"/>
          <w:szCs w:val="22"/>
          <w:lang w:eastAsia="en-GB"/>
        </w:rPr>
        <w:t>.</w:t>
      </w:r>
    </w:p>
    <w:p w14:paraId="6A92FE16" w14:textId="77777777" w:rsidR="00E97DEC" w:rsidRPr="00840E2E" w:rsidRDefault="00E97DEC" w:rsidP="00E97DEC">
      <w:pPr>
        <w:shd w:val="clear" w:color="auto" w:fill="FFFFFF"/>
        <w:rPr>
          <w:rFonts w:cs="Arial"/>
          <w:color w:val="000000"/>
          <w:lang w:eastAsia="en-GB"/>
        </w:rPr>
      </w:pPr>
      <w:r w:rsidRPr="00840E2E">
        <w:rPr>
          <w:rFonts w:cs="Arial"/>
          <w:color w:val="000000"/>
          <w:lang w:eastAsia="en-GB"/>
        </w:rPr>
        <w:t xml:space="preserve">Sustavi obrade tla presudno utječu na parametre koji su bitni za skladištenje vode u tlu, općenito na vodo-zračne odnose, gubitke vodom evapotranspiracijom, toplinsko stanje tla, a time i na mikrobiološku aktivnost i na disanje tla. Problematika smanjenja emisije CO2 iz poljoprivrednih tala u Hrvatskoj nije dovoljno istražena u lokalnim uvjetima. </w:t>
      </w:r>
    </w:p>
    <w:p w14:paraId="242A8B4E" w14:textId="77777777" w:rsidR="00E97DEC" w:rsidRPr="00840E2E" w:rsidRDefault="00E97DEC" w:rsidP="00E97DEC">
      <w:pPr>
        <w:shd w:val="clear" w:color="auto" w:fill="FFFFFF"/>
        <w:rPr>
          <w:rFonts w:cs="Arial"/>
          <w:color w:val="000000"/>
          <w:lang w:eastAsia="en-GB"/>
        </w:rPr>
      </w:pPr>
      <w:r w:rsidRPr="00840E2E">
        <w:rPr>
          <w:rFonts w:cs="Arial"/>
          <w:color w:val="000000"/>
          <w:lang w:eastAsia="en-GB"/>
        </w:rPr>
        <w:t xml:space="preserve">Reducirana obrada tla predstavlja primjenu rezultata znanstvenih istraživanja i praktičnih provjera koji rezultiraju promjenom konvencionalnog sustava obrade tla kroz reduciranje dubine osnovne i dopunske obrade tla, izostavljanje jednog ili više radnih zahvata, reduciranja frekvencije obrade ili potpunog izostavljanja obrade tla. </w:t>
      </w:r>
    </w:p>
    <w:p w14:paraId="0F2EE5BD" w14:textId="77777777" w:rsidR="00E97DEC" w:rsidRPr="00840E2E" w:rsidRDefault="00E97DEC" w:rsidP="00E97DEC">
      <w:pPr>
        <w:shd w:val="clear" w:color="auto" w:fill="FFFFFF"/>
        <w:rPr>
          <w:rFonts w:cs="Arial"/>
          <w:color w:val="000000"/>
          <w:lang w:eastAsia="en-GB"/>
        </w:rPr>
      </w:pPr>
      <w:r w:rsidRPr="00840E2E">
        <w:rPr>
          <w:rFonts w:cs="Arial"/>
          <w:color w:val="000000"/>
          <w:lang w:eastAsia="en-GB"/>
        </w:rPr>
        <w:t>Tako se reducirana obrade tla može podijeliti na osnovni koncepte:</w:t>
      </w:r>
    </w:p>
    <w:p w14:paraId="15303232" w14:textId="77777777" w:rsidR="00E97DEC" w:rsidRPr="00840E2E" w:rsidRDefault="00E97DEC" w:rsidP="00840E2E">
      <w:pPr>
        <w:pStyle w:val="ListParagraph"/>
        <w:numPr>
          <w:ilvl w:val="0"/>
          <w:numId w:val="216"/>
        </w:numPr>
        <w:shd w:val="clear" w:color="auto" w:fill="FFFFFF"/>
        <w:rPr>
          <w:rFonts w:cs="Arial"/>
          <w:color w:val="000000"/>
          <w:lang w:eastAsia="en-GB"/>
        </w:rPr>
      </w:pPr>
      <w:r w:rsidRPr="00840E2E">
        <w:rPr>
          <w:rFonts w:cs="Arial"/>
          <w:color w:val="000000"/>
          <w:lang w:eastAsia="en-GB"/>
        </w:rPr>
        <w:t xml:space="preserve">Reduciranje klasičnih sustava obrade </w:t>
      </w:r>
    </w:p>
    <w:p w14:paraId="750253EB" w14:textId="77777777" w:rsidR="00E97DEC" w:rsidRPr="00840E2E" w:rsidRDefault="00E97DEC" w:rsidP="00840E2E">
      <w:pPr>
        <w:pStyle w:val="ListParagraph"/>
        <w:numPr>
          <w:ilvl w:val="0"/>
          <w:numId w:val="216"/>
        </w:numPr>
        <w:shd w:val="clear" w:color="auto" w:fill="FFFFFF"/>
        <w:rPr>
          <w:rFonts w:cs="Arial"/>
          <w:color w:val="000000"/>
          <w:lang w:eastAsia="en-GB"/>
        </w:rPr>
      </w:pPr>
      <w:r w:rsidRPr="00840E2E">
        <w:rPr>
          <w:rFonts w:cs="Arial"/>
          <w:color w:val="000000"/>
          <w:lang w:eastAsia="en-GB"/>
        </w:rPr>
        <w:t>Minimalna obradu (minimum tillage)</w:t>
      </w:r>
    </w:p>
    <w:p w14:paraId="755A6191" w14:textId="77777777" w:rsidR="00E97DEC" w:rsidRPr="00840E2E" w:rsidRDefault="00E97DEC" w:rsidP="00840E2E">
      <w:pPr>
        <w:pStyle w:val="ListParagraph"/>
        <w:numPr>
          <w:ilvl w:val="0"/>
          <w:numId w:val="216"/>
        </w:numPr>
        <w:shd w:val="clear" w:color="auto" w:fill="FFFFFF"/>
        <w:rPr>
          <w:rFonts w:cs="Arial"/>
          <w:color w:val="000000"/>
          <w:lang w:eastAsia="en-GB"/>
        </w:rPr>
      </w:pPr>
      <w:r w:rsidRPr="00840E2E">
        <w:rPr>
          <w:rFonts w:cs="Arial"/>
          <w:color w:val="000000"/>
          <w:lang w:eastAsia="en-GB"/>
        </w:rPr>
        <w:t>Izostavljanje obrade (no-till)</w:t>
      </w:r>
    </w:p>
    <w:p w14:paraId="275DF9FA" w14:textId="77777777" w:rsidR="00E97DEC" w:rsidRPr="00840E2E" w:rsidRDefault="00E97DEC" w:rsidP="00840E2E">
      <w:pPr>
        <w:pStyle w:val="ListParagraph"/>
        <w:numPr>
          <w:ilvl w:val="0"/>
          <w:numId w:val="216"/>
        </w:numPr>
        <w:shd w:val="clear" w:color="auto" w:fill="FFFFFF"/>
        <w:rPr>
          <w:rFonts w:cs="Arial"/>
          <w:color w:val="000000"/>
          <w:lang w:eastAsia="en-GB"/>
        </w:rPr>
      </w:pPr>
      <w:r w:rsidRPr="00840E2E">
        <w:rPr>
          <w:rFonts w:cs="Arial"/>
          <w:color w:val="000000"/>
          <w:lang w:eastAsia="en-GB"/>
        </w:rPr>
        <w:t>Konzervacijska obrada</w:t>
      </w:r>
    </w:p>
    <w:p w14:paraId="5B4BC0DD" w14:textId="77777777" w:rsidR="00E97DEC" w:rsidRPr="00840E2E" w:rsidRDefault="00E97DEC" w:rsidP="00840E2E">
      <w:pPr>
        <w:pStyle w:val="ListParagraph"/>
        <w:numPr>
          <w:ilvl w:val="0"/>
          <w:numId w:val="216"/>
        </w:numPr>
        <w:shd w:val="clear" w:color="auto" w:fill="FFFFFF"/>
        <w:rPr>
          <w:rFonts w:cs="Arial"/>
          <w:color w:val="000000"/>
          <w:lang w:eastAsia="en-GB"/>
        </w:rPr>
      </w:pPr>
      <w:r w:rsidRPr="00840E2E">
        <w:rPr>
          <w:rFonts w:cs="Arial"/>
          <w:color w:val="000000"/>
          <w:lang w:eastAsia="en-GB"/>
        </w:rPr>
        <w:t>Racionalna obrada</w:t>
      </w:r>
    </w:p>
    <w:p w14:paraId="29BD0A91" w14:textId="77777777" w:rsidR="00E97DEC" w:rsidRPr="00840E2E" w:rsidRDefault="00E97DEC" w:rsidP="00E97DEC">
      <w:pPr>
        <w:shd w:val="clear" w:color="auto" w:fill="FFFFFF"/>
        <w:rPr>
          <w:rFonts w:cs="Arial"/>
          <w:color w:val="000000"/>
          <w:lang w:eastAsia="en-GB"/>
        </w:rPr>
      </w:pPr>
      <w:r w:rsidRPr="00840E2E">
        <w:rPr>
          <w:rFonts w:cs="Arial"/>
          <w:color w:val="000000"/>
          <w:lang w:eastAsia="en-GB"/>
        </w:rPr>
        <w:t>Detaljna pedološka istraživanja provedena u Hrvatskoj tek su jedan od ulaznih parametara za opću procjenu prikladnosti zemljišta za primjenu no-tillage sustava, no potreban je projekt koji bi dao detaljne odgovore na pitanje pogodnosti tala za no-tillage u Hrvatskoj.</w:t>
      </w:r>
    </w:p>
    <w:p w14:paraId="544B12EC" w14:textId="3E316950" w:rsidR="00E97DEC" w:rsidRPr="00840E2E" w:rsidRDefault="00E97DEC" w:rsidP="00E97DEC">
      <w:pPr>
        <w:shd w:val="clear" w:color="auto" w:fill="FFFFFF"/>
        <w:rPr>
          <w:rFonts w:cs="Arial"/>
          <w:color w:val="000000"/>
          <w:lang w:eastAsia="en-GB"/>
        </w:rPr>
      </w:pPr>
      <w:r w:rsidRPr="00840E2E">
        <w:rPr>
          <w:rFonts w:cs="Arial"/>
          <w:color w:val="000000"/>
          <w:lang w:eastAsia="en-GB"/>
        </w:rPr>
        <w:t>U uvjetima globalnih klimatskih promjena i sve češćih i intenzivnijih sušnih razdoblja (prema IPCC-u, u regijama južne, jugoistočne i istočne Europe, pa tako i Republici Hrvatskoj u toploj polovini godine može se očekivati smanjivanje vlažnosti tla za 15-25%) možda najvažnijom zadaćom reducirane obrade tla postaje akumulacija i skladištenje vode u tlu. Istovremeno, u godinama bogatim oborinama, koje se u posljednje vrijeme također javljaju, često je prekomjerno zasićenje tla vodom, što čini problematiku obrade tla još teže rješivom. Drugi razlozi primjene ovih sustava obrade tla su vezani za poboljšanja biološka, kemijska i fizikalna svojstva tla te sprečavanje i ublažavanje erozije. Sustavi gospodarenja koji uključuju zahvate konzervacijske obrade tla, organske gnojidbe, zadržavanje dijela površine pod travnjacima, odgovarajuću strukturu plodoreda, i sl. imaju pozitivan utjecaj na podizanje organske tvari u tl, koja ima ključnu ulogu u održavanju svih uloga tla. Izravni utjecaj na emisiju stakleničkih plinova kod reduciranog sustava obrade tla prvenstveno se odnosi na značajni utjecaj na sadržaj organskog ugljika (povećanje akumulacije organske tvari u tlu, posebno kod kombinacija sustava minimalne obrade i pokrovnih međuusjeva kod uzgoja žitarica) te</w:t>
      </w:r>
      <w:r w:rsidR="00622DB1">
        <w:rPr>
          <w:rFonts w:cs="Arial"/>
          <w:color w:val="000000"/>
          <w:lang w:eastAsia="en-GB"/>
        </w:rPr>
        <w:t xml:space="preserve"> </w:t>
      </w:r>
      <w:r w:rsidRPr="00840E2E">
        <w:rPr>
          <w:rFonts w:cs="Arial"/>
          <w:color w:val="000000"/>
          <w:lang w:eastAsia="en-GB"/>
        </w:rPr>
        <w:t xml:space="preserve">s aspekta smanjenog utroška energije (fosilnih goriva) zbog manjeg broja radnih sati strojeva. Reducirana obrada tla je povoljna i sa stajališta suzbijanja korova, uspostavi optimalnog funkcioniranja tla i optimalne visine uroda po jedinici proizvodne površine – odnosno ukupnom smanjenju proizvodnih troškova. </w:t>
      </w:r>
    </w:p>
    <w:p w14:paraId="5F21D50E" w14:textId="77777777" w:rsidR="00E97DEC" w:rsidRPr="00840E2E" w:rsidRDefault="00E97DEC" w:rsidP="00E97DEC">
      <w:pPr>
        <w:shd w:val="clear" w:color="auto" w:fill="FFFFFF"/>
        <w:rPr>
          <w:rFonts w:cs="Arial"/>
          <w:color w:val="000000"/>
          <w:lang w:eastAsia="en-GB"/>
        </w:rPr>
      </w:pPr>
      <w:r w:rsidRPr="00840E2E">
        <w:rPr>
          <w:rFonts w:cs="Arial"/>
          <w:color w:val="000000"/>
          <w:lang w:eastAsia="en-GB"/>
        </w:rPr>
        <w:lastRenderedPageBreak/>
        <w:t>Zahvati u agrotehnici, kao i postupci kojima se može sadržaj organske tvari u tlu zadržavati ili se čak i povećati se u Hrvatskoj ne provode na zadovoljavajući način. Problemi u smanjenju plodnosti tla uvjetuju izgledan pad prinosa uzgajanih kultura, kao i otežanu obrada tla, smanjeno iskorištenje primijenjenih gnojiva, te u cjelini smanjena učinkovitost proizvodnje.</w:t>
      </w:r>
    </w:p>
    <w:p w14:paraId="539A6D90" w14:textId="4721B76C" w:rsidR="00E97DEC" w:rsidRPr="0039602A" w:rsidRDefault="00E97DEC" w:rsidP="00840E2E">
      <w:pPr>
        <w:shd w:val="clear" w:color="auto" w:fill="FFFFFF"/>
        <w:rPr>
          <w:rFonts w:cs="Arial"/>
          <w:color w:val="000000"/>
          <w:lang w:eastAsia="en-GB"/>
        </w:rPr>
      </w:pPr>
      <w:r w:rsidRPr="00840E2E">
        <w:rPr>
          <w:rFonts w:cs="Arial"/>
          <w:color w:val="000000"/>
          <w:lang w:eastAsia="en-GB"/>
        </w:rPr>
        <w:t>Primjenom različitih sustava obrade tla mijenjaju se i sadašnja ustaljena shvaćanja o odnosu obrade i gnojidbe dušikom, što zahtjeva dodatne analize kako bi se izbjegla acidifikacija i pretjerano gnojenje dušičnim gnojivima, posebno u početnom razdoblju uspostave konzervacijske obrade.</w:t>
      </w:r>
      <w:r w:rsidR="00622DB1">
        <w:rPr>
          <w:i/>
          <w:sz w:val="20"/>
          <w:szCs w:val="20"/>
        </w:rPr>
        <w:t xml:space="preserve"> </w:t>
      </w:r>
    </w:p>
    <w:p w14:paraId="376252B3" w14:textId="77777777" w:rsidR="0004673D" w:rsidRDefault="0004673D" w:rsidP="00A32225">
      <w:pPr>
        <w:rPr>
          <w:rFonts w:cs="Arial"/>
          <w:u w:val="single"/>
        </w:rPr>
      </w:pPr>
    </w:p>
    <w:p w14:paraId="1E41C480" w14:textId="63E2E4A5" w:rsidR="00036D1D" w:rsidRPr="009A1A78" w:rsidRDefault="00036D1D" w:rsidP="00036D1D">
      <w:pPr>
        <w:rPr>
          <w:rFonts w:cs="Arial"/>
          <w:b/>
          <w:bCs/>
          <w:u w:val="single"/>
        </w:rPr>
      </w:pPr>
      <w:r w:rsidRPr="009A1A78">
        <w:rPr>
          <w:rFonts w:cs="Arial"/>
          <w:b/>
          <w:bCs/>
          <w:u w:val="single"/>
        </w:rPr>
        <w:t>POLJ-</w:t>
      </w:r>
      <w:r>
        <w:rPr>
          <w:rFonts w:cs="Arial"/>
          <w:b/>
          <w:bCs/>
          <w:u w:val="single"/>
        </w:rPr>
        <w:t>7</w:t>
      </w:r>
      <w:r w:rsidRPr="009A1A78">
        <w:rPr>
          <w:rFonts w:cs="Arial"/>
          <w:b/>
          <w:bCs/>
          <w:u w:val="single"/>
        </w:rPr>
        <w:t xml:space="preserve"> </w:t>
      </w:r>
      <w:r w:rsidR="009A2920" w:rsidRPr="009A2920">
        <w:rPr>
          <w:rFonts w:cs="Arial"/>
          <w:b/>
          <w:bCs/>
          <w:u w:val="single"/>
        </w:rPr>
        <w:t>Proširenje plodoreda s većim učešćem leguminoza</w:t>
      </w:r>
      <w:r w:rsidR="009A2920" w:rsidRPr="009A2920" w:rsidDel="009A2920">
        <w:rPr>
          <w:rFonts w:cs="Arial"/>
          <w:b/>
          <w:bCs/>
          <w:u w:val="single"/>
        </w:rPr>
        <w:t xml:space="preserve"> </w:t>
      </w:r>
    </w:p>
    <w:p w14:paraId="5C1C3585" w14:textId="37840C34" w:rsidR="00036D1D" w:rsidRPr="00B56FE5" w:rsidRDefault="00036D1D" w:rsidP="00036D1D">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obrazovna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413E130C" w14:textId="0941FAD8" w:rsidR="00036D1D" w:rsidRDefault="00036D1D" w:rsidP="00036D1D">
      <w:pPr>
        <w:pStyle w:val="NormalWeb"/>
        <w:spacing w:before="240" w:beforeAutospacing="0" w:after="120" w:afterAutospacing="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sidR="00706210" w:rsidRPr="00706210">
        <w:rPr>
          <w:rFonts w:ascii="Arial" w:hAnsi="Arial" w:cs="Arial"/>
          <w:color w:val="000000"/>
          <w:sz w:val="22"/>
          <w:szCs w:val="22"/>
          <w:lang w:eastAsia="en-GB"/>
        </w:rPr>
        <w:t>Definiranje potencijala izmjene sadržaja organske tvari / povećanje sekvestracije ugljika u tlu izmjenama plodoreda</w:t>
      </w:r>
      <w:r w:rsidR="00706210">
        <w:rPr>
          <w:rFonts w:ascii="Arial" w:hAnsi="Arial" w:cs="Arial"/>
          <w:color w:val="000000"/>
          <w:sz w:val="22"/>
          <w:szCs w:val="22"/>
          <w:lang w:eastAsia="en-GB"/>
        </w:rPr>
        <w:t>.</w:t>
      </w:r>
    </w:p>
    <w:p w14:paraId="1592129C" w14:textId="77777777" w:rsidR="002E20FF" w:rsidRPr="002E20FF" w:rsidRDefault="002E20FF" w:rsidP="00840E2E">
      <w:pPr>
        <w:pStyle w:val="NormalWeb"/>
        <w:spacing w:line="288" w:lineRule="auto"/>
        <w:rPr>
          <w:rFonts w:ascii="Arial" w:hAnsi="Arial" w:cs="Arial"/>
          <w:color w:val="000000"/>
          <w:sz w:val="22"/>
          <w:szCs w:val="22"/>
          <w:lang w:eastAsia="en-GB"/>
        </w:rPr>
      </w:pPr>
      <w:r w:rsidRPr="002E20FF">
        <w:rPr>
          <w:rFonts w:ascii="Arial" w:hAnsi="Arial" w:cs="Arial"/>
          <w:color w:val="000000"/>
          <w:sz w:val="22"/>
          <w:szCs w:val="22"/>
          <w:lang w:eastAsia="en-GB"/>
        </w:rPr>
        <w:t>Plodored je sustav biljne proizvodnje koji se prakticira na oranicama, a predstavlja pravilnu, prostornu (poljosmjena) i vremensku (plodosmjena) izmjenu usjeva. Pri određivanju plodoreda potrebno je voditi brigu o vrsti i plodnosti tla, pH vrijednosti, klimatskim uvjetima te utjecaju kulture na plodnost tla, strukturu i opskrbljenost hranivima. Plodored se planira pojedinačno za svako gospodarstvo prema zahtjevima proizvodnje, pri čemu je bitno pridržavanje preporučenog slijeda kultura. Plodoredom je potrebno obuhvatiti tri osnovne skupine biljaka- okopavine, žitarice i leguminoze.</w:t>
      </w:r>
    </w:p>
    <w:p w14:paraId="1FE0AF4F" w14:textId="77777777" w:rsidR="002E20FF" w:rsidRPr="002E20FF" w:rsidRDefault="002E20FF" w:rsidP="00840E2E">
      <w:pPr>
        <w:pStyle w:val="NormalWeb"/>
        <w:spacing w:line="288" w:lineRule="auto"/>
        <w:rPr>
          <w:rFonts w:ascii="Arial" w:hAnsi="Arial" w:cs="Arial"/>
          <w:color w:val="000000"/>
          <w:sz w:val="22"/>
          <w:szCs w:val="22"/>
          <w:lang w:eastAsia="en-GB"/>
        </w:rPr>
      </w:pPr>
      <w:r w:rsidRPr="002E20FF">
        <w:rPr>
          <w:rFonts w:ascii="Arial" w:hAnsi="Arial" w:cs="Arial"/>
          <w:color w:val="000000"/>
          <w:sz w:val="22"/>
          <w:szCs w:val="22"/>
          <w:lang w:eastAsia="en-GB"/>
        </w:rPr>
        <w:t>Prakticirani plodoredi i danas snažno, zajedno sa sustavima obrade tla, utječu na promjene sadržaja organske tvari u tlu. Uski plodored u kojem su gotovo obavezno uključeni kukuruz i ozima pšenica, bez intenziviranja plodoreda, uz nedopušteno spaljivanje žetvenih ostataka, praksa je koja ne može povoljno utjecati na povećanje sadržaja organske tvari u tlu. Plodored koji ima za cilj dugoročno utjecati na zadržavanje iste razine humusa, treba uključiti i leguminozne usjeve, djeteline, djetelinsko travne smjese, a trebao bi, kad je moguće uključivati i sjetvu postrnih usjeva za zelenu gnojidbu. Prema rezultatima Butorca i sur. (1995) prosječni sadržaj humusa u tlu za različite plodorede, od monokulture duhana, preko dva dvopoljna, tropoljnim, dva četveropoljna, te po jednim petero i šesteropoljnim plodoredom varirao je od 1,3 do 1,6%, ali u 10 godišnjem razdoblju nije došlo do značajnije diferencijacije u smislu razlika u sadržaju humusa prema tipovima plodoreda. Iz ovoga je razvidno da istraživanja koja za temu imaju utjecaj prakticiranih plodoredna na promjene kemijskih, pa i fizikalnih i bioloških značajki tla moraju trajati dugo vrijeme, jer se niti 10-godišnje razdoblje ne smatra dovoljno dugim za studiranje ovakvih promjena.</w:t>
      </w:r>
    </w:p>
    <w:p w14:paraId="2BB42555" w14:textId="72C72129" w:rsidR="00036D1D" w:rsidRPr="0039602A" w:rsidRDefault="002E20FF" w:rsidP="00036D1D">
      <w:pPr>
        <w:shd w:val="clear" w:color="auto" w:fill="FFFFFF"/>
        <w:rPr>
          <w:rFonts w:cs="Arial"/>
          <w:color w:val="000000"/>
          <w:lang w:eastAsia="en-GB"/>
        </w:rPr>
      </w:pPr>
      <w:r w:rsidRPr="002E20FF">
        <w:rPr>
          <w:rFonts w:cs="Arial"/>
          <w:color w:val="000000"/>
          <w:lang w:eastAsia="en-GB"/>
        </w:rPr>
        <w:t xml:space="preserve">Sjetva leguminoznih usjeva ima mnogostruke povoljne učinke za poljoprivredna tla. Na ovaj način se veže atmosferski dušik, koji se odmah koristi za sintezu bjelančevina i sprječava se opasnost od onečišćenja podzemnih voda nitratima koji se inače javljaju kod intenzivne </w:t>
      </w:r>
      <w:r w:rsidRPr="002E20FF">
        <w:rPr>
          <w:rFonts w:cs="Arial"/>
          <w:color w:val="000000"/>
          <w:lang w:eastAsia="en-GB"/>
        </w:rPr>
        <w:lastRenderedPageBreak/>
        <w:t>primjene mineralnih dušičnih gnojiva. Tlo se obogaćuje organskom tvari što ima višestruke pozitivne učinke na poboljšanje i održanje povoljnih fizikalnih, kemijskih i bioloških svojstava tla. Održava se plodnost tla i omogućuje kulturama koje slijede u plodoredu korištenje biološki vezanog atmosferskog dušika. Pojedini usjevi (djetelina) mogu biti učinkoviti kod sekvestracija ugljike u tlu. Nadalje, uzgojem leguminoznih usjeva smanjuje se količina organskih gnojiva bogatih dušikom koje treba aplicirati. U pravilu njih nije potrebno gnojiti izuzev samo manjim količinama na početku njihove vegetacije za početni rast i razvoj sve dok one ne formiraju korjenove kvržice i dok ne počne proces fiksacije dušika.</w:t>
      </w:r>
    </w:p>
    <w:p w14:paraId="58CB5AAE" w14:textId="690BE90E" w:rsidR="00B910B6" w:rsidRDefault="00B910B6" w:rsidP="00A32225">
      <w:pPr>
        <w:rPr>
          <w:rFonts w:cs="Arial"/>
          <w:u w:val="single"/>
        </w:rPr>
      </w:pPr>
    </w:p>
    <w:p w14:paraId="46EB8E1C" w14:textId="084C782F" w:rsidR="002B4539" w:rsidRPr="009A1A78" w:rsidRDefault="002B4539" w:rsidP="002B4539">
      <w:pPr>
        <w:rPr>
          <w:rFonts w:cs="Arial"/>
          <w:b/>
          <w:bCs/>
          <w:u w:val="single"/>
        </w:rPr>
      </w:pPr>
      <w:r w:rsidRPr="009A1A78">
        <w:rPr>
          <w:rFonts w:cs="Arial"/>
          <w:b/>
          <w:bCs/>
          <w:u w:val="single"/>
        </w:rPr>
        <w:t>POLJ-</w:t>
      </w:r>
      <w:r>
        <w:rPr>
          <w:rFonts w:cs="Arial"/>
          <w:b/>
          <w:bCs/>
          <w:u w:val="single"/>
        </w:rPr>
        <w:t>8</w:t>
      </w:r>
      <w:r w:rsidRPr="009A1A78">
        <w:rPr>
          <w:rFonts w:cs="Arial"/>
          <w:b/>
          <w:bCs/>
          <w:u w:val="single"/>
        </w:rPr>
        <w:t xml:space="preserve"> </w:t>
      </w:r>
      <w:r w:rsidR="00C10B3A" w:rsidRPr="00C10B3A">
        <w:rPr>
          <w:rFonts w:cs="Arial"/>
          <w:b/>
          <w:bCs/>
          <w:u w:val="single"/>
        </w:rPr>
        <w:t>Intenziviranje plodoreda korištenjem međuusjeva</w:t>
      </w:r>
      <w:r w:rsidR="00622DB1">
        <w:rPr>
          <w:rFonts w:cs="Arial"/>
          <w:b/>
          <w:bCs/>
          <w:u w:val="single"/>
        </w:rPr>
        <w:t xml:space="preserve"> </w:t>
      </w:r>
    </w:p>
    <w:p w14:paraId="55B7A9A7" w14:textId="4F7AE1EC" w:rsidR="002B4539" w:rsidRPr="00B56FE5" w:rsidRDefault="002B4539" w:rsidP="002B4539">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obrazovna</w:t>
      </w:r>
      <w:r w:rsidR="00A10949">
        <w:rPr>
          <w:rFonts w:ascii="Arial" w:hAnsi="Arial" w:cs="Arial"/>
          <w:b/>
          <w:bCs/>
          <w:color w:val="000000"/>
          <w:sz w:val="22"/>
          <w:szCs w:val="22"/>
          <w:lang w:eastAsia="en-GB"/>
        </w:rPr>
        <w:t>, regulatorna</w:t>
      </w:r>
      <w:r>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01F45193" w14:textId="208B528B" w:rsidR="002B4539" w:rsidRDefault="002B4539" w:rsidP="002B4539">
      <w:pPr>
        <w:pStyle w:val="NormalWeb"/>
        <w:spacing w:before="240" w:beforeAutospacing="0" w:after="120" w:afterAutospacing="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sidR="00496736" w:rsidRPr="00496736">
        <w:rPr>
          <w:rFonts w:ascii="Arial" w:hAnsi="Arial" w:cs="Arial"/>
          <w:color w:val="000000"/>
          <w:sz w:val="22"/>
          <w:szCs w:val="22"/>
          <w:lang w:eastAsia="en-GB"/>
        </w:rPr>
        <w:t>Izmjene sadržaja organske tvari / povećanje sekvestracije ugljika u tlu te smanjenje procjeđivanja nitrata sjetvom međuusjeva</w:t>
      </w:r>
      <w:r>
        <w:rPr>
          <w:rFonts w:ascii="Arial" w:hAnsi="Arial" w:cs="Arial"/>
          <w:color w:val="000000"/>
          <w:sz w:val="22"/>
          <w:szCs w:val="22"/>
          <w:lang w:eastAsia="en-GB"/>
        </w:rPr>
        <w:t>.</w:t>
      </w:r>
    </w:p>
    <w:p w14:paraId="2B64AECA" w14:textId="32BA2EDD" w:rsidR="002B4539" w:rsidRPr="0039602A" w:rsidRDefault="00E228CC" w:rsidP="002B4539">
      <w:pPr>
        <w:shd w:val="clear" w:color="auto" w:fill="FFFFFF"/>
        <w:rPr>
          <w:rFonts w:cs="Arial"/>
          <w:color w:val="000000"/>
          <w:lang w:eastAsia="en-GB"/>
        </w:rPr>
      </w:pPr>
      <w:r w:rsidRPr="00E228CC">
        <w:rPr>
          <w:rFonts w:cs="Arial"/>
          <w:color w:val="000000"/>
          <w:lang w:eastAsia="en-GB"/>
        </w:rPr>
        <w:t>Načela dobre poljoprivredne prakse u zaštiti tla i voda od nitrata preporučuju uvođenje međuusjeva (postrnih usjeva)</w:t>
      </w:r>
      <w:r w:rsidR="00622DB1">
        <w:rPr>
          <w:rFonts w:cs="Arial"/>
          <w:color w:val="000000"/>
          <w:lang w:eastAsia="en-GB"/>
        </w:rPr>
        <w:t xml:space="preserve"> </w:t>
      </w:r>
      <w:r w:rsidRPr="00E228CC">
        <w:rPr>
          <w:rFonts w:cs="Arial"/>
          <w:color w:val="000000"/>
          <w:lang w:eastAsia="en-GB"/>
        </w:rPr>
        <w:t>između žetve glavnih kultura. Sjetvom međuusjeva koji se mogu</w:t>
      </w:r>
      <w:r w:rsidR="00622DB1">
        <w:rPr>
          <w:rFonts w:cs="Arial"/>
          <w:color w:val="000000"/>
          <w:lang w:eastAsia="en-GB"/>
        </w:rPr>
        <w:t xml:space="preserve"> </w:t>
      </w:r>
      <w:r w:rsidRPr="00E228CC">
        <w:rPr>
          <w:rFonts w:cs="Arial"/>
          <w:color w:val="000000"/>
          <w:lang w:eastAsia="en-GB"/>
        </w:rPr>
        <w:t>koristiti za hranidbu stoke ili zaorati za zelenu gnojidbu, iskoristit će se preostala hraniva, spriječiti daljnje isp</w:t>
      </w:r>
      <w:r w:rsidR="001920F4">
        <w:rPr>
          <w:rFonts w:cs="Arial"/>
          <w:color w:val="000000"/>
          <w:lang w:eastAsia="en-GB"/>
        </w:rPr>
        <w:t>a</w:t>
      </w:r>
      <w:r w:rsidRPr="00E228CC">
        <w:rPr>
          <w:rFonts w:cs="Arial"/>
          <w:color w:val="000000"/>
          <w:lang w:eastAsia="en-GB"/>
        </w:rPr>
        <w:t>r</w:t>
      </w:r>
      <w:r w:rsidR="001920F4">
        <w:rPr>
          <w:rFonts w:cs="Arial"/>
          <w:color w:val="000000"/>
          <w:lang w:eastAsia="en-GB"/>
        </w:rPr>
        <w:t>i</w:t>
      </w:r>
      <w:r w:rsidRPr="00E228CC">
        <w:rPr>
          <w:rFonts w:cs="Arial"/>
          <w:color w:val="000000"/>
          <w:lang w:eastAsia="en-GB"/>
        </w:rPr>
        <w:t>vanje vode iz tla, smanjiti gubitak ugljika iz tla (uklanjanje negativnog efekta „golog tla“), spriječiti ispiranje dušika u podzemne vode (pogotovo na lakšim tlima) te povećati organsku masu na poljoprivrednim gospodarstvima koja na svojim oranicama imaju uzak plodored. Usjevi iz porodice leguminoza vežu dušik iz zraka i tako obogaćuju tlo, čuvaju i potiču mikrobiološku aktivnost u tlu te sprečavaju eroziju tla. Povećana cijena poljoprivredne proizvodnje po hektaru obično se kompenzira kroz uštedu u pripremi stočne hrane ili smanjenje potrebe za primjenom mineralnim gnojivima. Problemi koji se javljaju u tom postupku tiču se vremena i organizacije rada na gospodarstvu, ali su oni rješivi, što se samo uvjetno može reći za sušu koja se može javiti u vrijeme nakon žetve strnih žitarica, pri čemu je sjetva postrnih usjeva upitna.</w:t>
      </w:r>
      <w:r w:rsidR="002B4539" w:rsidRPr="002E20FF">
        <w:rPr>
          <w:rFonts w:cs="Arial"/>
          <w:color w:val="000000"/>
          <w:lang w:eastAsia="en-GB"/>
        </w:rPr>
        <w:t>.</w:t>
      </w:r>
    </w:p>
    <w:p w14:paraId="08F8AC02" w14:textId="6101F520" w:rsidR="002B4539" w:rsidRDefault="002B4539" w:rsidP="00A32225">
      <w:pPr>
        <w:rPr>
          <w:rFonts w:cs="Arial"/>
          <w:u w:val="single"/>
        </w:rPr>
      </w:pPr>
    </w:p>
    <w:p w14:paraId="7716AD66" w14:textId="1032A405" w:rsidR="00EA790A" w:rsidRPr="009A1A78" w:rsidRDefault="00EA790A" w:rsidP="00EA790A">
      <w:pPr>
        <w:rPr>
          <w:rFonts w:cs="Arial"/>
          <w:b/>
          <w:bCs/>
          <w:u w:val="single"/>
        </w:rPr>
      </w:pPr>
      <w:r w:rsidRPr="009A1A78">
        <w:rPr>
          <w:rFonts w:cs="Arial"/>
          <w:b/>
          <w:bCs/>
          <w:u w:val="single"/>
        </w:rPr>
        <w:t>POLJ-</w:t>
      </w:r>
      <w:r>
        <w:rPr>
          <w:rFonts w:cs="Arial"/>
          <w:b/>
          <w:bCs/>
          <w:u w:val="single"/>
        </w:rPr>
        <w:t>9</w:t>
      </w:r>
      <w:r w:rsidRPr="009A1A78">
        <w:rPr>
          <w:rFonts w:cs="Arial"/>
          <w:b/>
          <w:bCs/>
          <w:u w:val="single"/>
        </w:rPr>
        <w:t xml:space="preserve"> </w:t>
      </w:r>
      <w:r w:rsidR="00390D6B" w:rsidRPr="00390D6B">
        <w:rPr>
          <w:rFonts w:cs="Arial"/>
          <w:b/>
          <w:bCs/>
          <w:u w:val="single"/>
        </w:rPr>
        <w:t>Poboljšanje metoda primjene mineralnih gnojiva</w:t>
      </w:r>
      <w:r w:rsidR="00390D6B" w:rsidRPr="00390D6B" w:rsidDel="00390D6B">
        <w:rPr>
          <w:rFonts w:cs="Arial"/>
          <w:b/>
          <w:bCs/>
          <w:u w:val="single"/>
        </w:rPr>
        <w:t xml:space="preserve"> </w:t>
      </w:r>
    </w:p>
    <w:p w14:paraId="3C0718F7" w14:textId="48828D52" w:rsidR="00EA790A" w:rsidRPr="00B56FE5" w:rsidRDefault="00EA790A" w:rsidP="00EA790A">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obrazovna</w:t>
      </w:r>
      <w:r w:rsidR="002C24D1">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77559FC2" w14:textId="69FAA56D" w:rsidR="00EA790A" w:rsidRDefault="00EA790A" w:rsidP="00EA790A">
      <w:pPr>
        <w:pStyle w:val="NormalWeb"/>
        <w:spacing w:before="240" w:beforeAutospacing="0" w:after="120" w:afterAutospacing="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sidR="008962E0" w:rsidRPr="008962E0">
        <w:rPr>
          <w:rFonts w:ascii="Arial" w:hAnsi="Arial" w:cs="Arial"/>
          <w:color w:val="000000"/>
          <w:sz w:val="22"/>
          <w:szCs w:val="22"/>
          <w:lang w:eastAsia="en-GB"/>
        </w:rPr>
        <w:t>Smanjenje emisije didušikovog oksida iz poljoprivrednih tala uslijed optimiranja primjene mineralnih gnojiva</w:t>
      </w:r>
      <w:r>
        <w:rPr>
          <w:rFonts w:ascii="Arial" w:hAnsi="Arial" w:cs="Arial"/>
          <w:color w:val="000000"/>
          <w:sz w:val="22"/>
          <w:szCs w:val="22"/>
          <w:lang w:eastAsia="en-GB"/>
        </w:rPr>
        <w:t>.</w:t>
      </w:r>
    </w:p>
    <w:p w14:paraId="20CD2DCE" w14:textId="40AF7D80" w:rsidR="00381F43" w:rsidRPr="00381F43" w:rsidRDefault="00381F43" w:rsidP="00840E2E">
      <w:pPr>
        <w:pStyle w:val="NormalWeb"/>
        <w:spacing w:line="288" w:lineRule="auto"/>
        <w:jc w:val="both"/>
        <w:rPr>
          <w:rFonts w:ascii="Arial" w:hAnsi="Arial" w:cs="Arial"/>
          <w:color w:val="000000"/>
          <w:sz w:val="22"/>
          <w:szCs w:val="22"/>
          <w:lang w:eastAsia="en-GB"/>
        </w:rPr>
      </w:pPr>
      <w:r w:rsidRPr="00381F43">
        <w:rPr>
          <w:rFonts w:ascii="Arial" w:hAnsi="Arial" w:cs="Arial"/>
          <w:color w:val="000000"/>
          <w:sz w:val="22"/>
          <w:szCs w:val="22"/>
          <w:lang w:eastAsia="en-GB"/>
        </w:rPr>
        <w:t xml:space="preserve">Mineralna gnojidba vrlo kompleksno utječe na organsku tvar tla. U pravilu, intenzivna gnojidba može utjecati na veću produkciju biomase usjeva, korova, ali i mikroorganizama tla, što posebno vrijedi za tla koja nemaju ostalih ograničenja za plodnost, osim nedostatka hranjiva. Moderan razvoj poljoprivrede u Hrvatskoj podrazumijeva uvođenje novih tehnologija, od kojih je za ratarsku proizvodnju vrlo zanimljiva tzv. „Variable liming“ i „variable fertilization rate“ ili </w:t>
      </w:r>
      <w:r w:rsidRPr="00381F43">
        <w:rPr>
          <w:rFonts w:ascii="Arial" w:hAnsi="Arial" w:cs="Arial"/>
          <w:color w:val="000000"/>
          <w:sz w:val="22"/>
          <w:szCs w:val="22"/>
          <w:lang w:eastAsia="en-GB"/>
        </w:rPr>
        <w:lastRenderedPageBreak/>
        <w:t>„site-specific management“. Temelj za gnojidbu čine karte plodnosti tla koje se rade metodom kriginga. Na taj način stvaraju se pretpostavke za puno bolje održivo gospodarenje tlom. Suvremeni strojevi za precizno raspodjeljivanje materijala danas se već prodaju u Hrvatskoj, ali se oni ne mogu koristiti bez poznavanja razlika u plodnosti tla. Uvođenje informacijskih tehnologija, daljinskih istraživanja s primjenom u poljoprivredi, te izrada karata prinosa danas su svakodnevica. Na taj način generira se prihod korisnika novih tehnologija, te ušteda poljoprivrednika u primjeni gnojiva, a samim tim i povoljan utjecaj na okoliš. Temelj za gnojidbu predstavljaju rezultati analize tla, koji bi se na svakom gospodarstvu trebali osiguravati u razdoblju od 4-5 godina.</w:t>
      </w:r>
    </w:p>
    <w:p w14:paraId="7A62F44D" w14:textId="77777777" w:rsidR="00381F43" w:rsidRPr="00381F43" w:rsidRDefault="00381F43" w:rsidP="00840E2E">
      <w:pPr>
        <w:pStyle w:val="NormalWeb"/>
        <w:spacing w:line="288" w:lineRule="auto"/>
        <w:jc w:val="both"/>
        <w:rPr>
          <w:rFonts w:ascii="Arial" w:hAnsi="Arial" w:cs="Arial"/>
          <w:color w:val="000000"/>
          <w:sz w:val="22"/>
          <w:szCs w:val="22"/>
          <w:lang w:eastAsia="en-GB"/>
        </w:rPr>
      </w:pPr>
      <w:r w:rsidRPr="00381F43">
        <w:rPr>
          <w:rFonts w:ascii="Arial" w:hAnsi="Arial" w:cs="Arial"/>
          <w:color w:val="000000"/>
          <w:sz w:val="22"/>
          <w:szCs w:val="22"/>
          <w:lang w:eastAsia="en-GB"/>
        </w:rPr>
        <w:t xml:space="preserve">Subjektivne, „iskustvene“ ili vizualne procjene, najčešće rezultiraju minimalnim povećanjem ili čak smanjivanjem prinosa i kvalitete usjeva, te povećanom potrošnjom mineralnih gnojiva – što osim povećanih troškova proizvodnje podrazumijeva i povećano gubitak neiskorištenog dušika iz tla, kao i nepotrebno zakiseljavanje tla. </w:t>
      </w:r>
    </w:p>
    <w:p w14:paraId="41431E37" w14:textId="4FA9332B" w:rsidR="00381F43" w:rsidRPr="00381F43" w:rsidRDefault="00381F43" w:rsidP="00840E2E">
      <w:pPr>
        <w:pStyle w:val="NormalWeb"/>
        <w:spacing w:line="288" w:lineRule="auto"/>
        <w:jc w:val="both"/>
        <w:rPr>
          <w:rFonts w:ascii="Arial" w:hAnsi="Arial" w:cs="Arial"/>
          <w:color w:val="000000"/>
          <w:sz w:val="22"/>
          <w:szCs w:val="22"/>
          <w:lang w:eastAsia="en-GB"/>
        </w:rPr>
      </w:pPr>
      <w:r w:rsidRPr="00381F43">
        <w:rPr>
          <w:rFonts w:ascii="Arial" w:hAnsi="Arial" w:cs="Arial"/>
          <w:color w:val="000000"/>
          <w:sz w:val="22"/>
          <w:szCs w:val="22"/>
          <w:lang w:eastAsia="en-GB"/>
        </w:rPr>
        <w:t xml:space="preserve">Osim optimiziranja primjene konvencionalnih mineralnih gnojiva na smanjivanje gubitka dušika iz tla pozitivan utjecaj ima primjena gnojiva sporog djelovanja. Dušična gnojiva kontroliranog ili sporog djelovanja svoju primjenu danas nalaze najvećim udjelom u proizvodnji s visokim prihodima (hortikultura i sl.). Starija generacija ovakvih gnojiva nije ekonomski isplativa pri proizvodnji žitarica zbog visoke cijene gnojiva i niskog prihoda po usjevu. Pojava novih sporodjelujućih gnojiva prikladnih za uzgoj </w:t>
      </w:r>
      <w:r w:rsidR="007E42A4" w:rsidRPr="007E42A4">
        <w:rPr>
          <w:rFonts w:ascii="Arial" w:hAnsi="Arial" w:cs="Arial"/>
          <w:color w:val="000000"/>
          <w:sz w:val="22"/>
          <w:szCs w:val="22"/>
          <w:lang w:eastAsia="en-GB"/>
        </w:rPr>
        <w:t>poljoprivrednih kultura</w:t>
      </w:r>
      <w:r w:rsidR="007E42A4" w:rsidRPr="007E42A4" w:rsidDel="007E42A4">
        <w:rPr>
          <w:rFonts w:ascii="Arial" w:hAnsi="Arial" w:cs="Arial"/>
          <w:color w:val="000000"/>
          <w:sz w:val="22"/>
          <w:szCs w:val="22"/>
          <w:lang w:eastAsia="en-GB"/>
        </w:rPr>
        <w:t xml:space="preserve"> </w:t>
      </w:r>
      <w:r w:rsidRPr="00381F43">
        <w:rPr>
          <w:rFonts w:ascii="Arial" w:hAnsi="Arial" w:cs="Arial"/>
          <w:color w:val="000000"/>
          <w:sz w:val="22"/>
          <w:szCs w:val="22"/>
          <w:lang w:eastAsia="en-GB"/>
        </w:rPr>
        <w:t>(posebno gnojiva obložena polimerima) je kroz istraživanja ukazala na mogućnost smanjenu potrebu primjene gnojiva po hktaru i do 35%, uz nepromijenjene ili povećane prihode, što ih čini ekonomski opravdanim i isplativim.</w:t>
      </w:r>
    </w:p>
    <w:p w14:paraId="2ADEC220" w14:textId="4CDEAA73" w:rsidR="00EA790A" w:rsidRPr="0039602A" w:rsidRDefault="00381F43" w:rsidP="00840E2E">
      <w:pPr>
        <w:shd w:val="clear" w:color="auto" w:fill="FFFFFF"/>
        <w:suppressAutoHyphens w:val="0"/>
        <w:spacing w:before="100" w:beforeAutospacing="1" w:after="100" w:afterAutospacing="1"/>
        <w:rPr>
          <w:rFonts w:cs="Arial"/>
          <w:color w:val="000000"/>
          <w:lang w:eastAsia="en-GB"/>
        </w:rPr>
      </w:pPr>
      <w:r w:rsidRPr="00381F43">
        <w:rPr>
          <w:rFonts w:cs="Arial"/>
          <w:color w:val="000000"/>
          <w:lang w:eastAsia="en-GB"/>
        </w:rPr>
        <w:t xml:space="preserve">U okviru cjelovitog rješavanja problema gospodarenja poljoprivrednim tlima primjena vapnenih materijala zauzima, zajedno s gnojidbom i obradom tla, ključno mjesto zbog potrebe za korekcije suvišne kiselosti tla na brojnim poljoprivrednim gospodarstvima. </w:t>
      </w:r>
    </w:p>
    <w:p w14:paraId="4BD6EB9D" w14:textId="77777777" w:rsidR="00BA27EB" w:rsidRDefault="00BA27EB" w:rsidP="00BA27EB">
      <w:pPr>
        <w:rPr>
          <w:rFonts w:cs="Arial"/>
          <w:b/>
          <w:bCs/>
          <w:u w:val="single"/>
        </w:rPr>
      </w:pPr>
    </w:p>
    <w:p w14:paraId="48C5513C" w14:textId="63B3C198" w:rsidR="00BA27EB" w:rsidRPr="009A1A78" w:rsidRDefault="00BA27EB" w:rsidP="00BA27EB">
      <w:pPr>
        <w:rPr>
          <w:rFonts w:cs="Arial"/>
          <w:b/>
          <w:bCs/>
          <w:u w:val="single"/>
        </w:rPr>
      </w:pPr>
      <w:r w:rsidRPr="009A1A78">
        <w:rPr>
          <w:rFonts w:cs="Arial"/>
          <w:b/>
          <w:bCs/>
          <w:u w:val="single"/>
        </w:rPr>
        <w:t>POLJ-</w:t>
      </w:r>
      <w:r>
        <w:rPr>
          <w:rFonts w:cs="Arial"/>
          <w:b/>
          <w:bCs/>
          <w:u w:val="single"/>
        </w:rPr>
        <w:t>10</w:t>
      </w:r>
      <w:r w:rsidRPr="009A1A78">
        <w:rPr>
          <w:rFonts w:cs="Arial"/>
          <w:b/>
          <w:bCs/>
          <w:u w:val="single"/>
        </w:rPr>
        <w:t xml:space="preserve"> </w:t>
      </w:r>
      <w:r w:rsidR="00FB6C8C" w:rsidRPr="00FB6C8C">
        <w:rPr>
          <w:rFonts w:cs="Arial"/>
          <w:b/>
          <w:bCs/>
          <w:u w:val="single"/>
        </w:rPr>
        <w:t>Poboljšanje metoda primjene organskih gnojiva</w:t>
      </w:r>
      <w:r w:rsidR="00622DB1">
        <w:rPr>
          <w:rFonts w:cs="Arial"/>
          <w:b/>
          <w:bCs/>
          <w:u w:val="single"/>
        </w:rPr>
        <w:t xml:space="preserve"> </w:t>
      </w:r>
    </w:p>
    <w:p w14:paraId="54CA4ADB" w14:textId="0E4502DB" w:rsidR="00BA27EB" w:rsidRPr="00B56FE5" w:rsidRDefault="00BA27EB" w:rsidP="00BA27EB">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obrazovna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1F9CD3EB" w14:textId="153DEC00" w:rsidR="00BA27EB" w:rsidRDefault="00BA27EB" w:rsidP="00877BF6">
      <w:pPr>
        <w:pStyle w:val="NormalWeb"/>
        <w:spacing w:line="288" w:lineRule="auto"/>
        <w:rPr>
          <w:rFonts w:ascii="Arial" w:hAnsi="Arial" w:cs="Arial"/>
          <w:color w:val="000000"/>
          <w:sz w:val="22"/>
          <w:szCs w:val="22"/>
          <w:lang w:eastAsia="en-GB"/>
        </w:rPr>
      </w:pPr>
      <w:r w:rsidRPr="00877BF6">
        <w:rPr>
          <w:rFonts w:ascii="Arial" w:hAnsi="Arial" w:cs="Arial"/>
          <w:b/>
          <w:bCs/>
          <w:color w:val="000000"/>
          <w:sz w:val="22"/>
          <w:szCs w:val="22"/>
          <w:lang w:eastAsia="en-GB"/>
        </w:rPr>
        <w:t>Cilj i opis mjere</w:t>
      </w:r>
      <w:r w:rsidRPr="00877BF6">
        <w:rPr>
          <w:rFonts w:ascii="Arial" w:hAnsi="Arial" w:cs="Arial"/>
          <w:color w:val="000000"/>
          <w:sz w:val="22"/>
          <w:szCs w:val="22"/>
          <w:lang w:eastAsia="en-GB"/>
        </w:rPr>
        <w:t xml:space="preserve">: </w:t>
      </w:r>
      <w:r w:rsidR="00D04110" w:rsidRPr="00877BF6">
        <w:rPr>
          <w:rFonts w:ascii="Arial" w:hAnsi="Arial" w:cs="Arial"/>
          <w:color w:val="000000"/>
          <w:sz w:val="22"/>
          <w:szCs w:val="22"/>
          <w:lang w:eastAsia="en-GB"/>
        </w:rPr>
        <w:t>Istraživanja povećanja sekvestracije ugljika u tlu unaprjeđenjem metodologije primjene organskih gnojiva</w:t>
      </w:r>
      <w:r w:rsidR="00D04110" w:rsidRPr="00877BF6" w:rsidDel="00BA27EB">
        <w:rPr>
          <w:rFonts w:ascii="Arial" w:hAnsi="Arial" w:cs="Arial"/>
          <w:color w:val="000000"/>
          <w:sz w:val="22"/>
          <w:szCs w:val="22"/>
          <w:lang w:eastAsia="en-GB"/>
        </w:rPr>
        <w:t xml:space="preserve"> </w:t>
      </w:r>
    </w:p>
    <w:p w14:paraId="752F9ED7" w14:textId="6F6F2F20" w:rsidR="00B05260" w:rsidRPr="00B05260" w:rsidRDefault="00B05260" w:rsidP="00877BF6">
      <w:pPr>
        <w:pStyle w:val="NormalWeb"/>
        <w:spacing w:line="288" w:lineRule="auto"/>
        <w:rPr>
          <w:rFonts w:ascii="Arial" w:hAnsi="Arial" w:cs="Arial"/>
          <w:color w:val="000000"/>
          <w:sz w:val="22"/>
          <w:szCs w:val="22"/>
          <w:lang w:eastAsia="en-GB"/>
        </w:rPr>
      </w:pPr>
      <w:r w:rsidRPr="00B05260">
        <w:rPr>
          <w:rFonts w:ascii="Arial" w:hAnsi="Arial" w:cs="Arial"/>
          <w:color w:val="000000"/>
          <w:sz w:val="22"/>
          <w:szCs w:val="22"/>
          <w:lang w:eastAsia="en-GB"/>
        </w:rPr>
        <w:t>Primjena organskih gnojiva važna je za promet organske tvari u tlu, o čemu postoji razmjerno velika baza podataka na globalnoj Nažalost, u Hrvatskoj nema tako dugotrajnih stacionarnih istraživanja na poljoprivrednim tlima. Bertić i sur. (1998.) utvrdili na nekim tlima u Baranji određene promjene u sadržaju humusa tijekom 24-godišnjeg razdoblja intenzivne biljne proizvodnje</w:t>
      </w:r>
      <w:r w:rsidR="00622DB1">
        <w:rPr>
          <w:rFonts w:ascii="Arial" w:hAnsi="Arial" w:cs="Arial"/>
          <w:color w:val="000000"/>
          <w:sz w:val="22"/>
          <w:szCs w:val="22"/>
          <w:lang w:eastAsia="en-GB"/>
        </w:rPr>
        <w:t xml:space="preserve"> </w:t>
      </w:r>
      <w:r w:rsidRPr="00B05260">
        <w:rPr>
          <w:rFonts w:ascii="Arial" w:hAnsi="Arial" w:cs="Arial"/>
          <w:color w:val="000000"/>
          <w:sz w:val="22"/>
          <w:szCs w:val="22"/>
          <w:lang w:eastAsia="en-GB"/>
        </w:rPr>
        <w:t>od 1967. do 1990. godine.</w:t>
      </w:r>
      <w:r w:rsidR="00622DB1">
        <w:rPr>
          <w:rFonts w:ascii="Arial" w:hAnsi="Arial" w:cs="Arial"/>
          <w:color w:val="000000"/>
          <w:sz w:val="22"/>
          <w:szCs w:val="22"/>
          <w:lang w:eastAsia="en-GB"/>
        </w:rPr>
        <w:t xml:space="preserve"> </w:t>
      </w:r>
      <w:r w:rsidRPr="00B05260">
        <w:rPr>
          <w:rFonts w:ascii="Arial" w:hAnsi="Arial" w:cs="Arial"/>
          <w:color w:val="000000"/>
          <w:sz w:val="22"/>
          <w:szCs w:val="22"/>
          <w:lang w:eastAsia="en-GB"/>
        </w:rPr>
        <w:t>Na gotovo svim tlima sadržaj humusa se povećao (0,1-1,64%), ovisno o količinama korištenog krutog stajskog gnoja.</w:t>
      </w:r>
    </w:p>
    <w:p w14:paraId="3EEDA74D" w14:textId="476BBC4C" w:rsidR="00B05260" w:rsidRPr="00B05260" w:rsidRDefault="00B05260" w:rsidP="00877BF6">
      <w:pPr>
        <w:pStyle w:val="NormalWeb"/>
        <w:spacing w:line="288" w:lineRule="auto"/>
        <w:rPr>
          <w:rFonts w:ascii="Arial" w:hAnsi="Arial" w:cs="Arial"/>
          <w:color w:val="000000"/>
          <w:sz w:val="22"/>
          <w:szCs w:val="22"/>
          <w:lang w:eastAsia="en-GB"/>
        </w:rPr>
      </w:pPr>
      <w:r w:rsidRPr="00B05260">
        <w:rPr>
          <w:rFonts w:ascii="Arial" w:hAnsi="Arial" w:cs="Arial"/>
          <w:color w:val="000000"/>
          <w:sz w:val="22"/>
          <w:szCs w:val="22"/>
          <w:lang w:eastAsia="en-GB"/>
        </w:rPr>
        <w:lastRenderedPageBreak/>
        <w:t>Organska gnojiva puno jače potiču aktivnost mikroba tla u odnosu na mineralna gnojiva i njima se unosi u tlo mnogo manje soli i kiselina. Učinkovitost ovisi o mikrobiološkoj aktivnosti u tlu, odnosno kojom brzinom se razgrađuju u i transformiraju do hraniva pogodnih za usvajanje. Organska gnojiva imaju puno dulj</w:t>
      </w:r>
      <w:r w:rsidR="00214F36">
        <w:rPr>
          <w:rFonts w:ascii="Arial" w:hAnsi="Arial" w:cs="Arial"/>
          <w:color w:val="000000"/>
          <w:sz w:val="22"/>
          <w:szCs w:val="22"/>
          <w:lang w:eastAsia="en-GB"/>
        </w:rPr>
        <w:t>e</w:t>
      </w:r>
      <w:r w:rsidRPr="00B05260">
        <w:rPr>
          <w:rFonts w:ascii="Arial" w:hAnsi="Arial" w:cs="Arial"/>
          <w:color w:val="000000"/>
          <w:sz w:val="22"/>
          <w:szCs w:val="22"/>
          <w:lang w:eastAsia="en-GB"/>
        </w:rPr>
        <w:t xml:space="preserve"> vrijeme ra</w:t>
      </w:r>
      <w:r w:rsidR="00214F36">
        <w:rPr>
          <w:rFonts w:ascii="Arial" w:hAnsi="Arial" w:cs="Arial"/>
          <w:color w:val="000000"/>
          <w:sz w:val="22"/>
          <w:szCs w:val="22"/>
          <w:lang w:eastAsia="en-GB"/>
        </w:rPr>
        <w:t>z</w:t>
      </w:r>
      <w:r w:rsidRPr="00B05260">
        <w:rPr>
          <w:rFonts w:ascii="Arial" w:hAnsi="Arial" w:cs="Arial"/>
          <w:color w:val="000000"/>
          <w:sz w:val="22"/>
          <w:szCs w:val="22"/>
          <w:lang w:eastAsia="en-GB"/>
        </w:rPr>
        <w:t>gradnje pa se njihov učinak proteže na više godina. Redovita primjena organskih gnojiva, povećava količinu humusa u tlu, poboljšava svojstva tla, posebice strukturu što ima za posljedicu bolji vodnozračni odnos, veću retenciju vode, veću raspoloživost svih hraniva te jača otpornost na eroziju na nagnutim površinama.</w:t>
      </w:r>
    </w:p>
    <w:p w14:paraId="3E37FEED" w14:textId="36B38025" w:rsidR="00B05260" w:rsidRPr="00B05260" w:rsidRDefault="00B05260" w:rsidP="00877BF6">
      <w:pPr>
        <w:pStyle w:val="NormalWeb"/>
        <w:spacing w:line="288" w:lineRule="auto"/>
        <w:rPr>
          <w:rFonts w:ascii="Arial" w:hAnsi="Arial" w:cs="Arial"/>
          <w:color w:val="000000"/>
          <w:sz w:val="22"/>
          <w:szCs w:val="22"/>
          <w:lang w:eastAsia="en-GB"/>
        </w:rPr>
      </w:pPr>
      <w:r w:rsidRPr="00B05260">
        <w:rPr>
          <w:rFonts w:ascii="Arial" w:hAnsi="Arial" w:cs="Arial"/>
          <w:color w:val="000000"/>
          <w:sz w:val="22"/>
          <w:szCs w:val="22"/>
          <w:lang w:eastAsia="en-GB"/>
        </w:rPr>
        <w:t>Podzemnom primjenom - direktnim ubrizgavanje u tlo korištenjem injektora se sprječava gubitak amonijaka te smanjuje ili u potpunosti uklanja širenje neugodnog mirisa. Metoda je primjenjiva kod aplikacije tekućeg oblika goveđeg i svinjskog gnoja, pri čemu je emisija NH3 niža do 30%.</w:t>
      </w:r>
      <w:r w:rsidR="00622DB1">
        <w:rPr>
          <w:rFonts w:ascii="Arial" w:hAnsi="Arial" w:cs="Arial"/>
          <w:color w:val="000000"/>
          <w:sz w:val="22"/>
          <w:szCs w:val="22"/>
          <w:lang w:eastAsia="en-GB"/>
        </w:rPr>
        <w:t xml:space="preserve"> </w:t>
      </w:r>
    </w:p>
    <w:p w14:paraId="053BAEA8" w14:textId="77777777" w:rsidR="00B05260" w:rsidRPr="00877BF6" w:rsidRDefault="00B05260" w:rsidP="00877BF6">
      <w:pPr>
        <w:pStyle w:val="NormalWeb"/>
        <w:spacing w:line="288" w:lineRule="auto"/>
        <w:rPr>
          <w:rFonts w:ascii="Arial" w:hAnsi="Arial" w:cs="Arial"/>
          <w:color w:val="000000"/>
          <w:sz w:val="22"/>
          <w:szCs w:val="22"/>
          <w:lang w:eastAsia="en-GB"/>
        </w:rPr>
      </w:pPr>
      <w:r w:rsidRPr="00877BF6">
        <w:rPr>
          <w:rFonts w:ascii="Arial" w:hAnsi="Arial" w:cs="Arial"/>
          <w:color w:val="000000"/>
          <w:sz w:val="22"/>
          <w:szCs w:val="22"/>
          <w:lang w:eastAsia="en-GB"/>
        </w:rPr>
        <w:t>Prilikom korištenja injektora, iako se smanjuje gubitak uslijed volatizacije odnosno povećava količina biljki dostupnog dušika, moguće je i povećanje gubitka didušikovog oksida iz tla. Stoga se dodatno povećava važnost pravilnog doziranja i primjene gnojiva (organskih i mineralnih).</w:t>
      </w:r>
    </w:p>
    <w:p w14:paraId="0ED627E6" w14:textId="5BB7FD2B" w:rsidR="00BA27EB" w:rsidRPr="00877BF6" w:rsidRDefault="00B05260" w:rsidP="00877BF6">
      <w:pPr>
        <w:pStyle w:val="NormalWeb"/>
        <w:spacing w:line="288" w:lineRule="auto"/>
        <w:rPr>
          <w:rFonts w:ascii="Arial" w:hAnsi="Arial" w:cs="Arial"/>
          <w:color w:val="000000"/>
          <w:sz w:val="22"/>
          <w:szCs w:val="22"/>
          <w:lang w:eastAsia="en-GB"/>
        </w:rPr>
      </w:pPr>
      <w:r w:rsidRPr="00877BF6">
        <w:rPr>
          <w:rFonts w:ascii="Arial" w:hAnsi="Arial" w:cs="Arial"/>
          <w:color w:val="000000"/>
          <w:sz w:val="22"/>
          <w:szCs w:val="22"/>
          <w:lang w:eastAsia="en-GB"/>
        </w:rPr>
        <w:t xml:space="preserve">Ograničavajući faktor povećanja korištenja specijalizirane opreme za injektiranje organskog gnojiva je relativno visoka cijena same opreme, te je stoga takva investicija indicirana za veća (ili okrupnjena) gospodarstva s potrebama za velikim kapacitetima pognojavanja. </w:t>
      </w:r>
    </w:p>
    <w:p w14:paraId="0734AB45" w14:textId="77777777" w:rsidR="00B05260" w:rsidRDefault="00B05260" w:rsidP="00A32225">
      <w:pPr>
        <w:rPr>
          <w:rFonts w:cs="Arial"/>
          <w:color w:val="000000"/>
          <w:lang w:eastAsia="en-GB"/>
        </w:rPr>
      </w:pPr>
    </w:p>
    <w:p w14:paraId="1CAB18D9" w14:textId="16610B11" w:rsidR="00B05260" w:rsidRPr="009A1A78" w:rsidRDefault="00B05260" w:rsidP="00B05260">
      <w:pPr>
        <w:rPr>
          <w:rFonts w:cs="Arial"/>
          <w:b/>
          <w:bCs/>
          <w:u w:val="single"/>
        </w:rPr>
      </w:pPr>
      <w:r w:rsidRPr="009A1A78">
        <w:rPr>
          <w:rFonts w:cs="Arial"/>
          <w:b/>
          <w:bCs/>
          <w:u w:val="single"/>
        </w:rPr>
        <w:t>POLJ-</w:t>
      </w:r>
      <w:r>
        <w:rPr>
          <w:rFonts w:cs="Arial"/>
          <w:b/>
          <w:bCs/>
          <w:u w:val="single"/>
        </w:rPr>
        <w:t>11</w:t>
      </w:r>
      <w:r w:rsidRPr="009A1A78">
        <w:rPr>
          <w:rFonts w:cs="Arial"/>
          <w:b/>
          <w:bCs/>
          <w:u w:val="single"/>
        </w:rPr>
        <w:t xml:space="preserve"> </w:t>
      </w:r>
      <w:r w:rsidR="0092176A" w:rsidRPr="0092176A">
        <w:rPr>
          <w:rFonts w:cs="Arial"/>
          <w:b/>
          <w:bCs/>
          <w:u w:val="single"/>
        </w:rPr>
        <w:t>Agrošumarstvo</w:t>
      </w:r>
      <w:r w:rsidR="0092176A" w:rsidRPr="0092176A" w:rsidDel="0092176A">
        <w:rPr>
          <w:rFonts w:cs="Arial"/>
          <w:b/>
          <w:bCs/>
          <w:u w:val="single"/>
        </w:rPr>
        <w:t xml:space="preserve"> </w:t>
      </w:r>
    </w:p>
    <w:p w14:paraId="6AE51026" w14:textId="39890FF7" w:rsidR="00B05260" w:rsidRPr="00B56FE5" w:rsidRDefault="00B05260" w:rsidP="00B05260">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obrazovna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3533BB74" w14:textId="09849F4F" w:rsidR="00B05260" w:rsidRPr="00A83CC6" w:rsidRDefault="00B05260" w:rsidP="00E922EF">
      <w:pPr>
        <w:pStyle w:val="NormalWeb"/>
        <w:spacing w:line="288" w:lineRule="auto"/>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sidR="000E709B" w:rsidRPr="000E709B">
        <w:rPr>
          <w:rFonts w:ascii="Arial" w:hAnsi="Arial" w:cs="Arial"/>
          <w:color w:val="000000"/>
          <w:sz w:val="22"/>
          <w:szCs w:val="22"/>
          <w:lang w:eastAsia="en-GB"/>
        </w:rPr>
        <w:t xml:space="preserve">Definiranje potencijala i pogodnosti raznih agrošumarskih tehnologija s ciljem povećanja sekvestracije ugljika u tlu </w:t>
      </w:r>
    </w:p>
    <w:p w14:paraId="3EFD3E7E" w14:textId="2259822B" w:rsidR="005013F3" w:rsidRPr="005013F3" w:rsidRDefault="005013F3" w:rsidP="00E922EF">
      <w:pPr>
        <w:pStyle w:val="NormalWeb"/>
        <w:spacing w:line="288" w:lineRule="auto"/>
        <w:rPr>
          <w:rFonts w:ascii="Arial" w:hAnsi="Arial" w:cs="Arial"/>
          <w:color w:val="000000"/>
          <w:sz w:val="22"/>
          <w:szCs w:val="22"/>
          <w:lang w:eastAsia="en-GB"/>
        </w:rPr>
      </w:pPr>
      <w:r w:rsidRPr="005013F3">
        <w:rPr>
          <w:rFonts w:ascii="Arial" w:hAnsi="Arial" w:cs="Arial"/>
          <w:color w:val="000000"/>
          <w:sz w:val="22"/>
          <w:szCs w:val="22"/>
          <w:lang w:eastAsia="en-GB"/>
        </w:rPr>
        <w:t>Agrošumarstvo ili šumsko poljodjelstvo (eng. "agroforestry") obuhvaća tehnologije koje se primjenjuju u šumarstvu i poljoprivredi s ciljem stvaranja veće proizvodnosti, ekonomske opravdanosti, ekološke prihvatljivosti i održivog korištenja zemljišta.</w:t>
      </w:r>
      <w:r w:rsidR="00622DB1">
        <w:rPr>
          <w:rFonts w:ascii="Arial" w:hAnsi="Arial" w:cs="Arial"/>
          <w:color w:val="000000"/>
          <w:sz w:val="22"/>
          <w:szCs w:val="22"/>
          <w:lang w:eastAsia="en-GB"/>
        </w:rPr>
        <w:t xml:space="preserve"> </w:t>
      </w:r>
      <w:r w:rsidRPr="005013F3">
        <w:rPr>
          <w:rFonts w:ascii="Arial" w:hAnsi="Arial" w:cs="Arial"/>
          <w:color w:val="000000"/>
          <w:sz w:val="22"/>
          <w:szCs w:val="22"/>
          <w:lang w:eastAsia="en-GB"/>
        </w:rPr>
        <w:t xml:space="preserve">Agrošumarstvo je zajednički naziv za sustave gospodarenja zemljištem pri kojem se trajne drvenaste vrste integriraju s uzgojem usjeva i/ili životinja na istoj površinskoj jedinici . Integracija može biti prostornog karaktera ili u vremenskoj sekvenci. Uobičajena je ekološko-ekonomska interakcija između šumarske i poljoprivredne komponente. Cilj je stvaranje raznovrsnih, produktivnih, profitabilnih, zdravih i održivih sustava gospodarenja zemljištem. U većoj mjeri se iskorištava proizvodna sposobnost zemljišta, ali istovremeno postiže i ravnoteža između ekonomske opravdanosti i zaštite staništa na temeljima potrajnosti ili održivog razvoja. Istraživanja pokazuju da su, uz sve ostale prednosti, neki agrošumarski sustavi (npr. agrosilvakultura) značajni ponori ugljika. </w:t>
      </w:r>
    </w:p>
    <w:p w14:paraId="7574ECCE" w14:textId="31D9F3F9" w:rsidR="005013F3" w:rsidRDefault="005013F3" w:rsidP="00E922EF">
      <w:pPr>
        <w:pStyle w:val="NormalWeb"/>
        <w:spacing w:line="288" w:lineRule="auto"/>
        <w:rPr>
          <w:rFonts w:ascii="Arial" w:hAnsi="Arial" w:cs="Arial"/>
          <w:color w:val="000000"/>
          <w:sz w:val="22"/>
          <w:szCs w:val="22"/>
          <w:lang w:eastAsia="en-GB"/>
        </w:rPr>
      </w:pPr>
      <w:r w:rsidRPr="00E922EF">
        <w:rPr>
          <w:rFonts w:ascii="Arial" w:hAnsi="Arial" w:cs="Arial"/>
          <w:color w:val="000000"/>
          <w:sz w:val="22"/>
          <w:szCs w:val="22"/>
          <w:lang w:eastAsia="en-GB"/>
        </w:rPr>
        <w:lastRenderedPageBreak/>
        <w:t xml:space="preserve">Agrošumarstvo </w:t>
      </w:r>
      <w:r w:rsidR="00867747" w:rsidRPr="00E922EF">
        <w:rPr>
          <w:rFonts w:ascii="Arial" w:hAnsi="Arial" w:cs="Arial"/>
          <w:color w:val="000000"/>
          <w:sz w:val="22"/>
          <w:szCs w:val="22"/>
          <w:lang w:eastAsia="en-GB"/>
        </w:rPr>
        <w:t xml:space="preserve">se </w:t>
      </w:r>
      <w:r w:rsidRPr="00E922EF">
        <w:rPr>
          <w:rFonts w:ascii="Arial" w:hAnsi="Arial" w:cs="Arial"/>
          <w:color w:val="000000"/>
          <w:sz w:val="22"/>
          <w:szCs w:val="22"/>
          <w:lang w:eastAsia="en-GB"/>
        </w:rPr>
        <w:t>u svijetu primjenjuje na poljoprivrednom i šumskom zemljištu; uključujući područja s narušenim stanišnim uvjetima (erodibilna područja, ekonomski slabo vrednovana devastirana i degradirana područja</w:t>
      </w:r>
      <w:r w:rsidR="00867747">
        <w:rPr>
          <w:rFonts w:ascii="Arial" w:hAnsi="Arial" w:cs="Arial"/>
          <w:color w:val="000000"/>
          <w:sz w:val="22"/>
          <w:szCs w:val="22"/>
          <w:lang w:eastAsia="en-GB"/>
        </w:rPr>
        <w:t>)</w:t>
      </w:r>
      <w:r w:rsidRPr="00E922EF">
        <w:rPr>
          <w:rFonts w:ascii="Arial" w:hAnsi="Arial" w:cs="Arial"/>
          <w:color w:val="000000"/>
          <w:sz w:val="22"/>
          <w:szCs w:val="22"/>
          <w:lang w:eastAsia="en-GB"/>
        </w:rPr>
        <w:t xml:space="preserve">. Putem pokusa agrošumarstvo treba pokazati svoju primjenjivost u našim uvjetima s obzirom na različite oblike i podjele, ali i na različite potrebe. Bitno je istaknuti kako su neki elementi iz agrošumarstva zabilježeni kroz povijest na obalnom i priobalnom području naše zemlje. Prije svega obrada i kultiviranje zemljišta na terasama koje su korištene za podizanje višegodišnjih nasada; maslinika, vinograda, različitih voćaka i mogle su se ograničeno koristiti za stočarstvo. </w:t>
      </w:r>
    </w:p>
    <w:p w14:paraId="7DBC46D6" w14:textId="1C20002F" w:rsidR="00B66FD3" w:rsidRPr="009A1A78" w:rsidRDefault="00B66FD3" w:rsidP="00B66FD3">
      <w:pPr>
        <w:rPr>
          <w:rFonts w:cs="Arial"/>
          <w:b/>
          <w:bCs/>
          <w:u w:val="single"/>
        </w:rPr>
      </w:pPr>
      <w:r w:rsidRPr="009A1A78">
        <w:rPr>
          <w:rFonts w:cs="Arial"/>
          <w:b/>
          <w:bCs/>
          <w:u w:val="single"/>
        </w:rPr>
        <w:t>POLJ-</w:t>
      </w:r>
      <w:r>
        <w:rPr>
          <w:rFonts w:cs="Arial"/>
          <w:b/>
          <w:bCs/>
          <w:u w:val="single"/>
        </w:rPr>
        <w:t>12</w:t>
      </w:r>
      <w:r w:rsidRPr="009A1A78">
        <w:rPr>
          <w:rFonts w:cs="Arial"/>
          <w:b/>
          <w:bCs/>
          <w:u w:val="single"/>
        </w:rPr>
        <w:t xml:space="preserve"> </w:t>
      </w:r>
      <w:r w:rsidR="00FD528A" w:rsidRPr="00FD528A">
        <w:rPr>
          <w:rFonts w:cs="Arial"/>
          <w:b/>
          <w:bCs/>
          <w:u w:val="single"/>
        </w:rPr>
        <w:t>Hidromelioracijski zahvati i sustavi zaštite od nepogoda</w:t>
      </w:r>
      <w:r w:rsidR="00FD528A" w:rsidRPr="00FD528A" w:rsidDel="00FD528A">
        <w:rPr>
          <w:rFonts w:cs="Arial"/>
          <w:b/>
          <w:bCs/>
          <w:u w:val="single"/>
        </w:rPr>
        <w:t xml:space="preserve"> </w:t>
      </w:r>
    </w:p>
    <w:p w14:paraId="3AF67BAD" w14:textId="26BD26A6" w:rsidR="00B66FD3" w:rsidRPr="00B56FE5" w:rsidRDefault="00B66FD3" w:rsidP="00B66FD3">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obrazovna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19E59A0B" w14:textId="3FC44C61" w:rsidR="005013F3" w:rsidRDefault="00CD0CCF" w:rsidP="005013F3">
      <w:pPr>
        <w:pStyle w:val="NormalWeb"/>
        <w:spacing w:after="120" w:line="288" w:lineRule="auto"/>
        <w:jc w:val="both"/>
        <w:rPr>
          <w:rFonts w:ascii="Arial" w:hAnsi="Arial" w:cs="Arial"/>
          <w:color w:val="000000"/>
          <w:sz w:val="22"/>
          <w:szCs w:val="22"/>
          <w:lang w:eastAsia="en-GB"/>
        </w:rPr>
      </w:pPr>
      <w:r w:rsidRPr="00840E2E">
        <w:rPr>
          <w:rFonts w:ascii="Arial" w:hAnsi="Arial" w:cs="Arial"/>
          <w:b/>
          <w:bCs/>
          <w:color w:val="000000"/>
          <w:sz w:val="22"/>
          <w:szCs w:val="22"/>
          <w:lang w:eastAsia="en-GB"/>
        </w:rPr>
        <w:t>Cilj i opis mjere</w:t>
      </w:r>
      <w:r>
        <w:rPr>
          <w:rFonts w:ascii="Arial" w:hAnsi="Arial" w:cs="Arial"/>
          <w:color w:val="000000"/>
          <w:sz w:val="22"/>
          <w:szCs w:val="22"/>
          <w:lang w:eastAsia="en-GB"/>
        </w:rPr>
        <w:t xml:space="preserve">: </w:t>
      </w:r>
      <w:r w:rsidRPr="00CD0CCF">
        <w:rPr>
          <w:rFonts w:ascii="Arial" w:hAnsi="Arial" w:cs="Arial"/>
          <w:color w:val="000000"/>
          <w:sz w:val="22"/>
          <w:szCs w:val="22"/>
          <w:lang w:eastAsia="en-GB"/>
        </w:rPr>
        <w:t>Povećanje udjela poljoprivrednih tala pod navodnjavanjem i posljedično smanjenje procjeđivanja nitrata iz poljoprivrednih tala</w:t>
      </w:r>
      <w:r w:rsidR="00797786">
        <w:rPr>
          <w:rFonts w:ascii="Arial" w:hAnsi="Arial" w:cs="Arial"/>
          <w:color w:val="000000"/>
          <w:sz w:val="22"/>
          <w:szCs w:val="22"/>
          <w:lang w:eastAsia="en-GB"/>
        </w:rPr>
        <w:t>.</w:t>
      </w:r>
    </w:p>
    <w:p w14:paraId="40454446" w14:textId="17D41438" w:rsidR="00797786" w:rsidRPr="00797786" w:rsidRDefault="00797786" w:rsidP="00840E2E">
      <w:pPr>
        <w:pStyle w:val="NormalWeb"/>
        <w:spacing w:before="240" w:beforeAutospacing="0" w:after="120" w:afterAutospacing="0" w:line="288" w:lineRule="auto"/>
        <w:rPr>
          <w:rFonts w:ascii="Arial" w:hAnsi="Arial" w:cs="Arial"/>
          <w:color w:val="000000"/>
          <w:sz w:val="22"/>
          <w:szCs w:val="22"/>
          <w:lang w:eastAsia="en-GB"/>
        </w:rPr>
      </w:pPr>
      <w:r w:rsidRPr="00797786">
        <w:rPr>
          <w:rFonts w:ascii="Arial" w:hAnsi="Arial" w:cs="Arial"/>
          <w:color w:val="000000"/>
          <w:sz w:val="22"/>
          <w:szCs w:val="22"/>
          <w:lang w:eastAsia="en-GB"/>
        </w:rPr>
        <w:t>Poljoprivreda više negoli ijedna druga djelatnost vodu onečišćuje dušikom (nitratima), fosfatima i sredstvima za zaštitu bilja (pesticidima). Intenziviranje poljoprivrede dovelo je do intenziviranja agrokemijskog onečišćenja. Poljoprivreda prihvatljiva po okoliš po</w:t>
      </w:r>
      <w:r w:rsidR="00C25487">
        <w:rPr>
          <w:rFonts w:ascii="Arial" w:hAnsi="Arial" w:cs="Arial"/>
          <w:color w:val="000000"/>
          <w:sz w:val="22"/>
          <w:szCs w:val="22"/>
          <w:lang w:eastAsia="en-GB"/>
        </w:rPr>
        <w:t>d</w:t>
      </w:r>
      <w:r w:rsidRPr="00797786">
        <w:rPr>
          <w:rFonts w:ascii="Arial" w:hAnsi="Arial" w:cs="Arial"/>
          <w:color w:val="000000"/>
          <w:sz w:val="22"/>
          <w:szCs w:val="22"/>
          <w:lang w:eastAsia="en-GB"/>
        </w:rPr>
        <w:t xml:space="preserve">razumijeva kontroliranu primjenu mineralnih gnojiva, kontroliranu odvodnju, ponovno korištenje drenirane vode te korištenje vode odgovarajuće kvalitete. </w:t>
      </w:r>
    </w:p>
    <w:p w14:paraId="3C5911CA" w14:textId="77777777" w:rsidR="00797786" w:rsidRPr="00797786" w:rsidRDefault="00797786" w:rsidP="00840E2E">
      <w:pPr>
        <w:pStyle w:val="NormalWeb"/>
        <w:spacing w:before="240" w:beforeAutospacing="0" w:after="120" w:afterAutospacing="0" w:line="288" w:lineRule="auto"/>
        <w:rPr>
          <w:rFonts w:ascii="Arial" w:hAnsi="Arial" w:cs="Arial"/>
          <w:color w:val="000000"/>
          <w:sz w:val="22"/>
          <w:szCs w:val="22"/>
          <w:lang w:eastAsia="en-GB"/>
        </w:rPr>
      </w:pPr>
      <w:r w:rsidRPr="00797786">
        <w:rPr>
          <w:rFonts w:ascii="Arial" w:hAnsi="Arial" w:cs="Arial"/>
          <w:color w:val="000000"/>
          <w:sz w:val="22"/>
          <w:szCs w:val="22"/>
          <w:lang w:eastAsia="en-GB"/>
        </w:rPr>
        <w:t>Navodnjavanjem većim obrocima nego što je to potrebno može se utjecati na povećano ispiranje hraniva iz obradivog horizonta, posebice dušika u dublje horizonte, što rezultira potrebom za dodatnom gnojidbom a time i povećanom emisijom i povećanim troškovima. Drenaža ima funkciju odvodnje suvišne količine vode sa zelene površine, koja najčešće nastaje nakon obilne kiše. Također, promjena vodozračnih odnosa tla utječe i na aktivnost korisnih mikroorganizama</w:t>
      </w:r>
    </w:p>
    <w:p w14:paraId="400C3C7D" w14:textId="77777777" w:rsidR="00797786" w:rsidRPr="00797786" w:rsidRDefault="00797786" w:rsidP="00840E2E">
      <w:pPr>
        <w:pStyle w:val="NormalWeb"/>
        <w:spacing w:before="240" w:beforeAutospacing="0" w:after="120" w:afterAutospacing="0" w:line="288" w:lineRule="auto"/>
        <w:rPr>
          <w:rFonts w:ascii="Arial" w:hAnsi="Arial" w:cs="Arial"/>
          <w:color w:val="000000"/>
          <w:sz w:val="22"/>
          <w:szCs w:val="22"/>
          <w:lang w:eastAsia="en-GB"/>
        </w:rPr>
      </w:pPr>
      <w:r w:rsidRPr="00797786">
        <w:rPr>
          <w:rFonts w:ascii="Arial" w:hAnsi="Arial" w:cs="Arial"/>
          <w:color w:val="000000"/>
          <w:sz w:val="22"/>
          <w:szCs w:val="22"/>
          <w:lang w:eastAsia="en-GB"/>
        </w:rPr>
        <w:t>Mikroorganizmi kod pravilnog navodnjavanja i odvodnje suvišne vode imaju pojačanu aktivnost koja smanjuje degradaciju tla, a time i gubitke CO2. Također je povećana aktivnost glista koje prenose ugljik u dublje slojeve gdje je dugotrajniji.</w:t>
      </w:r>
    </w:p>
    <w:p w14:paraId="3079538A" w14:textId="77777777" w:rsidR="00797786" w:rsidRPr="00797786" w:rsidRDefault="00797786" w:rsidP="00840E2E">
      <w:pPr>
        <w:pStyle w:val="NormalWeb"/>
        <w:spacing w:before="240" w:beforeAutospacing="0" w:after="120" w:afterAutospacing="0" w:line="288" w:lineRule="auto"/>
        <w:rPr>
          <w:rFonts w:ascii="Arial" w:hAnsi="Arial" w:cs="Arial"/>
          <w:color w:val="000000"/>
          <w:sz w:val="22"/>
          <w:szCs w:val="22"/>
          <w:lang w:eastAsia="en-GB"/>
        </w:rPr>
      </w:pPr>
      <w:r w:rsidRPr="00797786">
        <w:rPr>
          <w:rFonts w:ascii="Arial" w:hAnsi="Arial" w:cs="Arial"/>
          <w:color w:val="000000"/>
          <w:sz w:val="22"/>
          <w:szCs w:val="22"/>
          <w:lang w:eastAsia="en-GB"/>
        </w:rPr>
        <w:t>U Hrvatskoj su izgrađeni sustavi površinske odvodnje na oko 1050000ha, a sustavi podzemne odvodnje na oko 149000 ha. Starost većeg djela sustava pri tome iznosi preko 25 godina.</w:t>
      </w:r>
    </w:p>
    <w:p w14:paraId="39869D97" w14:textId="1E7DD24D" w:rsidR="00797786" w:rsidRPr="00797786" w:rsidRDefault="00797786" w:rsidP="00840E2E">
      <w:pPr>
        <w:pStyle w:val="NormalWeb"/>
        <w:spacing w:before="240" w:beforeAutospacing="0" w:after="120" w:afterAutospacing="0" w:line="288" w:lineRule="auto"/>
        <w:rPr>
          <w:rFonts w:ascii="Arial" w:hAnsi="Arial" w:cs="Arial"/>
          <w:color w:val="000000"/>
          <w:sz w:val="22"/>
          <w:szCs w:val="22"/>
          <w:lang w:eastAsia="en-GB"/>
        </w:rPr>
      </w:pPr>
      <w:r w:rsidRPr="00797786">
        <w:rPr>
          <w:rFonts w:ascii="Arial" w:hAnsi="Arial" w:cs="Arial"/>
          <w:color w:val="000000"/>
          <w:sz w:val="22"/>
          <w:szCs w:val="22"/>
          <w:lang w:eastAsia="en-GB"/>
        </w:rPr>
        <w:t>Hidromelioracijski sustavi imaju veliku ulogu u održivom razvoju. Potrebno značajno poboljšati osobine postojećih hidromelioracijskih sustava. Ljudske intervencije u kontroli vode sadrže primjenu tehnologija i novo upravljanje za osiguranje odgovarajućih količina vode za biljke; sprječavanje prevlaživanja i zaslanjivanja tla; zaštita tla od poplavljivanja i maksimaliziranje dobiti korištenjem vode. Ove intervencije se ostvaruju u okviru ekonomskih, društvenih i okolišnih ograničenja.</w:t>
      </w:r>
    </w:p>
    <w:p w14:paraId="68B2F868" w14:textId="5BF99FCC" w:rsidR="00797786" w:rsidRDefault="00797786" w:rsidP="00797786">
      <w:pPr>
        <w:pStyle w:val="NormalWeb"/>
        <w:spacing w:before="240" w:beforeAutospacing="0" w:after="120" w:afterAutospacing="0" w:line="288" w:lineRule="auto"/>
        <w:jc w:val="both"/>
        <w:rPr>
          <w:rFonts w:ascii="Arial" w:hAnsi="Arial" w:cs="Arial"/>
          <w:color w:val="000000"/>
          <w:sz w:val="22"/>
          <w:szCs w:val="22"/>
          <w:lang w:eastAsia="en-GB"/>
        </w:rPr>
      </w:pPr>
      <w:r w:rsidRPr="00797786">
        <w:rPr>
          <w:rFonts w:ascii="Arial" w:hAnsi="Arial" w:cs="Arial"/>
          <w:color w:val="000000"/>
          <w:sz w:val="22"/>
          <w:szCs w:val="22"/>
          <w:lang w:eastAsia="en-GB"/>
        </w:rPr>
        <w:t>Hrvatska je u dobroj poziciji jer ima dovoljne količine vode, no u</w:t>
      </w:r>
      <w:r w:rsidR="00A23C89">
        <w:rPr>
          <w:rFonts w:ascii="Arial" w:hAnsi="Arial" w:cs="Arial"/>
          <w:color w:val="000000"/>
          <w:sz w:val="22"/>
          <w:szCs w:val="22"/>
          <w:lang w:eastAsia="en-GB"/>
        </w:rPr>
        <w:t>s</w:t>
      </w:r>
      <w:r w:rsidRPr="00797786">
        <w:rPr>
          <w:rFonts w:ascii="Arial" w:hAnsi="Arial" w:cs="Arial"/>
          <w:color w:val="000000"/>
          <w:sz w:val="22"/>
          <w:szCs w:val="22"/>
          <w:lang w:eastAsia="en-GB"/>
        </w:rPr>
        <w:t xml:space="preserve">pješne tehnološke inovacije u sustavima odvodnje i navodnjavanja ovise u znatnoj mjeri o istraživačkim programima i </w:t>
      </w:r>
      <w:r w:rsidRPr="00797786">
        <w:rPr>
          <w:rFonts w:ascii="Arial" w:hAnsi="Arial" w:cs="Arial"/>
          <w:color w:val="000000"/>
          <w:sz w:val="22"/>
          <w:szCs w:val="22"/>
          <w:lang w:eastAsia="en-GB"/>
        </w:rPr>
        <w:lastRenderedPageBreak/>
        <w:t>obrazovanju kadra u sektoru. Glavni su ciljevi dakle rast poljoprivredne proizvodnje i održivost sustava.</w:t>
      </w:r>
    </w:p>
    <w:p w14:paraId="330C6F2E" w14:textId="77777777" w:rsidR="00B928F1" w:rsidRDefault="00B928F1" w:rsidP="00840E2E">
      <w:pPr>
        <w:pStyle w:val="NormalWeb"/>
        <w:spacing w:before="240" w:beforeAutospacing="0" w:after="120" w:afterAutospacing="0" w:line="288" w:lineRule="auto"/>
        <w:jc w:val="both"/>
        <w:rPr>
          <w:rFonts w:ascii="Arial" w:hAnsi="Arial" w:cs="Arial"/>
          <w:color w:val="000000"/>
          <w:sz w:val="22"/>
          <w:szCs w:val="22"/>
          <w:lang w:eastAsia="en-GB"/>
        </w:rPr>
      </w:pPr>
    </w:p>
    <w:p w14:paraId="56699CB2" w14:textId="757EB79A" w:rsidR="00B928F1" w:rsidRPr="009A1A78" w:rsidRDefault="00B928F1" w:rsidP="00B928F1">
      <w:pPr>
        <w:rPr>
          <w:rFonts w:cs="Arial"/>
          <w:b/>
          <w:bCs/>
          <w:u w:val="single"/>
        </w:rPr>
      </w:pPr>
      <w:r w:rsidRPr="009A1A78">
        <w:rPr>
          <w:rFonts w:cs="Arial"/>
          <w:b/>
          <w:bCs/>
          <w:u w:val="single"/>
        </w:rPr>
        <w:t>POLJ-</w:t>
      </w:r>
      <w:r>
        <w:rPr>
          <w:rFonts w:cs="Arial"/>
          <w:b/>
          <w:bCs/>
          <w:u w:val="single"/>
        </w:rPr>
        <w:t>1</w:t>
      </w:r>
      <w:r w:rsidR="00406C54">
        <w:rPr>
          <w:rFonts w:cs="Arial"/>
          <w:b/>
          <w:bCs/>
          <w:u w:val="single"/>
        </w:rPr>
        <w:t>3</w:t>
      </w:r>
      <w:r w:rsidRPr="009A1A78">
        <w:rPr>
          <w:rFonts w:cs="Arial"/>
          <w:b/>
          <w:bCs/>
          <w:u w:val="single"/>
        </w:rPr>
        <w:t xml:space="preserve"> </w:t>
      </w:r>
      <w:r w:rsidR="00151387" w:rsidRPr="00151387">
        <w:rPr>
          <w:rFonts w:cs="Arial"/>
          <w:b/>
          <w:bCs/>
          <w:u w:val="single"/>
        </w:rPr>
        <w:t>Uvođenje novih kultivara, sorti i kultura</w:t>
      </w:r>
      <w:r w:rsidR="00151387" w:rsidRPr="00151387" w:rsidDel="00151387">
        <w:rPr>
          <w:rFonts w:cs="Arial"/>
          <w:b/>
          <w:bCs/>
          <w:u w:val="single"/>
        </w:rPr>
        <w:t xml:space="preserve"> </w:t>
      </w:r>
    </w:p>
    <w:p w14:paraId="2CAD49CF" w14:textId="1AAFF9F7" w:rsidR="00B928F1" w:rsidRPr="00B56FE5" w:rsidRDefault="00B928F1" w:rsidP="00B928F1">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obrazovna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5847D2AA" w14:textId="6C154B86" w:rsidR="00B928F1" w:rsidRDefault="00B928F1" w:rsidP="00B928F1">
      <w:pPr>
        <w:pStyle w:val="NormalWeb"/>
        <w:spacing w:line="288" w:lineRule="auto"/>
        <w:rPr>
          <w:rFonts w:ascii="Arial" w:hAnsi="Arial" w:cs="Arial"/>
          <w:b/>
          <w:bCs/>
          <w:color w:val="000000"/>
          <w:sz w:val="22"/>
          <w:szCs w:val="22"/>
          <w:lang w:eastAsia="en-GB"/>
        </w:rPr>
      </w:pPr>
      <w:r w:rsidRPr="009A1A78">
        <w:rPr>
          <w:rFonts w:ascii="Arial" w:hAnsi="Arial" w:cs="Arial"/>
          <w:b/>
          <w:bCs/>
          <w:color w:val="000000"/>
          <w:sz w:val="22"/>
          <w:szCs w:val="22"/>
          <w:lang w:eastAsia="en-GB"/>
        </w:rPr>
        <w:t>Cilj i opis mjere</w:t>
      </w:r>
      <w:r w:rsidR="00507A1C">
        <w:rPr>
          <w:rFonts w:ascii="Arial" w:hAnsi="Arial" w:cs="Arial"/>
          <w:b/>
          <w:bCs/>
          <w:color w:val="000000"/>
          <w:sz w:val="22"/>
          <w:szCs w:val="22"/>
          <w:lang w:eastAsia="en-GB"/>
        </w:rPr>
        <w:t xml:space="preserve">: </w:t>
      </w:r>
      <w:r w:rsidR="004D0189" w:rsidRPr="00840E2E">
        <w:rPr>
          <w:rFonts w:ascii="Arial" w:hAnsi="Arial" w:cs="Arial"/>
          <w:color w:val="000000"/>
          <w:sz w:val="22"/>
          <w:szCs w:val="22"/>
          <w:lang w:eastAsia="en-GB"/>
        </w:rPr>
        <w:t>Određivanje potencijala novih kultivara, sorti i kultura za povećanje sekvestracije ugljika u tlu</w:t>
      </w:r>
      <w:r w:rsidR="004D0189" w:rsidRPr="00E82CBF" w:rsidDel="004D0189">
        <w:rPr>
          <w:rFonts w:ascii="Arial" w:hAnsi="Arial" w:cs="Arial"/>
          <w:b/>
          <w:color w:val="000000"/>
          <w:sz w:val="22"/>
          <w:szCs w:val="22"/>
          <w:lang w:eastAsia="en-GB"/>
        </w:rPr>
        <w:t xml:space="preserve"> </w:t>
      </w:r>
    </w:p>
    <w:p w14:paraId="35171A2D" w14:textId="77777777" w:rsidR="00E50B3A" w:rsidRPr="00E50B3A" w:rsidRDefault="00E50B3A" w:rsidP="00840E2E">
      <w:pPr>
        <w:pStyle w:val="NormalWeb"/>
        <w:spacing w:before="240" w:beforeAutospacing="0" w:after="120" w:afterAutospacing="0" w:line="288" w:lineRule="auto"/>
        <w:rPr>
          <w:rFonts w:ascii="Arial" w:hAnsi="Arial" w:cs="Arial"/>
          <w:color w:val="000000"/>
          <w:sz w:val="22"/>
          <w:szCs w:val="22"/>
          <w:lang w:eastAsia="en-GB"/>
        </w:rPr>
      </w:pPr>
      <w:r w:rsidRPr="00E50B3A">
        <w:rPr>
          <w:rFonts w:ascii="Arial" w:hAnsi="Arial" w:cs="Arial"/>
          <w:color w:val="000000"/>
          <w:sz w:val="22"/>
          <w:szCs w:val="22"/>
          <w:lang w:eastAsia="en-GB"/>
        </w:rPr>
        <w:t>Introdukcija novih kultivara, sorti i kultura načelno spada pod mjere hitne adaptacije (po UNDPu) – odnosno vremenski kritične mjere koje podrazumijevaju i implementaciju sustava kao obrambenu mjeru od utjecaja klimatskih promjena na proizvodnju hrane odnosno postizanja manjih emisija.</w:t>
      </w:r>
    </w:p>
    <w:p w14:paraId="5253FA3A" w14:textId="77777777" w:rsidR="00E50B3A" w:rsidRPr="00E50B3A" w:rsidRDefault="00E50B3A" w:rsidP="00840E2E">
      <w:pPr>
        <w:pStyle w:val="NormalWeb"/>
        <w:spacing w:before="240" w:beforeAutospacing="0" w:after="120" w:afterAutospacing="0" w:line="288" w:lineRule="auto"/>
        <w:rPr>
          <w:rFonts w:ascii="Arial" w:hAnsi="Arial" w:cs="Arial"/>
          <w:color w:val="000000"/>
          <w:sz w:val="22"/>
          <w:szCs w:val="22"/>
          <w:lang w:eastAsia="en-GB"/>
        </w:rPr>
      </w:pPr>
      <w:r w:rsidRPr="00E50B3A">
        <w:rPr>
          <w:rFonts w:ascii="Arial" w:hAnsi="Arial" w:cs="Arial"/>
          <w:color w:val="000000"/>
          <w:sz w:val="22"/>
          <w:szCs w:val="22"/>
          <w:lang w:eastAsia="en-GB"/>
        </w:rPr>
        <w:t>U tom kontekstu, bitno je poticanje razvoja, edukacije i implementacije tehnologija na državnoj i regionalnoj razini, uključujući i i poticanje prelaska i adaptacije proizvođača (ali i potrošača, dakle cijelog proizvodnog lanca) na proizvodnju novih poljoprivrednih kultura, ili omogućavanjem i poticanjem primjene kultivara i sorti koji su otporniji na sušu ili bolesti, imaju manji ugljični otisak ili imaju drugi benefit.</w:t>
      </w:r>
    </w:p>
    <w:p w14:paraId="7AB360A7" w14:textId="77777777" w:rsidR="00E50B3A" w:rsidRPr="00E50B3A" w:rsidRDefault="00E50B3A" w:rsidP="00840E2E">
      <w:pPr>
        <w:pStyle w:val="NormalWeb"/>
        <w:spacing w:before="240" w:beforeAutospacing="0" w:after="120" w:afterAutospacing="0" w:line="288" w:lineRule="auto"/>
        <w:rPr>
          <w:rFonts w:ascii="Arial" w:hAnsi="Arial" w:cs="Arial"/>
          <w:color w:val="000000"/>
          <w:sz w:val="22"/>
          <w:szCs w:val="22"/>
          <w:lang w:eastAsia="en-GB"/>
        </w:rPr>
      </w:pPr>
      <w:r w:rsidRPr="00E50B3A">
        <w:rPr>
          <w:rFonts w:ascii="Arial" w:hAnsi="Arial" w:cs="Arial"/>
          <w:color w:val="000000"/>
          <w:sz w:val="22"/>
          <w:szCs w:val="22"/>
          <w:lang w:eastAsia="en-GB"/>
        </w:rPr>
        <w:t>Primjer moguće strategija je i racionalnija proizvodnja i uporaba novih leguminoznih kultura kao odgovor na manjak proteina u stočnoj hrani, potrebu za smanjenjem primjene mineralnih gnojiva te na opadanje plodnosti tla.</w:t>
      </w:r>
    </w:p>
    <w:p w14:paraId="4E8FE1D9" w14:textId="77777777" w:rsidR="00E50B3A" w:rsidRPr="00E50B3A" w:rsidRDefault="00E50B3A" w:rsidP="00840E2E">
      <w:pPr>
        <w:pStyle w:val="NormalWeb"/>
        <w:spacing w:before="240" w:beforeAutospacing="0" w:after="120" w:afterAutospacing="0" w:line="288" w:lineRule="auto"/>
        <w:rPr>
          <w:rFonts w:ascii="Arial" w:hAnsi="Arial" w:cs="Arial"/>
          <w:color w:val="000000"/>
          <w:sz w:val="22"/>
          <w:szCs w:val="22"/>
          <w:lang w:eastAsia="en-GB"/>
        </w:rPr>
      </w:pPr>
      <w:r w:rsidRPr="00E50B3A">
        <w:rPr>
          <w:rFonts w:ascii="Arial" w:hAnsi="Arial" w:cs="Arial"/>
          <w:color w:val="000000"/>
          <w:sz w:val="22"/>
          <w:szCs w:val="22"/>
          <w:lang w:eastAsia="en-GB"/>
        </w:rPr>
        <w:t>Leguminoze zbog znatnih količina proteina u svojim prirodima trebaju i veću količinu N, mogu veliki dio (ili kompletnu potrebu) tog hraniva osigurati iz atmosfere putem biološke fiksacije, pod uvjetom da žive u simbiozi s efektivnim sojevima kvržičnih bakterija. Upravo iz navedenih razloga u posljednje vrijeme se istražuju do sada malo proučene biljne vrste koje imaju sposobnost simbiotskog odnosa s kvržičnim bakterijama, kao što je Galega orientalis Lam., nova višegodišnja krmna leguminoza koja živi u efektivnoj simbiozi s Rhizobium galegae.</w:t>
      </w:r>
    </w:p>
    <w:p w14:paraId="23E2E7DC" w14:textId="03906CA5" w:rsidR="004D0189" w:rsidRDefault="00E50B3A" w:rsidP="00840E2E">
      <w:pPr>
        <w:pStyle w:val="NormalWeb"/>
        <w:spacing w:before="240" w:beforeAutospacing="0" w:after="120" w:afterAutospacing="0" w:line="288" w:lineRule="auto"/>
        <w:rPr>
          <w:rFonts w:ascii="Arial" w:hAnsi="Arial" w:cs="Arial"/>
          <w:color w:val="000000"/>
          <w:sz w:val="22"/>
          <w:szCs w:val="22"/>
          <w:lang w:eastAsia="en-GB"/>
        </w:rPr>
      </w:pPr>
      <w:r w:rsidRPr="00E50B3A">
        <w:rPr>
          <w:rFonts w:ascii="Arial" w:hAnsi="Arial" w:cs="Arial"/>
          <w:color w:val="000000"/>
          <w:sz w:val="22"/>
          <w:szCs w:val="22"/>
          <w:lang w:eastAsia="en-GB"/>
        </w:rPr>
        <w:t>Glavna prednost uzgoja Galega orientalis Lam. je gotovo isključivo korištenje simbiotski vezanog elementarnog dušika, a ne N iz mineralnih gnojiva ili malih doza «početnog» mineralnog N do 40 kg/ha. Galega kao nova leguminoza je interesantna zbog dugovječnosti (7-15 god), otpornosti (tip tla, suša, temperatura); jedna je od najranijih leguminoza, sadrži visokovrijedne proteine (1,5-2 t/ha); predstavlja izvrstan izbor stočne hrane (u zelenom obliku, peletiranom, sjeniranom ili silirana), prinos zrna 3-6 puta veći negoli u lucerne; cijena gnojidbe i sjemena je niska.</w:t>
      </w:r>
    </w:p>
    <w:p w14:paraId="387FAE7E" w14:textId="77777777" w:rsidR="00507A1C" w:rsidRDefault="00507A1C" w:rsidP="00B928F1">
      <w:pPr>
        <w:pStyle w:val="NormalWeb"/>
        <w:spacing w:line="288" w:lineRule="auto"/>
        <w:rPr>
          <w:rFonts w:ascii="Arial" w:hAnsi="Arial" w:cs="Arial"/>
          <w:color w:val="000000"/>
          <w:sz w:val="22"/>
          <w:szCs w:val="22"/>
          <w:lang w:eastAsia="en-GB"/>
        </w:rPr>
      </w:pPr>
    </w:p>
    <w:p w14:paraId="3A9D7808" w14:textId="4E266135" w:rsidR="0065668D" w:rsidRPr="009A1A78" w:rsidRDefault="0065668D" w:rsidP="0065668D">
      <w:pPr>
        <w:rPr>
          <w:rFonts w:cs="Arial"/>
          <w:b/>
          <w:bCs/>
          <w:u w:val="single"/>
        </w:rPr>
      </w:pPr>
      <w:r w:rsidRPr="009A1A78">
        <w:rPr>
          <w:rFonts w:cs="Arial"/>
          <w:b/>
          <w:bCs/>
          <w:u w:val="single"/>
        </w:rPr>
        <w:t>POLJ-</w:t>
      </w:r>
      <w:r>
        <w:rPr>
          <w:rFonts w:cs="Arial"/>
          <w:b/>
          <w:bCs/>
          <w:u w:val="single"/>
        </w:rPr>
        <w:t>1</w:t>
      </w:r>
      <w:r w:rsidR="00142AE3">
        <w:rPr>
          <w:rFonts w:cs="Arial"/>
          <w:b/>
          <w:bCs/>
          <w:u w:val="single"/>
        </w:rPr>
        <w:t>4</w:t>
      </w:r>
      <w:r w:rsidRPr="009A1A78">
        <w:rPr>
          <w:rFonts w:cs="Arial"/>
          <w:b/>
          <w:bCs/>
          <w:u w:val="single"/>
        </w:rPr>
        <w:t xml:space="preserve"> </w:t>
      </w:r>
      <w:r w:rsidR="00142AE3" w:rsidRPr="00142AE3">
        <w:rPr>
          <w:rFonts w:cs="Arial"/>
          <w:b/>
          <w:bCs/>
          <w:u w:val="single"/>
        </w:rPr>
        <w:t>Promjena načina prehrane ljudi</w:t>
      </w:r>
      <w:r w:rsidR="00142AE3" w:rsidRPr="00142AE3" w:rsidDel="00142AE3">
        <w:rPr>
          <w:rFonts w:cs="Arial"/>
          <w:b/>
          <w:bCs/>
          <w:u w:val="single"/>
        </w:rPr>
        <w:t xml:space="preserve"> </w:t>
      </w:r>
    </w:p>
    <w:p w14:paraId="4612A306" w14:textId="5AB01CB4" w:rsidR="0065668D" w:rsidRPr="00B56FE5" w:rsidRDefault="0065668D" w:rsidP="0065668D">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lastRenderedPageBreak/>
        <w:t>Informacijska</w:t>
      </w:r>
      <w:r w:rsidR="006D73A3">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59C49E6A" w14:textId="7C29545A" w:rsidR="00501BD8" w:rsidRDefault="0065668D" w:rsidP="0065668D">
      <w:pPr>
        <w:pStyle w:val="NormalWeb"/>
        <w:spacing w:line="288" w:lineRule="auto"/>
        <w:rPr>
          <w:rFonts w:ascii="Arial" w:hAnsi="Arial" w:cs="Arial"/>
          <w:color w:val="000000"/>
          <w:sz w:val="22"/>
          <w:szCs w:val="22"/>
          <w:lang w:eastAsia="en-GB"/>
        </w:rPr>
      </w:pPr>
      <w:r w:rsidRPr="009A1A78">
        <w:rPr>
          <w:rFonts w:ascii="Arial" w:hAnsi="Arial" w:cs="Arial"/>
          <w:b/>
          <w:bCs/>
          <w:color w:val="000000"/>
          <w:sz w:val="22"/>
          <w:szCs w:val="22"/>
          <w:lang w:eastAsia="en-GB"/>
        </w:rPr>
        <w:t>Cilj i opis mjere</w:t>
      </w:r>
      <w:r>
        <w:rPr>
          <w:rFonts w:ascii="Arial" w:hAnsi="Arial" w:cs="Arial"/>
          <w:b/>
          <w:bCs/>
          <w:color w:val="000000"/>
          <w:sz w:val="22"/>
          <w:szCs w:val="22"/>
          <w:lang w:eastAsia="en-GB"/>
        </w:rPr>
        <w:t xml:space="preserve">: </w:t>
      </w:r>
      <w:r w:rsidR="00822395" w:rsidRPr="00154150">
        <w:rPr>
          <w:rFonts w:ascii="Arial" w:hAnsi="Arial" w:cs="Arial"/>
          <w:color w:val="000000"/>
          <w:sz w:val="22"/>
          <w:szCs w:val="22"/>
          <w:lang w:eastAsia="en-GB"/>
        </w:rPr>
        <w:t>Prikupljanje podataka o potencijalu smanjenja emisija stakleničkih plinova uslijed promjena načina prehrane</w:t>
      </w:r>
      <w:r w:rsidR="00501BD8">
        <w:rPr>
          <w:rFonts w:ascii="Arial" w:hAnsi="Arial" w:cs="Arial"/>
          <w:color w:val="000000"/>
          <w:sz w:val="22"/>
          <w:szCs w:val="22"/>
          <w:lang w:eastAsia="en-GB"/>
        </w:rPr>
        <w:t xml:space="preserve"> </w:t>
      </w:r>
    </w:p>
    <w:p w14:paraId="4DE53F81" w14:textId="17C495CF" w:rsidR="00501BD8" w:rsidRPr="00501BD8" w:rsidRDefault="00501BD8" w:rsidP="00840E2E">
      <w:pPr>
        <w:pStyle w:val="NormalWeb"/>
        <w:spacing w:line="288" w:lineRule="auto"/>
        <w:jc w:val="both"/>
        <w:rPr>
          <w:rFonts w:ascii="Arial" w:hAnsi="Arial" w:cs="Arial"/>
          <w:color w:val="000000"/>
          <w:sz w:val="22"/>
          <w:szCs w:val="22"/>
          <w:lang w:eastAsia="en-GB"/>
        </w:rPr>
      </w:pPr>
      <w:r w:rsidRPr="00501BD8">
        <w:rPr>
          <w:rFonts w:ascii="Arial" w:hAnsi="Arial" w:cs="Arial"/>
          <w:color w:val="000000"/>
          <w:sz w:val="22"/>
          <w:szCs w:val="22"/>
          <w:lang w:eastAsia="en-GB"/>
        </w:rPr>
        <w:t>Neučinkovitost proizvodnje žitarica kao stočne hrane kao i direktna emisija metana iz crijevne fermentacije preživača znače da je emisija stakleničkih plinova značajno veća kod proizvodnje namirnice životinjskog podrijetla u odnosu na namirnice biljnog podrijetla. Prelaskom značajnog dijela populacije na dijetu s manjim udjelom mesa (u korist ribe), vegetarijansku ili u potpunosti vegansku prehranu, moguće je ostvariti značajno smanjenje emisija – kako uslijed manje primjene mineralnih gnojiva (posljedično i manje dušikovih spojeva) potrebnih za proizvodnju stočne hrane, tako i uslijed smanjenja emisija metana iz crijevne fe</w:t>
      </w:r>
      <w:r w:rsidR="0005776E">
        <w:rPr>
          <w:rFonts w:ascii="Arial" w:hAnsi="Arial" w:cs="Arial"/>
          <w:color w:val="000000"/>
          <w:sz w:val="22"/>
          <w:szCs w:val="22"/>
          <w:lang w:eastAsia="en-GB"/>
        </w:rPr>
        <w:t>r</w:t>
      </w:r>
      <w:r w:rsidRPr="00501BD8">
        <w:rPr>
          <w:rFonts w:ascii="Arial" w:hAnsi="Arial" w:cs="Arial"/>
          <w:color w:val="000000"/>
          <w:sz w:val="22"/>
          <w:szCs w:val="22"/>
          <w:lang w:eastAsia="en-GB"/>
        </w:rPr>
        <w:t>mentacije stoke. Dodatne su koristi značajno manji utrošak vode kao i goriva u poljoprivrednoj proizvodnji.</w:t>
      </w:r>
    </w:p>
    <w:p w14:paraId="414FC149" w14:textId="57DD448C" w:rsidR="00501BD8" w:rsidRPr="00411E6D" w:rsidRDefault="00501BD8" w:rsidP="00840E2E">
      <w:pPr>
        <w:pStyle w:val="NormalWeb"/>
        <w:spacing w:line="288" w:lineRule="auto"/>
        <w:jc w:val="both"/>
        <w:rPr>
          <w:rFonts w:ascii="Arial" w:hAnsi="Arial" w:cs="Arial"/>
          <w:color w:val="000000"/>
          <w:sz w:val="22"/>
          <w:szCs w:val="22"/>
          <w:lang w:eastAsia="en-GB"/>
        </w:rPr>
      </w:pPr>
      <w:r w:rsidRPr="00501BD8">
        <w:rPr>
          <w:rFonts w:ascii="Arial" w:hAnsi="Arial" w:cs="Arial"/>
          <w:color w:val="000000"/>
          <w:sz w:val="22"/>
          <w:szCs w:val="22"/>
          <w:lang w:eastAsia="en-GB"/>
        </w:rPr>
        <w:t>Navedene uštede emisija mogu se izraziti kao ugljični otisak pojedinca temeljem svih spomenutih faktora ovisno o njegovoj prehrani. Iako Republika Hrvatska spada u zemlje s manjom potrošnjom mesa, ono i dalje predstavlja značajnu komponentu u prehrani prosječnog stanovnika.</w:t>
      </w:r>
      <w:r w:rsidR="00622DB1">
        <w:rPr>
          <w:rFonts w:ascii="Arial" w:hAnsi="Arial" w:cs="Arial"/>
          <w:color w:val="000000"/>
          <w:sz w:val="22"/>
          <w:szCs w:val="22"/>
          <w:lang w:eastAsia="en-GB"/>
        </w:rPr>
        <w:t xml:space="preserve"> </w:t>
      </w:r>
      <w:r w:rsidRPr="00501BD8">
        <w:rPr>
          <w:rFonts w:ascii="Arial" w:hAnsi="Arial" w:cs="Arial"/>
          <w:color w:val="000000"/>
          <w:sz w:val="22"/>
          <w:szCs w:val="22"/>
          <w:lang w:eastAsia="en-GB"/>
        </w:rPr>
        <w:t>Tako će npr. emisija kilograma CO2 ekvivalenata kod odrasle osobe (uz dijetu od 2000 kcal, što je prosječna dnevna potreba za energijom iz hrane) čija prehrana sadrži značajan udio mesa (više od 100 grama na dan) iznosi od 5,66 do 7,19 kg na dan dok kod vegetarijanske ishrane to iznosi 2,89 kg ekvivalenata CO2 na dan. Procijenjeni ugljični potpis stanovnika RH starijih od 10. godina iznosi oko 7.500 kilotona ekvivalenata CO2 za 2012. godinu. Pri tome treba napomenuti da Republika Hrvatska ne zadovoljava sve svoje potrebe za mesom, te da značajni dio crvenog mesa (i do 65% goveđeg odnosno 40% svinjskog mesa) dolazi iz uvoza. Stoga je ukupni prehrambeni ugljičnog otisak i veći od procijenjene ukupne emisije. Prvi korak su svakako istraživanja o trenutnim prehrambenim navikama stanovnika RH.</w:t>
      </w:r>
    </w:p>
    <w:p w14:paraId="567704BC" w14:textId="4E234AD8" w:rsidR="00730C90" w:rsidRPr="009A1A78" w:rsidRDefault="00730C90" w:rsidP="00730C90">
      <w:pPr>
        <w:rPr>
          <w:rFonts w:cs="Arial"/>
          <w:b/>
          <w:bCs/>
          <w:u w:val="single"/>
        </w:rPr>
      </w:pPr>
      <w:r w:rsidRPr="009A1A78">
        <w:rPr>
          <w:rFonts w:cs="Arial"/>
          <w:b/>
          <w:bCs/>
          <w:u w:val="single"/>
        </w:rPr>
        <w:t>POLJ-</w:t>
      </w:r>
      <w:r>
        <w:rPr>
          <w:rFonts w:cs="Arial"/>
          <w:b/>
          <w:bCs/>
          <w:u w:val="single"/>
        </w:rPr>
        <w:t>1</w:t>
      </w:r>
      <w:r w:rsidR="00C45766">
        <w:rPr>
          <w:rFonts w:cs="Arial"/>
          <w:b/>
          <w:bCs/>
          <w:u w:val="single"/>
        </w:rPr>
        <w:t>5</w:t>
      </w:r>
      <w:r w:rsidRPr="009A1A78">
        <w:rPr>
          <w:rFonts w:cs="Arial"/>
          <w:b/>
          <w:bCs/>
          <w:u w:val="single"/>
        </w:rPr>
        <w:t xml:space="preserve"> </w:t>
      </w:r>
      <w:r w:rsidR="00C45766" w:rsidRPr="00C45766">
        <w:rPr>
          <w:rFonts w:cs="Arial"/>
          <w:b/>
          <w:bCs/>
          <w:u w:val="single"/>
        </w:rPr>
        <w:t>Sakupljanje i obrada poljoprivrednih nasada i ostataka za korištenje u energetske svrhe</w:t>
      </w:r>
      <w:r w:rsidR="00C45766" w:rsidRPr="00C45766" w:rsidDel="00C45766">
        <w:rPr>
          <w:rFonts w:cs="Arial"/>
          <w:b/>
          <w:bCs/>
          <w:u w:val="single"/>
        </w:rPr>
        <w:t xml:space="preserve"> </w:t>
      </w:r>
    </w:p>
    <w:p w14:paraId="2EFD76C4" w14:textId="13B423D0" w:rsidR="00730C90" w:rsidRPr="00B56FE5" w:rsidRDefault="00730C90" w:rsidP="00730C90">
      <w:pPr>
        <w:pStyle w:val="NormalWeb"/>
        <w:spacing w:after="120" w:line="288" w:lineRule="auto"/>
        <w:jc w:val="both"/>
        <w:rPr>
          <w:rFonts w:ascii="Arial" w:hAnsi="Arial" w:cs="Arial"/>
          <w:color w:val="000000"/>
          <w:sz w:val="22"/>
          <w:szCs w:val="22"/>
        </w:rPr>
      </w:pPr>
      <w:r w:rsidRPr="00831D34">
        <w:rPr>
          <w:rFonts w:ascii="Arial" w:hAnsi="Arial" w:cs="Arial"/>
          <w:b/>
          <w:bCs/>
          <w:color w:val="000000"/>
          <w:sz w:val="22"/>
          <w:szCs w:val="22"/>
          <w:lang w:eastAsia="en-GB"/>
        </w:rPr>
        <w:t>Informacijska</w:t>
      </w:r>
      <w:r>
        <w:rPr>
          <w:rFonts w:ascii="Arial" w:hAnsi="Arial" w:cs="Arial"/>
          <w:b/>
          <w:bCs/>
          <w:color w:val="000000"/>
          <w:sz w:val="22"/>
          <w:szCs w:val="22"/>
          <w:lang w:eastAsia="en-GB"/>
        </w:rPr>
        <w:t xml:space="preserve"> </w:t>
      </w:r>
      <w:r w:rsidRPr="00B56FE5">
        <w:rPr>
          <w:rFonts w:ascii="Arial" w:hAnsi="Arial" w:cs="Arial"/>
          <w:b/>
          <w:bCs/>
          <w:color w:val="000000"/>
          <w:sz w:val="22"/>
          <w:szCs w:val="22"/>
          <w:lang w:eastAsia="en-GB"/>
        </w:rPr>
        <w:t>mjera; provedba 2021.-</w:t>
      </w:r>
      <w:r w:rsidR="00E06C9E">
        <w:rPr>
          <w:rFonts w:ascii="Arial" w:hAnsi="Arial" w:cs="Arial"/>
          <w:b/>
          <w:bCs/>
          <w:color w:val="000000"/>
          <w:sz w:val="22"/>
          <w:szCs w:val="22"/>
          <w:lang w:eastAsia="en-GB"/>
        </w:rPr>
        <w:t>2030</w:t>
      </w:r>
      <w:r w:rsidRPr="00B56FE5">
        <w:rPr>
          <w:rFonts w:ascii="Arial" w:hAnsi="Arial" w:cs="Arial"/>
          <w:b/>
          <w:bCs/>
          <w:color w:val="000000"/>
          <w:sz w:val="22"/>
          <w:szCs w:val="22"/>
          <w:lang w:eastAsia="en-GB"/>
        </w:rPr>
        <w:t>.</w:t>
      </w:r>
    </w:p>
    <w:p w14:paraId="1BA3D391" w14:textId="77777777" w:rsidR="004620B1" w:rsidRPr="004620B1" w:rsidRDefault="004620B1" w:rsidP="00840E2E">
      <w:pPr>
        <w:pStyle w:val="NormalWeb"/>
        <w:spacing w:line="288" w:lineRule="auto"/>
        <w:jc w:val="both"/>
        <w:rPr>
          <w:rFonts w:ascii="Arial" w:hAnsi="Arial" w:cs="Arial"/>
          <w:color w:val="000000"/>
          <w:sz w:val="22"/>
          <w:szCs w:val="22"/>
          <w:lang w:eastAsia="en-GB"/>
        </w:rPr>
      </w:pPr>
      <w:r w:rsidRPr="004620B1">
        <w:rPr>
          <w:rFonts w:ascii="Arial" w:hAnsi="Arial" w:cs="Arial"/>
          <w:color w:val="000000"/>
          <w:sz w:val="22"/>
          <w:szCs w:val="22"/>
          <w:lang w:eastAsia="en-GB"/>
        </w:rPr>
        <w:t>Energetsko iskorištavanje posliježetvenih ostataka (s naglaskom na ratarske) kultura jedan je od značajnijih načina proizvodnje energije iz biomase u RH. Ostali mogući izvori su ostaci zimske žetve gotovo svih hortikulturnih vrsta, kao i brzorastuće kulture za proizvodnju energije koje se sade/siju isključivo za proizvodnju biomase s ciljem njezine konverzije u energiju.</w:t>
      </w:r>
    </w:p>
    <w:p w14:paraId="4063F9E8" w14:textId="7E8E5E70" w:rsidR="00730C90" w:rsidRPr="009A1A78" w:rsidRDefault="004620B1" w:rsidP="00840E2E">
      <w:pPr>
        <w:pStyle w:val="NormalWeb"/>
        <w:spacing w:line="288" w:lineRule="auto"/>
        <w:jc w:val="both"/>
        <w:rPr>
          <w:rFonts w:cs="Arial"/>
          <w:color w:val="000000"/>
          <w:lang w:eastAsia="en-GB"/>
        </w:rPr>
      </w:pPr>
      <w:r w:rsidRPr="004620B1">
        <w:rPr>
          <w:rFonts w:ascii="Arial" w:hAnsi="Arial" w:cs="Arial"/>
          <w:color w:val="000000"/>
          <w:sz w:val="22"/>
          <w:szCs w:val="22"/>
          <w:lang w:eastAsia="en-GB"/>
        </w:rPr>
        <w:t>U cilju razvoja tržišta biomase, uspostavit će se sabirno-logistički centri za biomasu koristeći postojeću infrastrukturu (komunalna poduzeća, centre kompetencija, poslovne zone) kako bi se smanjio jedinični trošak proizvodnje proizvoda iz biomase te kapitalizirali inovacijski kapaciteti i neophodna oprema za inovativne proizvode iz biomase za bio</w:t>
      </w:r>
      <w:r w:rsidR="00677C35">
        <w:rPr>
          <w:rFonts w:ascii="Arial" w:hAnsi="Arial" w:cs="Arial"/>
          <w:color w:val="000000"/>
          <w:sz w:val="22"/>
          <w:szCs w:val="22"/>
          <w:lang w:eastAsia="en-GB"/>
        </w:rPr>
        <w:t>gospodarstvo</w:t>
      </w:r>
      <w:r w:rsidRPr="004620B1">
        <w:rPr>
          <w:rFonts w:ascii="Arial" w:hAnsi="Arial" w:cs="Arial"/>
          <w:color w:val="000000"/>
          <w:sz w:val="22"/>
          <w:szCs w:val="22"/>
          <w:lang w:eastAsia="en-GB"/>
        </w:rPr>
        <w:t xml:space="preserve">. Sabirno-logistički centri imat će ulogu poveznice između poljoprivrednika koji posjeduje </w:t>
      </w:r>
      <w:r w:rsidRPr="004620B1">
        <w:rPr>
          <w:rFonts w:ascii="Arial" w:hAnsi="Arial" w:cs="Arial"/>
          <w:color w:val="000000"/>
          <w:sz w:val="22"/>
          <w:szCs w:val="22"/>
          <w:lang w:eastAsia="en-GB"/>
        </w:rPr>
        <w:lastRenderedPageBreak/>
        <w:t>biomasu, prerade biomase u nove proizvode s većom dodanom vrijednosti, razvoja novih proizvoda te plasiranja tih novih proizvoda na tržište.</w:t>
      </w:r>
    </w:p>
    <w:p w14:paraId="2325AAD0" w14:textId="77777777" w:rsidR="00EA790A" w:rsidRDefault="00EA790A" w:rsidP="00840E2E">
      <w:pPr>
        <w:pStyle w:val="NormalWeb"/>
        <w:rPr>
          <w:rFonts w:cs="Arial"/>
          <w:u w:val="single"/>
        </w:rPr>
      </w:pPr>
    </w:p>
    <w:p w14:paraId="610BBA47" w14:textId="467C8BB2" w:rsidR="00E6316B" w:rsidRDefault="00E6316B" w:rsidP="00527276">
      <w:pPr>
        <w:suppressAutoHyphens w:val="0"/>
        <w:spacing w:after="160" w:line="259" w:lineRule="auto"/>
      </w:pPr>
      <w:r>
        <w:t xml:space="preserve">U nastavku su prikazane mjere vezane za </w:t>
      </w:r>
      <w:r w:rsidRPr="0031468F">
        <w:rPr>
          <w:b/>
        </w:rPr>
        <w:t>sektor korištenja zemljišta, prenamjene zemljišta i šumarstvo (LULUCF)</w:t>
      </w:r>
      <w:r>
        <w:t>.</w:t>
      </w:r>
    </w:p>
    <w:p w14:paraId="19F62FEE" w14:textId="0241A10C" w:rsidR="00E6316B" w:rsidRPr="00840E2E" w:rsidRDefault="00E6316B" w:rsidP="00E6316B">
      <w:pPr>
        <w:rPr>
          <w:rFonts w:cs="Arial"/>
          <w:b/>
          <w:bCs/>
          <w:u w:val="single"/>
        </w:rPr>
      </w:pPr>
      <w:r w:rsidRPr="00840E2E">
        <w:rPr>
          <w:rFonts w:cs="Arial"/>
          <w:b/>
          <w:bCs/>
          <w:u w:val="single"/>
        </w:rPr>
        <w:t xml:space="preserve">LUF-1: </w:t>
      </w:r>
      <w:r w:rsidR="003C1EF0" w:rsidRPr="00840E2E">
        <w:rPr>
          <w:rFonts w:cs="Arial"/>
          <w:b/>
          <w:bCs/>
          <w:u w:val="single"/>
        </w:rPr>
        <w:t xml:space="preserve">Izrada Strategije upravljanja zemljištem </w:t>
      </w:r>
      <w:r w:rsidR="00ED24DE">
        <w:rPr>
          <w:rFonts w:cs="Arial"/>
          <w:b/>
          <w:bCs/>
          <w:u w:val="single"/>
        </w:rPr>
        <w:t>Republike Hrvatske</w:t>
      </w:r>
      <w:r w:rsidR="003C1EF0" w:rsidRPr="00840E2E" w:rsidDel="003C1EF0">
        <w:rPr>
          <w:rFonts w:cs="Arial"/>
          <w:b/>
          <w:bCs/>
          <w:u w:val="single"/>
        </w:rPr>
        <w:t xml:space="preserve"> </w:t>
      </w:r>
    </w:p>
    <w:p w14:paraId="4E1574D0" w14:textId="77777777" w:rsidR="005C7694" w:rsidRPr="00024A39" w:rsidRDefault="005C7694" w:rsidP="005C7694">
      <w:pPr>
        <w:rPr>
          <w:rFonts w:cs="Arial"/>
          <w:b/>
          <w:bCs/>
        </w:rPr>
      </w:pPr>
      <w:r w:rsidRPr="00024A39">
        <w:rPr>
          <w:rFonts w:cs="Arial"/>
          <w:b/>
          <w:bCs/>
        </w:rPr>
        <w:t xml:space="preserve">Regulatorna, ekonomska, </w:t>
      </w:r>
      <w:r>
        <w:rPr>
          <w:rFonts w:cs="Arial"/>
          <w:b/>
          <w:bCs/>
        </w:rPr>
        <w:t>informacijska</w:t>
      </w:r>
      <w:r w:rsidRPr="00024A39">
        <w:rPr>
          <w:rFonts w:cs="Arial"/>
          <w:b/>
          <w:bCs/>
        </w:rPr>
        <w:t xml:space="preserve"> mjera; provedba: 2021</w:t>
      </w:r>
      <w:r>
        <w:rPr>
          <w:rFonts w:cs="Arial"/>
          <w:b/>
          <w:bCs/>
        </w:rPr>
        <w:t>.</w:t>
      </w:r>
      <w:r w:rsidRPr="00024A39">
        <w:rPr>
          <w:rFonts w:cs="Arial"/>
          <w:b/>
          <w:bCs/>
        </w:rPr>
        <w:t>-2030.</w:t>
      </w:r>
    </w:p>
    <w:p w14:paraId="78614990" w14:textId="77777777" w:rsidR="0009177A" w:rsidRPr="0009177A" w:rsidRDefault="0009177A" w:rsidP="00840E2E">
      <w:pPr>
        <w:ind w:left="142"/>
        <w:rPr>
          <w:rFonts w:cs="Arial"/>
        </w:rPr>
      </w:pPr>
      <w:r w:rsidRPr="0009177A">
        <w:rPr>
          <w:rFonts w:cs="Arial"/>
        </w:rPr>
        <w:t>Do 2027. godine potrebno je izraditi Strategiju upravljanja zemljištem RH. Za razvoj iste nužno je provesti projekte kojima se:</w:t>
      </w:r>
    </w:p>
    <w:p w14:paraId="475000CA" w14:textId="50C8C2A9" w:rsidR="0009177A" w:rsidRPr="00840E2E" w:rsidRDefault="0009177A" w:rsidP="00840E2E">
      <w:pPr>
        <w:pStyle w:val="ListParagraph"/>
        <w:numPr>
          <w:ilvl w:val="0"/>
          <w:numId w:val="222"/>
        </w:numPr>
        <w:rPr>
          <w:rFonts w:cs="Arial"/>
        </w:rPr>
      </w:pPr>
      <w:r w:rsidRPr="00840E2E">
        <w:rPr>
          <w:rFonts w:cs="Arial"/>
        </w:rPr>
        <w:t xml:space="preserve">Uspostavlja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 </w:t>
      </w:r>
    </w:p>
    <w:p w14:paraId="633B1960" w14:textId="1452F91A" w:rsidR="0009177A" w:rsidRPr="00840E2E" w:rsidRDefault="0009177A" w:rsidP="00840E2E">
      <w:pPr>
        <w:pStyle w:val="ListParagraph"/>
        <w:numPr>
          <w:ilvl w:val="0"/>
          <w:numId w:val="222"/>
        </w:numPr>
        <w:rPr>
          <w:rFonts w:cs="Arial"/>
        </w:rPr>
      </w:pPr>
      <w:r w:rsidRPr="00840E2E">
        <w:rPr>
          <w:rFonts w:cs="Arial"/>
        </w:rPr>
        <w:t>Provodi analiza svih LULUCF kategorija zemljišta u ovisnosti o pokrovu, uporabi zemljišta te praksama gospodarenja koje se na svakom zemljištu koriste</w:t>
      </w:r>
      <w:r w:rsidR="00622DB1">
        <w:rPr>
          <w:rFonts w:cs="Arial"/>
        </w:rPr>
        <w:t xml:space="preserve"> </w:t>
      </w:r>
      <w:r w:rsidRPr="00840E2E">
        <w:rPr>
          <w:rFonts w:cs="Arial"/>
        </w:rPr>
        <w:t>i s time povezanim emisijama/odlivima radi razmatranja potencijala svakog od pohraništa unutar svake LULUCF kategorije zemljišta za smanjenje emisija i povećanje odliva stakleničkih plinova</w:t>
      </w:r>
    </w:p>
    <w:p w14:paraId="6D496977" w14:textId="6BC7D7C8" w:rsidR="0009177A" w:rsidRPr="00840E2E" w:rsidRDefault="0009177A" w:rsidP="00840E2E">
      <w:pPr>
        <w:pStyle w:val="ListParagraph"/>
        <w:numPr>
          <w:ilvl w:val="0"/>
          <w:numId w:val="222"/>
        </w:numPr>
        <w:rPr>
          <w:rFonts w:cs="Arial"/>
        </w:rPr>
      </w:pPr>
      <w:r w:rsidRPr="00840E2E">
        <w:rPr>
          <w:rFonts w:cs="Arial"/>
        </w:rPr>
        <w:t xml:space="preserve">Izraditi detaljne projekcije razvoja budućih emisija/odliva u LULUCF sektoru po provedbi više navedene analize </w:t>
      </w:r>
    </w:p>
    <w:p w14:paraId="149973C9" w14:textId="7A94A302" w:rsidR="00E6316B" w:rsidRDefault="0009177A" w:rsidP="0009177A">
      <w:pPr>
        <w:ind w:left="147"/>
        <w:rPr>
          <w:rFonts w:cs="Arial"/>
        </w:rPr>
      </w:pPr>
      <w:r w:rsidRPr="0009177A">
        <w:rPr>
          <w:rFonts w:cs="Arial"/>
        </w:rPr>
        <w:t>Izračun emisija/odliva u LULUCF sektoru, te navedeni projekti trebaju činiti osnovu za planiranje pokrova, uporabe i načina gospodarenja LULUCF kategorijama zemljišta za svako od pohraništa radi razvoja Strategije upravljanja zemljištem te kako bi se pravilno definirale mjere koje će se na pojedinoj kategoriji zemljišta provoditi a kojima će se smanjivati emisije, a povećavati odlivi stakleničkih plinova u RH. Unaprjeđenje i definiranje mjera zaštite šuma od požara treba činiti sastavni dio ove strategije.</w:t>
      </w:r>
      <w:r w:rsidRPr="0009177A" w:rsidDel="0009177A">
        <w:rPr>
          <w:rFonts w:cs="Arial"/>
        </w:rPr>
        <w:t xml:space="preserve"> </w:t>
      </w:r>
    </w:p>
    <w:p w14:paraId="7F8BF91D" w14:textId="424AE8D6" w:rsidR="00E6316B" w:rsidRPr="00840E2E" w:rsidRDefault="00E6316B" w:rsidP="00E6316B">
      <w:pPr>
        <w:rPr>
          <w:rFonts w:cs="Arial"/>
          <w:b/>
          <w:bCs/>
          <w:u w:val="single"/>
        </w:rPr>
      </w:pPr>
      <w:r w:rsidRPr="00840E2E">
        <w:rPr>
          <w:rFonts w:cs="Arial"/>
          <w:b/>
          <w:bCs/>
          <w:u w:val="single"/>
        </w:rPr>
        <w:t xml:space="preserve">LUF-2: </w:t>
      </w:r>
      <w:r w:rsidR="00C608A6" w:rsidRPr="00840E2E">
        <w:rPr>
          <w:rFonts w:cs="Arial"/>
          <w:b/>
          <w:bCs/>
          <w:u w:val="single"/>
        </w:rPr>
        <w:t>Akumulacija ugljika na površinama postojećih šuma</w:t>
      </w:r>
      <w:r w:rsidR="00C608A6" w:rsidRPr="00840E2E" w:rsidDel="00C608A6">
        <w:rPr>
          <w:rFonts w:cs="Arial"/>
          <w:b/>
          <w:bCs/>
          <w:u w:val="single"/>
        </w:rPr>
        <w:t xml:space="preserve"> </w:t>
      </w:r>
    </w:p>
    <w:p w14:paraId="418C86E1" w14:textId="23990657" w:rsidR="00F90664" w:rsidRPr="00024A39" w:rsidRDefault="00E6009B" w:rsidP="00F90664">
      <w:pPr>
        <w:rPr>
          <w:rFonts w:cs="Arial"/>
          <w:b/>
          <w:bCs/>
        </w:rPr>
      </w:pPr>
      <w:r>
        <w:rPr>
          <w:rFonts w:cs="Arial"/>
          <w:b/>
          <w:bCs/>
        </w:rPr>
        <w:t>E</w:t>
      </w:r>
      <w:r w:rsidR="00F90664" w:rsidRPr="00024A39">
        <w:rPr>
          <w:rFonts w:cs="Arial"/>
          <w:b/>
          <w:bCs/>
        </w:rPr>
        <w:t>konomska</w:t>
      </w:r>
      <w:r>
        <w:rPr>
          <w:rFonts w:cs="Arial"/>
          <w:b/>
          <w:bCs/>
        </w:rPr>
        <w:t xml:space="preserve"> </w:t>
      </w:r>
      <w:r w:rsidR="00F90664" w:rsidRPr="00024A39">
        <w:rPr>
          <w:rFonts w:cs="Arial"/>
          <w:b/>
          <w:bCs/>
        </w:rPr>
        <w:t>mjera; provedba: 2021</w:t>
      </w:r>
      <w:r w:rsidR="00F90664">
        <w:rPr>
          <w:rFonts w:cs="Arial"/>
          <w:b/>
          <w:bCs/>
        </w:rPr>
        <w:t>.</w:t>
      </w:r>
      <w:r w:rsidR="00F90664" w:rsidRPr="00024A39">
        <w:rPr>
          <w:rFonts w:cs="Arial"/>
          <w:b/>
          <w:bCs/>
        </w:rPr>
        <w:t>-2030.</w:t>
      </w:r>
    </w:p>
    <w:p w14:paraId="37E0B829" w14:textId="4803030F" w:rsidR="00E6316B" w:rsidRDefault="0018195C" w:rsidP="00E6316B">
      <w:pPr>
        <w:ind w:left="147"/>
        <w:rPr>
          <w:rFonts w:cs="Arial"/>
        </w:rPr>
      </w:pPr>
      <w:r w:rsidRPr="0018195C">
        <w:rPr>
          <w:rFonts w:cs="Arial"/>
        </w:rPr>
        <w:t>Provedba aktivnosti kojima se doprinosi povećanju sadržaja zalihe ugljika u šumama posebice u pohraništu biomase i provedbom kojih se osiguravaju uklanjanja u pojedinom razdoblju većima od onih definiranih referentnom razinom za šume (FRL). Ove aktivnosti su npr. obnova šuma, prevođenje sastojina u viši uzgojni oblik, odabir vrsta za popunjavanje i dr. Održavanjem odliva većeg od onoga definiranog po FRL-u osigurava se i povećanje emisijskih jedinica koje je moguće prenijeti u sektore izvan ETS-a</w:t>
      </w:r>
      <w:r w:rsidR="00B74AB5">
        <w:rPr>
          <w:rFonts w:cs="Arial"/>
        </w:rPr>
        <w:t>, kao</w:t>
      </w:r>
      <w:r w:rsidRPr="0018195C">
        <w:rPr>
          <w:rFonts w:cs="Arial"/>
        </w:rPr>
        <w:t xml:space="preserve"> i korištenje fleksibilnih mehanizama. U daljnjem razdoblju potrebna je ocjena učinkovitosti provedenih mjera i aktivnosti iz Programa ruralnog razvitka RH na smanjenje/zadržavanje emisija i povećanje/zadržavanje odliva stakleničkih plinova i izrada novih smjernica za daljnje gospodarenje u šumarskom i poljoprivrednom sektoru uz primjenu mjera za ublaženje i </w:t>
      </w:r>
      <w:r w:rsidRPr="0018195C">
        <w:rPr>
          <w:rFonts w:cs="Arial"/>
        </w:rPr>
        <w:lastRenderedPageBreak/>
        <w:t>prilagodbu na klimatske promjene. Potrebno je promovirati gospodarenje kategorijama zemljišta koje su korisne za klimu i okoliš, te izraditi smjernice daljnjeg razvoja temeljem znanja i iskustava stečenih provedbom ove mjere.</w:t>
      </w:r>
      <w:r w:rsidRPr="0018195C" w:rsidDel="0018195C">
        <w:rPr>
          <w:rFonts w:cs="Arial"/>
        </w:rPr>
        <w:t xml:space="preserve"> </w:t>
      </w:r>
    </w:p>
    <w:p w14:paraId="304F8CD0" w14:textId="10429727" w:rsidR="00E6316B" w:rsidRPr="00840E2E" w:rsidRDefault="00E6316B" w:rsidP="00E6316B">
      <w:pPr>
        <w:rPr>
          <w:rFonts w:cs="Arial"/>
          <w:b/>
          <w:bCs/>
          <w:u w:val="single"/>
        </w:rPr>
      </w:pPr>
      <w:r w:rsidRPr="00840E2E">
        <w:rPr>
          <w:rFonts w:cs="Arial"/>
          <w:b/>
          <w:bCs/>
          <w:u w:val="single"/>
        </w:rPr>
        <w:t xml:space="preserve">LUF-3: </w:t>
      </w:r>
      <w:r w:rsidR="00B8103F" w:rsidRPr="00840E2E">
        <w:rPr>
          <w:rFonts w:cs="Arial"/>
          <w:b/>
          <w:bCs/>
          <w:u w:val="single"/>
        </w:rPr>
        <w:t>Provedba radova pošumljavanja</w:t>
      </w:r>
      <w:r w:rsidR="00B8103F" w:rsidRPr="00840E2E" w:rsidDel="00B8103F">
        <w:rPr>
          <w:rFonts w:cs="Arial"/>
          <w:b/>
          <w:bCs/>
          <w:u w:val="single"/>
        </w:rPr>
        <w:t xml:space="preserve"> </w:t>
      </w:r>
    </w:p>
    <w:p w14:paraId="309BD085" w14:textId="62AC1B44" w:rsidR="00DA1D06" w:rsidRPr="00024A39" w:rsidRDefault="00DA1D06" w:rsidP="00DA1D06">
      <w:pPr>
        <w:rPr>
          <w:rFonts w:cs="Arial"/>
          <w:b/>
          <w:bCs/>
        </w:rPr>
      </w:pPr>
      <w:r>
        <w:rPr>
          <w:rFonts w:cs="Arial"/>
          <w:b/>
          <w:bCs/>
        </w:rPr>
        <w:t>E</w:t>
      </w:r>
      <w:r w:rsidRPr="00024A39">
        <w:rPr>
          <w:rFonts w:cs="Arial"/>
          <w:b/>
          <w:bCs/>
        </w:rPr>
        <w:t>konomska mjera; provedba: 2021</w:t>
      </w:r>
      <w:r>
        <w:rPr>
          <w:rFonts w:cs="Arial"/>
          <w:b/>
          <w:bCs/>
        </w:rPr>
        <w:t>.</w:t>
      </w:r>
      <w:r w:rsidRPr="00024A39">
        <w:rPr>
          <w:rFonts w:cs="Arial"/>
          <w:b/>
          <w:bCs/>
        </w:rPr>
        <w:t>-2030.</w:t>
      </w:r>
    </w:p>
    <w:p w14:paraId="212B25C8" w14:textId="563B814D" w:rsidR="002F17E0" w:rsidRDefault="002F17E0">
      <w:pPr>
        <w:ind w:left="147"/>
      </w:pPr>
      <w:r w:rsidRPr="002F17E0">
        <w:t>Pošumljavanje na površinama koje nisu šumske (u smislu IPCC metodologije), predstavlja aktivnost koja generira odlive. Republika Hrvatska zbog propisa iz područja zaštite prirode kojima se regulira uspostava Natura 2000 područja nije u mogućnosti raspolagati svim površinama travnjaka (prema nacionalnom propisu: neobraslog proizvodnog šumskog zemljišta) za potrebe pošumljavanja. S obzirom da u Republici Hrvatskoj postoje poljoprivredne površine na kojima se ne odvija proizvodnja i koje su dugi niz godina zapuštene, prilikom izrade Strategije upravljanja zemljištem problem ovih površina mora biti odgovarajuće adresiran. Potrebno je ocijeniti opravdanost prenamjene ovih površina u šumske površine provedbom pošumljavanja. Ovdje treba uzeti u obzir da prilikom obračunavanja odliva na prenamijenjenim površinama zbog pošumljavanja ne postoji ograničenje u primjeni količine odliva, te da se ovi odlivi uzimaju u potpunosti u obzir kod obračunavanja. Potreba je i ocjena učinaka pošumljavanja dodatnog neobraslog, proizvodnog šumskog zemljišta na ispunjavanje obaveza RH povezanih s korištenjem obnovljivih izvora energije. Potrebno je izraditi smjernice daljnjeg razvoja temeljem znanja i iskustava stečenih provedbom aktivnosti pošumljavanja. U slučaju uvođenja mjere pošumljavanja na zapuštenom poljoprivrednom zemljištu, mjera će zahtijevati jačanje sjemenarstva i rasadničarske službe u šumarskom sektoru i uzgoj sadnog materijala potrebnog za provedbu ovih radova.</w:t>
      </w:r>
    </w:p>
    <w:p w14:paraId="4118F2A4" w14:textId="657CC000" w:rsidR="002F17E0" w:rsidRPr="00840E2E" w:rsidRDefault="002F17E0" w:rsidP="002F17E0">
      <w:pPr>
        <w:rPr>
          <w:rFonts w:cs="Arial"/>
          <w:b/>
          <w:bCs/>
          <w:u w:val="single"/>
        </w:rPr>
      </w:pPr>
      <w:r w:rsidRPr="00840E2E">
        <w:rPr>
          <w:rFonts w:cs="Arial"/>
          <w:b/>
          <w:bCs/>
          <w:u w:val="single"/>
        </w:rPr>
        <w:t>LUF-</w:t>
      </w:r>
      <w:r w:rsidR="00D5149B" w:rsidRPr="00840E2E">
        <w:rPr>
          <w:rFonts w:cs="Arial"/>
          <w:b/>
          <w:bCs/>
          <w:u w:val="single"/>
        </w:rPr>
        <w:t>4</w:t>
      </w:r>
      <w:r w:rsidRPr="00840E2E">
        <w:rPr>
          <w:rFonts w:cs="Arial"/>
          <w:b/>
          <w:bCs/>
          <w:u w:val="single"/>
        </w:rPr>
        <w:t xml:space="preserve">: </w:t>
      </w:r>
      <w:r w:rsidR="005D6F10" w:rsidRPr="00840E2E">
        <w:rPr>
          <w:rFonts w:cs="Arial"/>
          <w:b/>
          <w:bCs/>
          <w:u w:val="single"/>
        </w:rPr>
        <w:t>Proizvodnja i uporaba drva i drvnih proizvoda</w:t>
      </w:r>
      <w:r w:rsidR="00622DB1">
        <w:rPr>
          <w:rFonts w:cs="Arial"/>
          <w:b/>
          <w:bCs/>
          <w:u w:val="single"/>
        </w:rPr>
        <w:t xml:space="preserve"> </w:t>
      </w:r>
    </w:p>
    <w:p w14:paraId="7B7E7C9C" w14:textId="70D9BDE0" w:rsidR="00227422" w:rsidRPr="00024A39" w:rsidRDefault="00227422" w:rsidP="00227422">
      <w:pPr>
        <w:rPr>
          <w:rFonts w:cs="Arial"/>
          <w:b/>
          <w:bCs/>
        </w:rPr>
      </w:pPr>
      <w:r w:rsidRPr="00024A39">
        <w:rPr>
          <w:rFonts w:cs="Arial"/>
          <w:b/>
          <w:bCs/>
        </w:rPr>
        <w:t>Regulatorna, ekonomska,</w:t>
      </w:r>
      <w:r w:rsidR="00536364">
        <w:rPr>
          <w:rFonts w:cs="Arial"/>
          <w:b/>
          <w:bCs/>
        </w:rPr>
        <w:t xml:space="preserve"> obrazovna,</w:t>
      </w:r>
      <w:r w:rsidRPr="00024A39">
        <w:rPr>
          <w:rFonts w:cs="Arial"/>
          <w:b/>
          <w:bCs/>
        </w:rPr>
        <w:t xml:space="preserve"> </w:t>
      </w:r>
      <w:r>
        <w:rPr>
          <w:rFonts w:cs="Arial"/>
          <w:b/>
          <w:bCs/>
        </w:rPr>
        <w:t>informacijska</w:t>
      </w:r>
      <w:r w:rsidRPr="00024A39">
        <w:rPr>
          <w:rFonts w:cs="Arial"/>
          <w:b/>
          <w:bCs/>
        </w:rPr>
        <w:t xml:space="preserve"> mjera; provedba: 2021</w:t>
      </w:r>
      <w:r>
        <w:rPr>
          <w:rFonts w:cs="Arial"/>
          <w:b/>
          <w:bCs/>
        </w:rPr>
        <w:t>.</w:t>
      </w:r>
      <w:r w:rsidRPr="00024A39">
        <w:rPr>
          <w:rFonts w:cs="Arial"/>
          <w:b/>
          <w:bCs/>
        </w:rPr>
        <w:t>-2030.</w:t>
      </w:r>
    </w:p>
    <w:p w14:paraId="04F188C7" w14:textId="5FC93E63" w:rsidR="002F17E0" w:rsidRDefault="000D6F26" w:rsidP="00840E2E">
      <w:pPr>
        <w:ind w:left="142"/>
      </w:pPr>
      <w:r w:rsidRPr="000D6F26">
        <w:t>Harmonizacijom dostupnih podataka i statističkih izvješća, te novim istraživanjima usuglasiti informacije kojima se raspolaže za potrebe različitih izvještavanja prema međunarodnim organizacijama u cilju što točnijeg, transparentnijeg i kvalitetnog izvješćivanja, ali i stvaranja harmoniziranih podloga za donošenje srednjoročnih i dugoročnih strategija u šumarskom i drvoprerađivačkom sektoru. Podrazumijeva se mapiranje šumarske i drvne industrijske proizvodnje. Poticati korištenje drvnih proizvoda u tradicionalnim i novim proizvodima u cilju povećavanja odliva i smanjenja emisija stakleničkih plinova u pohraništu drvnih proizvoda. Navedeno zahtjeva i regulacija izvoza neobrađenog i poluobrađenog drva što potiče razvoj domaće drvne industrije, a regulacija izvoza energetskog drva povećava udio proizvodnje energije iz obnovljivih izvora čime se ispunjavaju preuzete međunarodne obveze. Potrebno je promovirati aktivnosti kojima se generiraju odlivi</w:t>
      </w:r>
      <w:r w:rsidR="00622DB1">
        <w:t xml:space="preserve"> </w:t>
      </w:r>
      <w:r w:rsidRPr="000D6F26">
        <w:t>te koje osiguravaju da se drvni proizvodi i drvo za energetske svrhe koriste na načine koji doprinose ispunjavanju oba cilja EU do 2030. godine (smanjenju emisija i povećanju udjela obnovljivih izvora u ukupnoj potrošnji energije) te su korisne za klimu i okoliš. Potrebno je izraditi smjernice daljnjeg razvoja temeljem znanja i iskustava stečenih provedbom ove mjere.</w:t>
      </w:r>
    </w:p>
    <w:p w14:paraId="66388902" w14:textId="51F723A2" w:rsidR="00D5149B" w:rsidRPr="00840E2E" w:rsidRDefault="00D5149B" w:rsidP="00D5149B">
      <w:pPr>
        <w:rPr>
          <w:rFonts w:cs="Arial"/>
          <w:b/>
          <w:bCs/>
          <w:u w:val="single"/>
        </w:rPr>
      </w:pPr>
      <w:r w:rsidRPr="00840E2E">
        <w:rPr>
          <w:rFonts w:cs="Arial"/>
          <w:b/>
          <w:bCs/>
          <w:u w:val="single"/>
        </w:rPr>
        <w:lastRenderedPageBreak/>
        <w:t>LUF-</w:t>
      </w:r>
      <w:r w:rsidR="000D6F26" w:rsidRPr="00840E2E">
        <w:rPr>
          <w:rFonts w:cs="Arial"/>
          <w:b/>
          <w:bCs/>
          <w:u w:val="single"/>
        </w:rPr>
        <w:t>5</w:t>
      </w:r>
      <w:r w:rsidRPr="00840E2E">
        <w:rPr>
          <w:rFonts w:cs="Arial"/>
          <w:b/>
          <w:bCs/>
          <w:u w:val="single"/>
        </w:rPr>
        <w:t xml:space="preserve">: </w:t>
      </w:r>
      <w:r w:rsidR="00DA53E0" w:rsidRPr="00840E2E">
        <w:rPr>
          <w:rFonts w:cs="Arial"/>
          <w:b/>
          <w:bCs/>
          <w:u w:val="single"/>
        </w:rPr>
        <w:t>Gospodarenje poljoprivrednim zemljištem</w:t>
      </w:r>
      <w:r w:rsidR="00DA53E0" w:rsidRPr="00840E2E" w:rsidDel="00DA53E0">
        <w:rPr>
          <w:rFonts w:cs="Arial"/>
          <w:b/>
          <w:bCs/>
          <w:u w:val="single"/>
        </w:rPr>
        <w:t xml:space="preserve"> </w:t>
      </w:r>
    </w:p>
    <w:p w14:paraId="684F2F23" w14:textId="38EF096C" w:rsidR="00AE75B1" w:rsidRPr="00024A39" w:rsidRDefault="00AE75B1" w:rsidP="00AE75B1">
      <w:pPr>
        <w:rPr>
          <w:rFonts w:cs="Arial"/>
          <w:b/>
          <w:bCs/>
        </w:rPr>
      </w:pPr>
      <w:r>
        <w:rPr>
          <w:rFonts w:cs="Arial"/>
          <w:b/>
          <w:bCs/>
        </w:rPr>
        <w:t>E</w:t>
      </w:r>
      <w:r w:rsidRPr="00024A39">
        <w:rPr>
          <w:rFonts w:cs="Arial"/>
          <w:b/>
          <w:bCs/>
        </w:rPr>
        <w:t>konomska mjera; provedba: 2021</w:t>
      </w:r>
      <w:r>
        <w:rPr>
          <w:rFonts w:cs="Arial"/>
          <w:b/>
          <w:bCs/>
        </w:rPr>
        <w:t>.</w:t>
      </w:r>
      <w:r w:rsidRPr="00024A39">
        <w:rPr>
          <w:rFonts w:cs="Arial"/>
          <w:b/>
          <w:bCs/>
        </w:rPr>
        <w:t>-2030.</w:t>
      </w:r>
    </w:p>
    <w:p w14:paraId="21ECF71B" w14:textId="36992234" w:rsidR="00D5149B" w:rsidRDefault="005E71ED" w:rsidP="00D5149B">
      <w:pPr>
        <w:ind w:left="142"/>
      </w:pPr>
      <w:r w:rsidRPr="005E71ED">
        <w:t>Provedbom aktivnosti u gospodarenju površinama za poljoprivrednu proizvodnju na način koji doprinosi smanjenju emisijskog faktora od interesa je za</w:t>
      </w:r>
      <w:r w:rsidR="00622DB1">
        <w:t xml:space="preserve"> </w:t>
      </w:r>
      <w:r w:rsidRPr="005E71ED">
        <w:t>obiteljska poljoprivredna gospodarstava s obzirom da je CAP uredbama EK-a visina poticaja veća ukoliko je emisijski faktor zbog načina gospodarenja ovim površinama niži. Prakse gospodarenja ovim površinama koje mogu imati utjecaja na emisije i odlive u primjerice u pohraništu tla su: načini obrade tla, životni vijek nasada/usjeva (rotacijsko razdoblje) i tip usjeva/nasada, primjena gnojiva, gospodarenje ostacima, kontrola erozije, primjena sustava navodnjavanja i dr. Potrebno je promovirati aktivnosti na način koristan za klimu i okoliš, te izraditi smjernice daljnjeg razvoja temeljem znanja i iskustava stečenih provedbom ove mjere.</w:t>
      </w:r>
    </w:p>
    <w:p w14:paraId="1AD0976F" w14:textId="0F6D4011" w:rsidR="00D5149B" w:rsidRPr="00840E2E" w:rsidRDefault="00D5149B" w:rsidP="00D5149B">
      <w:pPr>
        <w:rPr>
          <w:rFonts w:cs="Arial"/>
          <w:b/>
          <w:bCs/>
          <w:u w:val="single"/>
        </w:rPr>
      </w:pPr>
      <w:r w:rsidRPr="00840E2E">
        <w:rPr>
          <w:rFonts w:cs="Arial"/>
          <w:b/>
          <w:bCs/>
          <w:u w:val="single"/>
        </w:rPr>
        <w:t>LUF-</w:t>
      </w:r>
      <w:r w:rsidR="005E71ED" w:rsidRPr="00840E2E">
        <w:rPr>
          <w:rFonts w:cs="Arial"/>
          <w:b/>
          <w:bCs/>
          <w:u w:val="single"/>
        </w:rPr>
        <w:t>6</w:t>
      </w:r>
      <w:r w:rsidRPr="00840E2E">
        <w:rPr>
          <w:rFonts w:cs="Arial"/>
          <w:b/>
          <w:bCs/>
          <w:u w:val="single"/>
        </w:rPr>
        <w:t xml:space="preserve">: </w:t>
      </w:r>
      <w:r w:rsidR="00383D05" w:rsidRPr="00840E2E">
        <w:rPr>
          <w:rFonts w:cs="Arial"/>
          <w:b/>
          <w:bCs/>
          <w:u w:val="single"/>
        </w:rPr>
        <w:t>Gospodarenje pašnjacima</w:t>
      </w:r>
      <w:r w:rsidR="00383D05" w:rsidRPr="00840E2E" w:rsidDel="00383D05">
        <w:rPr>
          <w:rFonts w:cs="Arial"/>
          <w:b/>
          <w:bCs/>
          <w:u w:val="single"/>
        </w:rPr>
        <w:t xml:space="preserve"> </w:t>
      </w:r>
    </w:p>
    <w:p w14:paraId="64F02C61" w14:textId="46D50199" w:rsidR="00406113" w:rsidRPr="00024A39" w:rsidRDefault="00406113" w:rsidP="00406113">
      <w:pPr>
        <w:rPr>
          <w:rFonts w:cs="Arial"/>
          <w:b/>
          <w:bCs/>
        </w:rPr>
      </w:pPr>
      <w:r>
        <w:rPr>
          <w:rFonts w:cs="Arial"/>
          <w:b/>
          <w:bCs/>
        </w:rPr>
        <w:t>E</w:t>
      </w:r>
      <w:r w:rsidRPr="00024A39">
        <w:rPr>
          <w:rFonts w:cs="Arial"/>
          <w:b/>
          <w:bCs/>
        </w:rPr>
        <w:t>konomska mjera; provedba: 2021</w:t>
      </w:r>
      <w:r>
        <w:rPr>
          <w:rFonts w:cs="Arial"/>
          <w:b/>
          <w:bCs/>
        </w:rPr>
        <w:t>.</w:t>
      </w:r>
      <w:r w:rsidRPr="00024A39">
        <w:rPr>
          <w:rFonts w:cs="Arial"/>
          <w:b/>
          <w:bCs/>
        </w:rPr>
        <w:t>-2030.</w:t>
      </w:r>
    </w:p>
    <w:p w14:paraId="4F4E41E2" w14:textId="610B5DF8" w:rsidR="00D5149B" w:rsidRDefault="00201B7F" w:rsidP="00D5149B">
      <w:pPr>
        <w:ind w:left="142"/>
      </w:pPr>
      <w:r w:rsidRPr="00201B7F">
        <w:t>Provedbom aktivnosti u gospodarenju pašnjacima na način koji doprinosi smanjenju emisijskog faktora od interesa je za</w:t>
      </w:r>
      <w:r w:rsidR="00622DB1">
        <w:t xml:space="preserve"> </w:t>
      </w:r>
      <w:r w:rsidRPr="00201B7F">
        <w:t>obiteljska poljoprivredna gospodarstva s obzirom da je CAP uredbama EK-a visina poticaja veća ukoliko je emisijski faktor zbog načina gospodarenja ovim površinama niži. Potrebno je promovirati aktivnosti na način koristan za klimu i okoliš, te izraditi smjernice daljnjeg razvoja temeljem znanja i iskustava stečenih provedbom ove mjere.</w:t>
      </w:r>
    </w:p>
    <w:p w14:paraId="08425CA9" w14:textId="015AF623" w:rsidR="00D5149B" w:rsidRPr="00840E2E" w:rsidRDefault="00D5149B" w:rsidP="00D5149B">
      <w:pPr>
        <w:rPr>
          <w:rFonts w:cs="Arial"/>
          <w:b/>
          <w:bCs/>
          <w:u w:val="single"/>
        </w:rPr>
      </w:pPr>
      <w:r w:rsidRPr="00840E2E">
        <w:rPr>
          <w:rFonts w:cs="Arial"/>
          <w:b/>
          <w:bCs/>
          <w:u w:val="single"/>
        </w:rPr>
        <w:t>LUF-</w:t>
      </w:r>
      <w:r w:rsidR="007E1330" w:rsidRPr="00840E2E">
        <w:rPr>
          <w:rFonts w:cs="Arial"/>
          <w:b/>
          <w:bCs/>
          <w:u w:val="single"/>
        </w:rPr>
        <w:t>7</w:t>
      </w:r>
      <w:r w:rsidRPr="00840E2E">
        <w:rPr>
          <w:rFonts w:cs="Arial"/>
          <w:b/>
          <w:bCs/>
          <w:u w:val="single"/>
        </w:rPr>
        <w:t xml:space="preserve">: </w:t>
      </w:r>
      <w:r w:rsidR="007E1330" w:rsidRPr="00840E2E">
        <w:rPr>
          <w:rFonts w:cs="Arial"/>
          <w:b/>
          <w:bCs/>
          <w:u w:val="single"/>
        </w:rPr>
        <w:t xml:space="preserve">Provedba tehničkih projekata i znanstvenih istraživanja u LULUCF sektoru </w:t>
      </w:r>
    </w:p>
    <w:p w14:paraId="74E985E6" w14:textId="62C16EB7" w:rsidR="00D5149B" w:rsidRDefault="000A0149" w:rsidP="00D5149B">
      <w:pPr>
        <w:ind w:left="142"/>
      </w:pPr>
      <w:r w:rsidRPr="000A0149">
        <w:t>U</w:t>
      </w:r>
      <w:r w:rsidR="00622DB1">
        <w:t xml:space="preserve"> </w:t>
      </w:r>
      <w:r w:rsidRPr="000A0149">
        <w:t>razdoblju do 2030. i 2050. godinu nužno je osigurati financijska sredstva za provedbu tehničkih i znanstvenih projekata u LULUCF sektoru. Znanstvenim projektima treba se omogućiti razvoj različitih modela za potrebe prelaska na višu razinu IPCC metodologije (Tier 3) s ciljem što točnijeg utvrđivanja emisija/odliva stakleničkih plinova i posljedično planiranja mjera za smanjenje emisija i povećanje odliva.</w:t>
      </w:r>
    </w:p>
    <w:p w14:paraId="76D9D556" w14:textId="47E1A03B" w:rsidR="00E6316B" w:rsidRDefault="00E6316B">
      <w:pPr>
        <w:ind w:left="147"/>
        <w:rPr>
          <w:rFonts w:cs="Arial"/>
        </w:rPr>
      </w:pPr>
    </w:p>
    <w:p w14:paraId="281A0C32" w14:textId="31CC3305" w:rsidR="008C64D1" w:rsidRDefault="008C64D1" w:rsidP="008C64D1">
      <w:pPr>
        <w:suppressAutoHyphens w:val="0"/>
        <w:spacing w:after="160" w:line="259" w:lineRule="auto"/>
      </w:pPr>
      <w:r>
        <w:t xml:space="preserve">U nastavku su prikazane mjere vezane za </w:t>
      </w:r>
      <w:r w:rsidR="00815FD4">
        <w:rPr>
          <w:b/>
        </w:rPr>
        <w:t>smanjenje f</w:t>
      </w:r>
      <w:r>
        <w:rPr>
          <w:b/>
        </w:rPr>
        <w:t>ugitivn</w:t>
      </w:r>
      <w:r w:rsidR="00815FD4">
        <w:rPr>
          <w:b/>
        </w:rPr>
        <w:t>ih</w:t>
      </w:r>
      <w:r>
        <w:rPr>
          <w:b/>
        </w:rPr>
        <w:t xml:space="preserve"> emisij</w:t>
      </w:r>
      <w:r w:rsidR="00815FD4">
        <w:rPr>
          <w:b/>
        </w:rPr>
        <w:t>a</w:t>
      </w:r>
      <w:r>
        <w:t>.</w:t>
      </w:r>
    </w:p>
    <w:p w14:paraId="6F83064E" w14:textId="01CE200F" w:rsidR="00815FD4" w:rsidRPr="00840E2E" w:rsidRDefault="00815FD4" w:rsidP="00815FD4">
      <w:pPr>
        <w:rPr>
          <w:rFonts w:cs="Arial"/>
          <w:b/>
          <w:bCs/>
          <w:u w:val="single"/>
        </w:rPr>
      </w:pPr>
      <w:r w:rsidRPr="00840E2E">
        <w:rPr>
          <w:rFonts w:cs="Arial"/>
          <w:b/>
          <w:bCs/>
          <w:u w:val="single"/>
        </w:rPr>
        <w:t xml:space="preserve">FUG-1: </w:t>
      </w:r>
      <w:r w:rsidR="00F918E8" w:rsidRPr="00840E2E">
        <w:rPr>
          <w:rFonts w:cs="Arial"/>
          <w:b/>
          <w:bCs/>
          <w:u w:val="single"/>
        </w:rPr>
        <w:t>Modernizacija rafinerija</w:t>
      </w:r>
      <w:r w:rsidR="00F918E8" w:rsidRPr="00840E2E" w:rsidDel="00F918E8">
        <w:rPr>
          <w:rFonts w:cs="Arial"/>
          <w:b/>
          <w:bCs/>
          <w:u w:val="single"/>
        </w:rPr>
        <w:t xml:space="preserve"> </w:t>
      </w:r>
    </w:p>
    <w:p w14:paraId="1C73EC75" w14:textId="3275B895" w:rsidR="00F918E8" w:rsidRDefault="00F918E8" w:rsidP="005E2B53">
      <w:pPr>
        <w:ind w:left="147"/>
        <w:rPr>
          <w:rFonts w:cs="Arial"/>
        </w:rPr>
      </w:pPr>
      <w:r w:rsidRPr="00F918E8">
        <w:rPr>
          <w:rFonts w:cs="Arial"/>
        </w:rPr>
        <w:t>Provedba investicija u modernizaciju i unaprjeđenje proizvodnje kako bi se održala konkurentnost rafinerija</w:t>
      </w:r>
      <w:r w:rsidR="00A33FEF">
        <w:rPr>
          <w:rFonts w:cs="Arial"/>
        </w:rPr>
        <w:t xml:space="preserve"> i smanjile fugitivne emisije iz rafinerija</w:t>
      </w:r>
      <w:r w:rsidRPr="00F918E8">
        <w:rPr>
          <w:rFonts w:cs="Arial"/>
        </w:rPr>
        <w:t xml:space="preserve">. </w:t>
      </w:r>
    </w:p>
    <w:p w14:paraId="40BDB689" w14:textId="62472D01" w:rsidR="00F918E8" w:rsidRPr="00840E2E" w:rsidRDefault="00F918E8" w:rsidP="00F918E8">
      <w:pPr>
        <w:rPr>
          <w:rFonts w:cs="Arial"/>
          <w:b/>
          <w:bCs/>
          <w:u w:val="single"/>
        </w:rPr>
      </w:pPr>
      <w:r w:rsidRPr="00840E2E">
        <w:rPr>
          <w:rFonts w:cs="Arial"/>
          <w:b/>
          <w:bCs/>
          <w:u w:val="single"/>
        </w:rPr>
        <w:t xml:space="preserve">FUG-2: </w:t>
      </w:r>
      <w:r w:rsidR="00A74F7B" w:rsidRPr="00840E2E">
        <w:rPr>
          <w:rFonts w:cs="Arial"/>
          <w:b/>
          <w:bCs/>
          <w:u w:val="single"/>
        </w:rPr>
        <w:t>Mjere povećanja energetske učinkovitosti unapređenjem procesa i procesnih jedinica</w:t>
      </w:r>
      <w:r w:rsidR="00622DB1">
        <w:rPr>
          <w:rFonts w:cs="Arial"/>
          <w:b/>
          <w:bCs/>
          <w:u w:val="single"/>
        </w:rPr>
        <w:t xml:space="preserve"> </w:t>
      </w:r>
    </w:p>
    <w:p w14:paraId="49106DDA" w14:textId="45A28C89" w:rsidR="00F918E8" w:rsidRPr="006879E0" w:rsidRDefault="003B3BC4" w:rsidP="00840E2E">
      <w:pPr>
        <w:suppressAutoHyphens w:val="0"/>
        <w:ind w:left="142"/>
        <w:contextualSpacing/>
        <w:rPr>
          <w:rFonts w:cs="Arial"/>
        </w:rPr>
      </w:pPr>
      <w:r w:rsidRPr="003B3BC4">
        <w:rPr>
          <w:rFonts w:cs="Arial"/>
        </w:rPr>
        <w:t xml:space="preserve">Povećanje energetske učinkovitosti postiže se provođenjem mjera koje doprinose smanjenju energetske intenzivnosti putem racionalnijeg korištenja energije i sirovina i izmjenama </w:t>
      </w:r>
      <w:r w:rsidRPr="003B3BC4">
        <w:rPr>
          <w:rFonts w:cs="Arial"/>
        </w:rPr>
        <w:lastRenderedPageBreak/>
        <w:t>proizvodnih procesa i opreme na crpnim stanicama i u rafinerijama što doprinosi smanjenju fugitivnih emisija</w:t>
      </w:r>
      <w:r w:rsidR="00F918E8" w:rsidRPr="00F918E8">
        <w:rPr>
          <w:rFonts w:cs="Arial"/>
        </w:rPr>
        <w:t xml:space="preserve">. </w:t>
      </w:r>
    </w:p>
    <w:p w14:paraId="753DF2C9" w14:textId="2C947C8A" w:rsidR="003B3BC4" w:rsidRPr="00840E2E" w:rsidRDefault="003B3BC4" w:rsidP="003B3BC4">
      <w:pPr>
        <w:rPr>
          <w:rFonts w:cs="Arial"/>
          <w:b/>
          <w:bCs/>
          <w:u w:val="single"/>
        </w:rPr>
      </w:pPr>
      <w:r w:rsidRPr="00840E2E">
        <w:rPr>
          <w:rFonts w:cs="Arial"/>
          <w:b/>
          <w:bCs/>
          <w:u w:val="single"/>
        </w:rPr>
        <w:t xml:space="preserve">FUG-3: </w:t>
      </w:r>
      <w:r w:rsidR="00CA0369" w:rsidRPr="00840E2E">
        <w:rPr>
          <w:rFonts w:cs="Arial"/>
          <w:b/>
          <w:bCs/>
          <w:u w:val="single"/>
        </w:rPr>
        <w:t>Spaljivanje metana na baklji</w:t>
      </w:r>
    </w:p>
    <w:p w14:paraId="6497FE6E" w14:textId="74F6927A" w:rsidR="003B3BC4" w:rsidRPr="006879E0" w:rsidRDefault="00694A27" w:rsidP="00840E2E">
      <w:pPr>
        <w:suppressAutoHyphens w:val="0"/>
        <w:ind w:left="142"/>
        <w:contextualSpacing/>
        <w:rPr>
          <w:rFonts w:cs="Arial"/>
        </w:rPr>
      </w:pPr>
      <w:r w:rsidRPr="00694A27">
        <w:rPr>
          <w:rFonts w:cs="Arial"/>
        </w:rPr>
        <w:t>S ciljem smanjenja fugitivnih emisija, umjesto otplinjavnja metana, metan se spaljuje na baklji. Na taj način se emisije metana smanjuju za 95-99% ovisno o učinkovitosti baklji.</w:t>
      </w:r>
    </w:p>
    <w:p w14:paraId="5A4268DC" w14:textId="77777777" w:rsidR="00F918E8" w:rsidRPr="005E2B53" w:rsidRDefault="00F918E8" w:rsidP="00840E2E">
      <w:pPr>
        <w:suppressAutoHyphens w:val="0"/>
        <w:spacing w:after="160" w:line="259" w:lineRule="auto"/>
        <w:ind w:left="142"/>
        <w:contextualSpacing/>
        <w:jc w:val="left"/>
        <w:rPr>
          <w:rFonts w:cs="Arial"/>
        </w:rPr>
      </w:pPr>
    </w:p>
    <w:p w14:paraId="47E880A3" w14:textId="77777777" w:rsidR="00D32E4E" w:rsidRPr="000B3E88" w:rsidRDefault="00D32E4E" w:rsidP="00840E2E">
      <w:pPr>
        <w:pStyle w:val="Heading3"/>
        <w:numPr>
          <w:ilvl w:val="0"/>
          <w:numId w:val="67"/>
        </w:numPr>
      </w:pPr>
      <w:r w:rsidRPr="000B3E88">
        <w:t>Regionalna suradnja u ovom području</w:t>
      </w:r>
    </w:p>
    <w:p w14:paraId="548ECEA8" w14:textId="4A89E673" w:rsidR="00704213" w:rsidRDefault="00704213" w:rsidP="00223709">
      <w:pPr>
        <w:suppressAutoHyphens w:val="0"/>
      </w:pPr>
      <w:r>
        <w:t>Na regionalnoj radionici održanoj u Ljubljani u srpnju 2019. godine, kao teme za regionalnu suradnju u okviru dimenzije dekarbonizacija</w:t>
      </w:r>
      <w:r w:rsidR="00710C1A">
        <w:t>/emisije i uklanjanja stakleničkih plinova</w:t>
      </w:r>
      <w:r>
        <w:t xml:space="preserve"> predloženo je</w:t>
      </w:r>
    </w:p>
    <w:p w14:paraId="2789188B" w14:textId="18344CB3" w:rsidR="00704213" w:rsidRDefault="00704213" w:rsidP="00840E2E">
      <w:pPr>
        <w:pStyle w:val="ListParagraph"/>
        <w:numPr>
          <w:ilvl w:val="0"/>
          <w:numId w:val="103"/>
        </w:numPr>
        <w:suppressAutoHyphens w:val="0"/>
      </w:pPr>
      <w:r>
        <w:t>zajednički razvoj dijelova nacionalnih strategija prilagodbi klimatskim promjenama (primjerice, za jadransku regiju)</w:t>
      </w:r>
      <w:r w:rsidR="00A851EE">
        <w:t>,</w:t>
      </w:r>
    </w:p>
    <w:p w14:paraId="38841FA8" w14:textId="296F2E45" w:rsidR="00704213" w:rsidRDefault="00704213" w:rsidP="00840E2E">
      <w:pPr>
        <w:pStyle w:val="ListParagraph"/>
        <w:numPr>
          <w:ilvl w:val="0"/>
          <w:numId w:val="103"/>
        </w:numPr>
        <w:suppressAutoHyphens w:val="0"/>
      </w:pPr>
      <w:r>
        <w:t>zajedničko upravljanje vodenim tokovima</w:t>
      </w:r>
      <w:r w:rsidR="00A851EE">
        <w:t>,</w:t>
      </w:r>
    </w:p>
    <w:p w14:paraId="2B29B150" w14:textId="49BADF25" w:rsidR="00704213" w:rsidRDefault="00704213" w:rsidP="00840E2E">
      <w:pPr>
        <w:pStyle w:val="ListParagraph"/>
        <w:numPr>
          <w:ilvl w:val="0"/>
          <w:numId w:val="103"/>
        </w:numPr>
        <w:suppressAutoHyphens w:val="0"/>
      </w:pPr>
      <w:r>
        <w:t>zajednička izrada karte tla</w:t>
      </w:r>
      <w:r w:rsidR="00A851EE">
        <w:t xml:space="preserve"> (relevantno za uzgoj biomase u nepreh</w:t>
      </w:r>
      <w:r w:rsidR="00E0566D">
        <w:t>r</w:t>
      </w:r>
      <w:r w:rsidR="00A851EE">
        <w:t>ambene svrhe i za praćenje sadržaja ugljika u tlu)</w:t>
      </w:r>
      <w:r w:rsidR="007C54FB">
        <w:t>,</w:t>
      </w:r>
    </w:p>
    <w:p w14:paraId="49341FB9" w14:textId="1D554BB1" w:rsidR="003523B2" w:rsidRDefault="003523B2" w:rsidP="00840E2E">
      <w:pPr>
        <w:pStyle w:val="ListParagraph"/>
        <w:numPr>
          <w:ilvl w:val="0"/>
          <w:numId w:val="103"/>
        </w:numPr>
        <w:suppressAutoHyphens w:val="0"/>
      </w:pPr>
      <w:r>
        <w:t>znanstvena suradnja u istraživanu vodika, uklanjanju i skladištenju stakleničkih plinova</w:t>
      </w:r>
    </w:p>
    <w:p w14:paraId="4DCDF38C" w14:textId="68E5DFA0" w:rsidR="007C54FB" w:rsidRDefault="007C54FB" w:rsidP="00840E2E">
      <w:pPr>
        <w:pStyle w:val="ListParagraph"/>
        <w:numPr>
          <w:ilvl w:val="0"/>
          <w:numId w:val="103"/>
        </w:numPr>
        <w:suppressAutoHyphens w:val="0"/>
      </w:pPr>
      <w:r>
        <w:t xml:space="preserve">razmjena iskustava </w:t>
      </w:r>
      <w:r w:rsidR="007A544F">
        <w:t>povezanih za emisije i uklanjanja stakleničkih plinova te prilagodbu klimatskim promjenama.</w:t>
      </w:r>
    </w:p>
    <w:p w14:paraId="2C3449E0" w14:textId="7D60F177" w:rsidR="162EEC62" w:rsidRPr="00286B4C" w:rsidRDefault="00DB3C8E" w:rsidP="00286B4C">
      <w:pPr>
        <w:suppressAutoHyphens w:val="0"/>
        <w:rPr>
          <w:rFonts w:eastAsia="Arial" w:cs="Arial"/>
          <w:sz w:val="21"/>
          <w:szCs w:val="21"/>
        </w:rPr>
      </w:pPr>
      <w:r>
        <w:t>Države koje sudjeluju u</w:t>
      </w:r>
      <w:r w:rsidR="00702F6E">
        <w:t xml:space="preserve"> neformalnoj</w:t>
      </w:r>
      <w:r>
        <w:t xml:space="preserve"> regionalnoj koordinaciji razmatraju iznesene prijedloge</w:t>
      </w:r>
      <w:r w:rsidR="00B21482">
        <w:t xml:space="preserve"> te će dogovoriti naredne korake.</w:t>
      </w:r>
    </w:p>
    <w:p w14:paraId="512A375C" w14:textId="77777777" w:rsidR="000915D2" w:rsidRPr="000B3E88" w:rsidRDefault="000915D2" w:rsidP="00840E2E">
      <w:pPr>
        <w:pStyle w:val="Heading3"/>
        <w:numPr>
          <w:ilvl w:val="0"/>
          <w:numId w:val="67"/>
        </w:numPr>
      </w:pPr>
      <w:r w:rsidRPr="000B3E88">
        <w:t>Ne dovodeći u pitanje primjenjivost pravila o državnoj potpori, financijske mjere u ovom području na nacionalnoj razini, uključujući potporu EU-a i upotrebu sredstava EU-a, ako je primjenjivo</w:t>
      </w:r>
    </w:p>
    <w:p w14:paraId="1460F88B" w14:textId="1B8CA3C7" w:rsidR="00CE261E" w:rsidRDefault="00CE261E" w:rsidP="00BF01A9">
      <w:pPr>
        <w:suppressAutoHyphens w:val="0"/>
        <w:spacing w:after="160" w:line="259" w:lineRule="auto"/>
        <w:contextualSpacing/>
      </w:pPr>
    </w:p>
    <w:p w14:paraId="159C13CA" w14:textId="7BB0C110" w:rsidR="00DD3572" w:rsidRDefault="006E79D8" w:rsidP="00223709">
      <w:pPr>
        <w:suppressAutoHyphens w:val="0"/>
      </w:pPr>
      <w:r>
        <w:t>Dio</w:t>
      </w:r>
      <w:r w:rsidR="00A02CBD">
        <w:t xml:space="preserve"> troškova provedbe</w:t>
      </w:r>
      <w:r>
        <w:t xml:space="preserve"> mjera predviđenih u okviru dimenzije dekarbonizacija </w:t>
      </w:r>
      <w:r w:rsidR="00A02CBD">
        <w:t>–</w:t>
      </w:r>
      <w:r>
        <w:t xml:space="preserve"> </w:t>
      </w:r>
      <w:r w:rsidR="00A02CBD">
        <w:t>em</w:t>
      </w:r>
      <w:r w:rsidR="2D8488B8">
        <w:t>i</w:t>
      </w:r>
      <w:r w:rsidR="00A02CBD">
        <w:t>sije i uklanjanja stakleničkih plinova financirat će se iz državnog proračuna</w:t>
      </w:r>
      <w:r w:rsidR="00E53A06">
        <w:t>, sredstava od dražbi, Modernizacijskog fonda</w:t>
      </w:r>
      <w:r w:rsidR="00A02CBD">
        <w:t xml:space="preserve"> i vanproračunskih sredstava</w:t>
      </w:r>
      <w:r w:rsidR="001E59C4">
        <w:t>, a</w:t>
      </w:r>
      <w:r w:rsidR="007B406F">
        <w:t xml:space="preserve"> o</w:t>
      </w:r>
      <w:r w:rsidR="00A940BE">
        <w:t>čekuje se i upotreba sredstava EU</w:t>
      </w:r>
      <w:r w:rsidR="001E59C4">
        <w:t xml:space="preserve">, i to </w:t>
      </w:r>
      <w:r w:rsidR="00A251C7">
        <w:t xml:space="preserve">sredstava kohezijske politike </w:t>
      </w:r>
      <w:r w:rsidR="005129A1">
        <w:t>putem tehničke pomoći tijelima državne uprave</w:t>
      </w:r>
      <w:r w:rsidR="007B406F">
        <w:t xml:space="preserve"> te izravna potpora iz </w:t>
      </w:r>
      <w:r w:rsidR="00A830B7">
        <w:t xml:space="preserve">budućih operativnih programa. </w:t>
      </w:r>
    </w:p>
    <w:p w14:paraId="039B6812" w14:textId="62D8362F" w:rsidR="00EE68A0" w:rsidRDefault="00C56A33" w:rsidP="00724C9B">
      <w:pPr>
        <w:suppressAutoHyphens w:val="0"/>
      </w:pPr>
      <w:r>
        <w:t>F</w:t>
      </w:r>
      <w:r w:rsidR="00FA1087">
        <w:t>inanciranje</w:t>
      </w:r>
      <w:r w:rsidR="00A0365E">
        <w:t xml:space="preserve"> predviđenih mjera očekuje se i</w:t>
      </w:r>
      <w:r w:rsidR="00FA1087">
        <w:t xml:space="preserve"> putem programa Europske investicijske banke</w:t>
      </w:r>
      <w:r w:rsidR="00724C9B">
        <w:t>,</w:t>
      </w:r>
      <w:r w:rsidR="00D75205">
        <w:t xml:space="preserve"> Europske banke za obnovu i </w:t>
      </w:r>
      <w:r w:rsidR="006C5EFF">
        <w:t>razvoj i drugih financijskih institucija</w:t>
      </w:r>
      <w:r w:rsidR="00724C9B">
        <w:t xml:space="preserve"> te iz Fonda za modernizaciju.</w:t>
      </w:r>
      <w:r w:rsidR="00B21482">
        <w:t xml:space="preserve"> </w:t>
      </w:r>
      <w:r w:rsidR="001918CF">
        <w:t xml:space="preserve">Poticat će se razvoj </w:t>
      </w:r>
      <w:r w:rsidR="00B846FB">
        <w:t>inovativnih projekata</w:t>
      </w:r>
      <w:r w:rsidR="002461E8" w:rsidRPr="002461E8">
        <w:t xml:space="preserve"> </w:t>
      </w:r>
      <w:r w:rsidR="002461E8">
        <w:t>za financiranje</w:t>
      </w:r>
      <w:r w:rsidR="00B846FB">
        <w:t xml:space="preserve"> iz Inovacijskog fonda.</w:t>
      </w:r>
      <w:r w:rsidR="0042318F">
        <w:t xml:space="preserve"> Nije se razmatralo korištenje financijskih sredstava od prodaje dijela nacionalne kvote u sektorima izvan ETS-a, jer se ne raspolaže informacijom kako će se provodi</w:t>
      </w:r>
      <w:r w:rsidR="00EB7890">
        <w:t>t</w:t>
      </w:r>
      <w:r w:rsidR="0042318F">
        <w:t>i transferi između država članica, a do sada postoje ograničena iskustva na tom području i ne raspolaže se s informacijom o cijeni tih jedinica emisije.</w:t>
      </w:r>
    </w:p>
    <w:p w14:paraId="69CBA5BC" w14:textId="77777777" w:rsidR="00EE68A0" w:rsidRDefault="00EE68A0" w:rsidP="00BF01A9">
      <w:pPr>
        <w:suppressAutoHyphens w:val="0"/>
        <w:spacing w:after="160" w:line="259" w:lineRule="auto"/>
        <w:contextualSpacing/>
      </w:pPr>
    </w:p>
    <w:p w14:paraId="322234D7" w14:textId="1F784E02" w:rsidR="00C21988" w:rsidRDefault="00BA4CD9" w:rsidP="00302043">
      <w:pPr>
        <w:pStyle w:val="Heading3"/>
      </w:pPr>
      <w:bookmarkStart w:id="367" w:name="_Toc531935155"/>
      <w:bookmarkStart w:id="368" w:name="_Toc531945105"/>
      <w:bookmarkStart w:id="369" w:name="_Toc6302362"/>
      <w:r>
        <w:lastRenderedPageBreak/>
        <w:t>3.1.2</w:t>
      </w:r>
      <w:r>
        <w:tab/>
      </w:r>
      <w:r w:rsidR="00C21988">
        <w:t>Energija iz obnovljivih izvora</w:t>
      </w:r>
      <w:bookmarkEnd w:id="367"/>
      <w:bookmarkEnd w:id="368"/>
      <w:bookmarkEnd w:id="369"/>
      <w:r w:rsidR="00C21988">
        <w:t xml:space="preserve"> </w:t>
      </w:r>
    </w:p>
    <w:p w14:paraId="1246FFA8" w14:textId="77777777" w:rsidR="00C27D38" w:rsidRPr="000B3E88" w:rsidRDefault="00C27D38" w:rsidP="00840E2E">
      <w:pPr>
        <w:pStyle w:val="Heading3"/>
        <w:numPr>
          <w:ilvl w:val="0"/>
          <w:numId w:val="68"/>
        </w:numPr>
      </w:pPr>
      <w:r w:rsidRPr="000B3E88">
        <w:t xml:space="preserve">Politike i mjere za ostvarivanje nacionalnog doprinosa obvezujućem cilju na razini EU-a za 2030. u pogledu energije iz obnovljivih izvora i putanja iz članka 4. točke (a) podtočke 2. i, ako je primjenjivo i dostupno, elemenata iz odjeljka 2.1.2., uključujući mjere specifične za sektor i mjere specifične za tehnologiju </w:t>
      </w:r>
    </w:p>
    <w:p w14:paraId="2F7B5A10" w14:textId="7FAF32F2" w:rsidR="000F7F5F" w:rsidRDefault="005C061C" w:rsidP="000F7F5F">
      <w:pPr>
        <w:suppressAutoHyphens w:val="0"/>
      </w:pPr>
      <w:r>
        <w:t xml:space="preserve">Očekivani učinak grupe mjera </w:t>
      </w:r>
      <w:r w:rsidR="00864715" w:rsidRPr="00864715">
        <w:t xml:space="preserve">(OIE-1, OIE-2, OIE-3 i OIE-4) </w:t>
      </w:r>
      <w:r>
        <w:t>za poticanje uporabe OIE jednak je povećanju neposredne potrošnje OIE u projekcijama za scenarij s dodatnim mjerama u odnosu na scenarij s postojećim mjerama, koji iznosi 3,59 PJ u 2030. godini.</w:t>
      </w:r>
      <w:r w:rsidR="00864715" w:rsidRPr="00864715">
        <w:t xml:space="preserve"> </w:t>
      </w:r>
    </w:p>
    <w:p w14:paraId="24E6F5E8" w14:textId="77777777" w:rsidR="00AB538B" w:rsidRPr="00B56FE5" w:rsidRDefault="00AB538B" w:rsidP="009E0154">
      <w:pPr>
        <w:pStyle w:val="NormalWeb"/>
        <w:spacing w:after="120" w:line="288" w:lineRule="auto"/>
        <w:jc w:val="both"/>
        <w:rPr>
          <w:rFonts w:ascii="Arial" w:hAnsi="Arial" w:cs="Arial"/>
          <w:b/>
          <w:bCs/>
          <w:color w:val="000000"/>
          <w:sz w:val="22"/>
          <w:szCs w:val="22"/>
        </w:rPr>
      </w:pPr>
      <w:r w:rsidRPr="00B56FE5">
        <w:rPr>
          <w:rFonts w:ascii="Arial" w:hAnsi="Arial" w:cs="Arial"/>
          <w:b/>
          <w:bCs/>
          <w:color w:val="000000"/>
          <w:sz w:val="22"/>
          <w:szCs w:val="22"/>
        </w:rPr>
        <w:t>OIE-1: Informiranje, edukacija i povećanje kapaciteta za korištenje OIE</w:t>
      </w:r>
    </w:p>
    <w:p w14:paraId="4B749CF2" w14:textId="77777777"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Informacijska mjera; provedba 2021.-2030.</w:t>
      </w:r>
    </w:p>
    <w:p w14:paraId="03066063" w14:textId="455FE201" w:rsidR="00AB538B" w:rsidRPr="00B56FE5" w:rsidRDefault="00AB538B" w:rsidP="009E0154">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Informiranje opće javnosti i ciljnih skupina provodit će se organizacijom ciljanih info-kampanja vezanih uz investiranje u sustave koji koriste obnovljive izvore energije, posebice u sustave namijenjene za vlastite potrebe. Informiranje, edukacija i povećanje kapaciteta za korištenje OIE će se provoditi na nacionalnoj razini, a ciljani sektori su energetski sektor (NACE kod D), primarni sektor (NACE kod A), prerađivačka industrija (NACE kod C), građevinska industrija (NACE kod F) te stanovništvo RH (opća populacija).</w:t>
      </w:r>
      <w:r w:rsidR="00CC6367">
        <w:rPr>
          <w:rFonts w:ascii="Arial" w:hAnsi="Arial" w:cs="Arial"/>
          <w:color w:val="000000"/>
          <w:sz w:val="22"/>
          <w:szCs w:val="22"/>
          <w:lang w:eastAsia="en-GB"/>
        </w:rPr>
        <w:t xml:space="preserve"> P</w:t>
      </w:r>
      <w:r w:rsidR="00CC6367" w:rsidRPr="00CC6367">
        <w:rPr>
          <w:rFonts w:ascii="Arial" w:hAnsi="Arial" w:cs="Arial"/>
          <w:color w:val="000000"/>
          <w:sz w:val="22"/>
          <w:szCs w:val="22"/>
          <w:lang w:eastAsia="en-GB"/>
        </w:rPr>
        <w:t>o potrebi, provest će se dodatne analize mogućnosti dekarbonizacije sustava i s rezultatima upoznati stručnu i opću javnost.</w:t>
      </w:r>
    </w:p>
    <w:p w14:paraId="26AC7954" w14:textId="77777777"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Aktivnosti:</w:t>
      </w:r>
      <w:r w:rsidRPr="00B56FE5">
        <w:rPr>
          <w:rFonts w:ascii="Arial" w:hAnsi="Arial" w:cs="Arial"/>
          <w:color w:val="000000"/>
          <w:sz w:val="22"/>
          <w:szCs w:val="22"/>
          <w:lang w:eastAsia="en-GB"/>
        </w:rPr>
        <w:t xml:space="preserve"> U okviru mjere provest će se sljedeće aktivnosti: </w:t>
      </w:r>
    </w:p>
    <w:p w14:paraId="41B74A4F"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edukacija i promocija dobre prakse, posebno vezano za male projekte (do 500 kW);</w:t>
      </w:r>
    </w:p>
    <w:p w14:paraId="2FAA8B6C"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implementacija odgojnih i obrazovnih programa o korištenju OIE u vrtićima i školama;</w:t>
      </w:r>
    </w:p>
    <w:p w14:paraId="3CB37617"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uspostava i organizacija savjetodavne službe s uključenim iskusnim stručnjacima iz prakse, posebno za male projekte (do 500 kW);</w:t>
      </w:r>
    </w:p>
    <w:p w14:paraId="4BC6319D"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dostupne informacije o administrativnoj proceduri, akreditiranoj opremi i certificiranim instalaterima;</w:t>
      </w:r>
    </w:p>
    <w:p w14:paraId="0D6A2509"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promocija korištenja sustava u građevinama (fotonaponski sustavi, sunčani toplinski sustavi, dizalice topline, peći i kotlovi na biomasu);</w:t>
      </w:r>
    </w:p>
    <w:p w14:paraId="3C1B8B4F"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promocija rekonstrukcije starih mlinova i vodenica u male hidroelektrane;</w:t>
      </w:r>
    </w:p>
    <w:p w14:paraId="07BC22A8" w14:textId="0FDB2159" w:rsidR="00AB538B" w:rsidRDefault="00AB538B" w:rsidP="00840E2E">
      <w:pPr>
        <w:numPr>
          <w:ilvl w:val="0"/>
          <w:numId w:val="105"/>
        </w:numPr>
        <w:suppressAutoHyphens w:val="0"/>
        <w:spacing w:before="0"/>
        <w:rPr>
          <w:rFonts w:cs="Arial"/>
          <w:color w:val="000000"/>
        </w:rPr>
      </w:pPr>
      <w:r w:rsidRPr="00B56FE5">
        <w:rPr>
          <w:rFonts w:cs="Arial"/>
          <w:color w:val="000000"/>
        </w:rPr>
        <w:t>promocija korištenja OIE na otocima;</w:t>
      </w:r>
    </w:p>
    <w:p w14:paraId="649AFF50" w14:textId="11B5A791" w:rsidR="00C67EAA" w:rsidRPr="00B56FE5" w:rsidRDefault="00C67EAA" w:rsidP="00840E2E">
      <w:pPr>
        <w:numPr>
          <w:ilvl w:val="0"/>
          <w:numId w:val="105"/>
        </w:numPr>
        <w:suppressAutoHyphens w:val="0"/>
        <w:spacing w:before="0"/>
        <w:rPr>
          <w:rFonts w:cs="Arial"/>
          <w:color w:val="000000"/>
        </w:rPr>
      </w:pPr>
      <w:r>
        <w:rPr>
          <w:rFonts w:cs="Arial"/>
          <w:color w:val="000000"/>
        </w:rPr>
        <w:t>promocija korištenja bio</w:t>
      </w:r>
      <w:r w:rsidR="00DD0911">
        <w:rPr>
          <w:rFonts w:cs="Arial"/>
          <w:color w:val="000000"/>
        </w:rPr>
        <w:t>metana</w:t>
      </w:r>
      <w:r>
        <w:rPr>
          <w:rFonts w:cs="Arial"/>
          <w:color w:val="000000"/>
        </w:rPr>
        <w:t xml:space="preserve"> u transportu i njegovog ubrizgavanja u plinsku mrežu;</w:t>
      </w:r>
    </w:p>
    <w:p w14:paraId="578A290C"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izradu vodiča za integraciju projekata biomase u biogospodarstvo za male projekte (do 500 kW);</w:t>
      </w:r>
    </w:p>
    <w:p w14:paraId="6A559D07"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izgradnja kapaciteta za biogospodarstvo;</w:t>
      </w:r>
    </w:p>
    <w:p w14:paraId="7176166B"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lastRenderedPageBreak/>
        <w:t>osmišljavanje i implementacija novih poslovnih modela za realizaciju postrojenja za anaerobnu digestiju (AD) za proizvodnju i korištenje bioplina i kogeneracija na biomasu;</w:t>
      </w:r>
    </w:p>
    <w:p w14:paraId="5A46F0E5"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povezivanje sa sustavom gospodarenja otpadom – korištenje biorazgradive komponente otpada kao energetskog resursa;</w:t>
      </w:r>
    </w:p>
    <w:p w14:paraId="6E945BED" w14:textId="00EA291E" w:rsidR="00AB538B" w:rsidRPr="00B56FE5" w:rsidRDefault="00AB538B" w:rsidP="00840E2E">
      <w:pPr>
        <w:numPr>
          <w:ilvl w:val="0"/>
          <w:numId w:val="105"/>
        </w:numPr>
        <w:suppressAutoHyphens w:val="0"/>
        <w:spacing w:before="0"/>
        <w:rPr>
          <w:rFonts w:cs="Arial"/>
          <w:color w:val="000000"/>
        </w:rPr>
      </w:pPr>
      <w:r w:rsidRPr="00B56FE5">
        <w:rPr>
          <w:rFonts w:cs="Arial"/>
          <w:color w:val="000000"/>
        </w:rPr>
        <w:t>izgradnju i povećanje kapaciteta kod svih dionika tržišta (</w:t>
      </w:r>
      <w:r w:rsidR="00591613">
        <w:rPr>
          <w:rFonts w:cs="Arial"/>
          <w:color w:val="000000"/>
        </w:rPr>
        <w:t>aktivni kupci</w:t>
      </w:r>
      <w:r w:rsidRPr="00B56FE5">
        <w:rPr>
          <w:rFonts w:cs="Arial"/>
          <w:color w:val="000000"/>
        </w:rPr>
        <w:t>,</w:t>
      </w:r>
      <w:r w:rsidR="002559BC">
        <w:rPr>
          <w:rFonts w:cs="Arial"/>
          <w:color w:val="000000"/>
        </w:rPr>
        <w:t xml:space="preserve"> energetske zajednice, zajednice obnovljive energije,</w:t>
      </w:r>
      <w:r w:rsidRPr="00B56FE5">
        <w:rPr>
          <w:rFonts w:cs="Arial"/>
          <w:color w:val="000000"/>
        </w:rPr>
        <w:t xml:space="preserve"> opskrbljivači energijom, agregatori, operatori sustava, instalateri);</w:t>
      </w:r>
    </w:p>
    <w:p w14:paraId="4C979207"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rPr>
        <w:t>promocija korporativnih ugovora o otkupu (</w:t>
      </w:r>
      <w:r w:rsidRPr="00B56FE5">
        <w:rPr>
          <w:rFonts w:cs="Arial"/>
          <w:i/>
          <w:iCs/>
          <w:color w:val="000000"/>
        </w:rPr>
        <w:t>corporate PPA</w:t>
      </w:r>
      <w:r w:rsidRPr="00B56FE5">
        <w:rPr>
          <w:rFonts w:cs="Arial"/>
          <w:color w:val="000000"/>
        </w:rPr>
        <w:t>) za veće projekte koji su cijenom vezani uz tržište;</w:t>
      </w:r>
    </w:p>
    <w:p w14:paraId="6DC9E4FE" w14:textId="77777777" w:rsidR="00AB538B" w:rsidRPr="00B56FE5" w:rsidRDefault="00AB538B" w:rsidP="00840E2E">
      <w:pPr>
        <w:numPr>
          <w:ilvl w:val="0"/>
          <w:numId w:val="105"/>
        </w:numPr>
        <w:suppressAutoHyphens w:val="0"/>
        <w:spacing w:before="0"/>
        <w:ind w:left="714" w:hanging="357"/>
        <w:rPr>
          <w:rFonts w:cs="Arial"/>
          <w:color w:val="000000"/>
        </w:rPr>
      </w:pPr>
      <w:r w:rsidRPr="00B56FE5">
        <w:rPr>
          <w:rFonts w:cs="Arial"/>
          <w:color w:val="000000"/>
        </w:rPr>
        <w:t>savjetovanje s financijskim sektorom, promocija dobre prakse i edukacija, za veće projekte.</w:t>
      </w:r>
    </w:p>
    <w:p w14:paraId="7562C4EE" w14:textId="77777777"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Sredstva potrebna za provedbu: </w:t>
      </w:r>
      <w:r w:rsidRPr="00B56FE5">
        <w:rPr>
          <w:rFonts w:ascii="Arial" w:hAnsi="Arial" w:cs="Arial"/>
          <w:color w:val="000000"/>
          <w:sz w:val="22"/>
          <w:szCs w:val="22"/>
          <w:lang w:eastAsia="en-GB"/>
        </w:rPr>
        <w:t>oko 5 milijuna kuna godišnje</w:t>
      </w:r>
    </w:p>
    <w:p w14:paraId="6929C496" w14:textId="77777777"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Izvori financiranja: </w:t>
      </w:r>
      <w:r w:rsidRPr="00B56FE5">
        <w:rPr>
          <w:rFonts w:ascii="Arial" w:hAnsi="Arial" w:cs="Arial"/>
          <w:color w:val="000000"/>
          <w:sz w:val="22"/>
          <w:szCs w:val="22"/>
          <w:lang w:eastAsia="en-GB"/>
        </w:rPr>
        <w:t>Sredstva od prodaje emisijskih jedinica na dražbi (FZOEU) i sredstva EU.</w:t>
      </w:r>
    </w:p>
    <w:p w14:paraId="02679E84" w14:textId="66EB7D91" w:rsidR="00AB538B" w:rsidRPr="00B56FE5" w:rsidRDefault="00AB538B" w:rsidP="009E0154">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Izvršno tijelo:</w:t>
      </w:r>
      <w:r w:rsidRPr="00B56FE5">
        <w:rPr>
          <w:rFonts w:ascii="Arial" w:hAnsi="Arial" w:cs="Arial"/>
          <w:color w:val="000000"/>
          <w:sz w:val="22"/>
          <w:szCs w:val="22"/>
          <w:lang w:eastAsia="en-GB"/>
        </w:rPr>
        <w:t xml:space="preserve"> MZOE – provedba i pokroviteljstvo nad programima edukacije i promocije, organizacija savjetodavne službe, osmišljavanje novih poslovnih modela za realizaciju bioplinskih postrojenja i kogeneracija na biomasu; FZOEU – osiguravanje dijela sredstava, sudjelovanje na aktivnostima promocije i edukacije; MGIPU – promocija korištenja sustava OIE u građevinama</w:t>
      </w:r>
      <w:r w:rsidR="00400C6D">
        <w:rPr>
          <w:rFonts w:ascii="Arial" w:hAnsi="Arial" w:cs="Arial"/>
          <w:color w:val="000000"/>
          <w:sz w:val="22"/>
          <w:szCs w:val="22"/>
          <w:lang w:eastAsia="en-GB"/>
        </w:rPr>
        <w:t>; HGK – promocija korištenja sustava OIE poduzetnicima</w:t>
      </w:r>
    </w:p>
    <w:p w14:paraId="5C38D045" w14:textId="77777777" w:rsidR="00AB538B" w:rsidRPr="00B56FE5" w:rsidRDefault="00AB538B" w:rsidP="009E0154">
      <w:pPr>
        <w:pStyle w:val="NormalWeb"/>
        <w:spacing w:after="120" w:line="288" w:lineRule="auto"/>
        <w:jc w:val="both"/>
        <w:rPr>
          <w:rFonts w:ascii="Arial" w:hAnsi="Arial" w:cs="Arial"/>
          <w:color w:val="000000"/>
          <w:sz w:val="22"/>
          <w:szCs w:val="22"/>
          <w:highlight w:val="yellow"/>
          <w:lang w:eastAsia="en-GB"/>
        </w:rPr>
      </w:pPr>
      <w:r w:rsidRPr="00B56FE5">
        <w:rPr>
          <w:rFonts w:ascii="Arial" w:hAnsi="Arial" w:cs="Arial"/>
          <w:color w:val="000000"/>
          <w:sz w:val="22"/>
          <w:szCs w:val="22"/>
          <w:lang w:eastAsia="en-GB"/>
        </w:rPr>
        <w:t>MP u suradnji s JLS – promocija i opskrba biomase za potrebe biogospodarstva, dekarbonizacija stočarstva, razvoj biogospodarstva; Opskrbljivači – promocija korporativnih ugovora; MZOE u suradnji s JLS – s programima za promociju OIE u vrtićima i školama</w:t>
      </w:r>
    </w:p>
    <w:p w14:paraId="0A9AC841" w14:textId="77777777"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Tijela za praćenje (nadzor): </w:t>
      </w:r>
      <w:r w:rsidRPr="00B56FE5">
        <w:rPr>
          <w:rFonts w:ascii="Arial" w:hAnsi="Arial" w:cs="Arial"/>
          <w:color w:val="000000"/>
          <w:sz w:val="22"/>
          <w:szCs w:val="22"/>
          <w:lang w:eastAsia="en-GB"/>
        </w:rPr>
        <w:t>MZOE</w:t>
      </w:r>
    </w:p>
    <w:p w14:paraId="6F012048" w14:textId="77777777" w:rsidR="00AB538B" w:rsidRPr="00B56FE5" w:rsidRDefault="00AB538B" w:rsidP="009E0154">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 xml:space="preserve">Učinak: </w:t>
      </w:r>
      <w:r w:rsidRPr="00B56FE5">
        <w:rPr>
          <w:rFonts w:ascii="Arial" w:hAnsi="Arial" w:cs="Arial"/>
          <w:color w:val="000000"/>
          <w:sz w:val="22"/>
          <w:szCs w:val="22"/>
          <w:lang w:eastAsia="en-GB"/>
        </w:rPr>
        <w:t>Povećanje proizvodnje energije i udjela OIE u ukupnoj potrošnji energije te smanjenje emisija stakleničkih plinova iz energetike i navedenih ciljanih sektora. Povećanje broja zainteresiranih građana za korištenje OIE.</w:t>
      </w:r>
    </w:p>
    <w:p w14:paraId="19404C9D" w14:textId="62BC32C6"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Metoda praćenja:</w:t>
      </w:r>
      <w:r w:rsidRPr="00B56FE5">
        <w:rPr>
          <w:rFonts w:ascii="Arial" w:hAnsi="Arial" w:cs="Arial"/>
          <w:color w:val="000000"/>
          <w:sz w:val="22"/>
          <w:szCs w:val="22"/>
          <w:lang w:eastAsia="en-GB"/>
        </w:rPr>
        <w:t xml:space="preserve"> </w:t>
      </w:r>
      <w:r w:rsidR="000C19EE">
        <w:rPr>
          <w:rFonts w:ascii="Arial" w:hAnsi="Arial" w:cs="Arial"/>
          <w:color w:val="000000"/>
          <w:sz w:val="22"/>
          <w:szCs w:val="22"/>
          <w:lang w:eastAsia="en-GB"/>
        </w:rPr>
        <w:t>Broj događanja, broj korisnika</w:t>
      </w:r>
    </w:p>
    <w:p w14:paraId="52C7F096" w14:textId="77777777" w:rsidR="00AB538B" w:rsidRPr="00B56FE5" w:rsidRDefault="00AB538B" w:rsidP="009E0154">
      <w:pPr>
        <w:pStyle w:val="NormalWeb"/>
        <w:spacing w:after="120" w:line="288" w:lineRule="auto"/>
        <w:jc w:val="both"/>
        <w:rPr>
          <w:rFonts w:ascii="Arial" w:hAnsi="Arial" w:cs="Arial"/>
          <w:b/>
          <w:bCs/>
          <w:color w:val="000000"/>
          <w:sz w:val="22"/>
          <w:szCs w:val="22"/>
          <w:lang w:eastAsia="en-GB"/>
        </w:rPr>
      </w:pPr>
      <w:r w:rsidRPr="00B56FE5">
        <w:rPr>
          <w:rFonts w:ascii="Arial" w:hAnsi="Arial" w:cs="Arial"/>
          <w:b/>
          <w:bCs/>
          <w:color w:val="000000"/>
          <w:sz w:val="22"/>
          <w:szCs w:val="22"/>
          <w:lang w:eastAsia="en-GB"/>
        </w:rPr>
        <w:t xml:space="preserve">Povezanost s drugim dimenzijama: </w:t>
      </w:r>
      <w:r w:rsidRPr="00B56FE5">
        <w:rPr>
          <w:rFonts w:ascii="Arial" w:hAnsi="Arial" w:cs="Arial"/>
          <w:color w:val="000000"/>
          <w:sz w:val="22"/>
          <w:szCs w:val="22"/>
          <w:lang w:eastAsia="en-GB"/>
        </w:rPr>
        <w:t>Mjera je povezana s dimenzijom povećanja energetske sigurnosti i razvoja unutarnjeg energetskog tržišta. Mjeru je moguće povezati i s dimenzijom energetske učinkovitosti kroz promociju korištenja OIE na građevinama, uz mjere energetske učinkovitosti.</w:t>
      </w:r>
    </w:p>
    <w:p w14:paraId="5B658441" w14:textId="77777777"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Povezanost s prilagodbom klimatskim promjenama: </w:t>
      </w:r>
      <w:r w:rsidRPr="00B56FE5">
        <w:rPr>
          <w:rFonts w:ascii="Arial" w:hAnsi="Arial" w:cs="Arial"/>
          <w:color w:val="000000"/>
          <w:sz w:val="22"/>
          <w:szCs w:val="22"/>
          <w:lang w:eastAsia="en-GB"/>
        </w:rPr>
        <w:t>Korištenja OIE se planira uz integraciju mjera prilagodbe klimatskim promjenama te jačanje otpornosti, odnosno smanjenja ranjivosti OIE tehnologija na klimatske promjene.</w:t>
      </w:r>
    </w:p>
    <w:p w14:paraId="608FA2AE" w14:textId="493172F8" w:rsidR="00AB538B" w:rsidRPr="00B56FE5" w:rsidRDefault="00AB538B" w:rsidP="009E0154">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lastRenderedPageBreak/>
        <w:t>Istraživanje i razvoj</w:t>
      </w:r>
      <w:r w:rsidRPr="00B56FE5">
        <w:rPr>
          <w:rFonts w:ascii="Arial" w:hAnsi="Arial" w:cs="Arial"/>
          <w:color w:val="000000"/>
          <w:sz w:val="22"/>
          <w:szCs w:val="22"/>
          <w:lang w:eastAsia="en-GB"/>
        </w:rPr>
        <w:t xml:space="preserve">: </w:t>
      </w:r>
      <w:r w:rsidR="003C53F6" w:rsidRPr="003C53F6">
        <w:rPr>
          <w:rFonts w:ascii="Arial" w:hAnsi="Arial" w:cs="Arial"/>
          <w:color w:val="000000"/>
          <w:sz w:val="22"/>
          <w:szCs w:val="22"/>
          <w:lang w:eastAsia="en-GB"/>
        </w:rPr>
        <w:t>Informiranje, edukacija i povećanje kapaciteta za korištenje OIE nije izravno povezano s istraživanjem i razvojem</w:t>
      </w:r>
      <w:r w:rsidR="003C53F6">
        <w:rPr>
          <w:rFonts w:ascii="Arial" w:hAnsi="Arial" w:cs="Arial"/>
          <w:color w:val="000000"/>
          <w:sz w:val="22"/>
          <w:szCs w:val="22"/>
          <w:lang w:eastAsia="en-GB"/>
        </w:rPr>
        <w:t>.</w:t>
      </w:r>
    </w:p>
    <w:p w14:paraId="3CF2B3BA" w14:textId="77777777"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OIE-2 Prostorno-planski preduvjeti za korištenje OIE</w:t>
      </w:r>
    </w:p>
    <w:p w14:paraId="45E5AC54" w14:textId="29E33236" w:rsidR="00AB538B" w:rsidRPr="00B56FE5" w:rsidRDefault="00AB538B" w:rsidP="009E0154">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Regulatorna mjera; provedba 2021.-20</w:t>
      </w:r>
      <w:r w:rsidR="00F56E0C">
        <w:rPr>
          <w:rFonts w:ascii="Arial" w:hAnsi="Arial" w:cs="Arial"/>
          <w:b/>
          <w:bCs/>
          <w:color w:val="000000"/>
          <w:sz w:val="22"/>
          <w:szCs w:val="22"/>
          <w:lang w:eastAsia="en-GB"/>
        </w:rPr>
        <w:t>24</w:t>
      </w:r>
      <w:r w:rsidRPr="00B56FE5">
        <w:rPr>
          <w:rFonts w:ascii="Arial" w:hAnsi="Arial" w:cs="Arial"/>
          <w:b/>
          <w:bCs/>
          <w:color w:val="000000"/>
          <w:sz w:val="22"/>
          <w:szCs w:val="22"/>
          <w:lang w:eastAsia="en-GB"/>
        </w:rPr>
        <w:t>.</w:t>
      </w:r>
    </w:p>
    <w:p w14:paraId="7FE6499D" w14:textId="3A126D3F" w:rsidR="00AB538B" w:rsidRPr="00B56FE5" w:rsidRDefault="00AB538B" w:rsidP="0002513F">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w:t>
      </w:r>
      <w:r w:rsidR="00C7173B" w:rsidRPr="00C7173B">
        <w:rPr>
          <w:rFonts w:ascii="Arial" w:hAnsi="Arial" w:cs="Arial"/>
          <w:color w:val="000000"/>
          <w:sz w:val="22"/>
          <w:szCs w:val="22"/>
          <w:lang w:eastAsia="en-GB"/>
        </w:rPr>
        <w:t>Analiza postojećeg stanja prostornih kapaciteta, d</w:t>
      </w:r>
      <w:r w:rsidRPr="00B56FE5">
        <w:rPr>
          <w:rFonts w:ascii="Arial" w:hAnsi="Arial" w:cs="Arial"/>
          <w:color w:val="000000"/>
          <w:sz w:val="22"/>
          <w:szCs w:val="22"/>
          <w:lang w:eastAsia="en-GB"/>
        </w:rPr>
        <w:t>efiniranje smjernica i kriterija specifičnih prostorno-</w:t>
      </w:r>
      <w:r w:rsidR="004574A6">
        <w:rPr>
          <w:rFonts w:ascii="Arial" w:hAnsi="Arial" w:cs="Arial"/>
          <w:color w:val="000000"/>
          <w:sz w:val="22"/>
          <w:szCs w:val="22"/>
          <w:lang w:eastAsia="en-GB"/>
        </w:rPr>
        <w:t>plansk</w:t>
      </w:r>
      <w:r w:rsidR="004574A6" w:rsidRPr="00B56FE5">
        <w:rPr>
          <w:rFonts w:ascii="Arial" w:hAnsi="Arial" w:cs="Arial"/>
          <w:color w:val="000000"/>
          <w:sz w:val="22"/>
          <w:szCs w:val="22"/>
          <w:lang w:eastAsia="en-GB"/>
        </w:rPr>
        <w:t xml:space="preserve">ih </w:t>
      </w:r>
      <w:r w:rsidRPr="00B56FE5">
        <w:rPr>
          <w:rFonts w:ascii="Arial" w:hAnsi="Arial" w:cs="Arial"/>
          <w:color w:val="000000"/>
          <w:sz w:val="22"/>
          <w:szCs w:val="22"/>
          <w:lang w:eastAsia="en-GB"/>
        </w:rPr>
        <w:t xml:space="preserve">elemenata za </w:t>
      </w:r>
      <w:r w:rsidR="00426B27">
        <w:rPr>
          <w:rFonts w:ascii="Arial" w:hAnsi="Arial" w:cs="Arial"/>
          <w:color w:val="000000"/>
          <w:sz w:val="22"/>
          <w:szCs w:val="22"/>
          <w:lang w:eastAsia="en-GB"/>
        </w:rPr>
        <w:t>planiranje</w:t>
      </w:r>
      <w:r w:rsidR="00426B27" w:rsidRPr="00B56FE5">
        <w:rPr>
          <w:rFonts w:ascii="Arial" w:hAnsi="Arial" w:cs="Arial"/>
          <w:color w:val="000000"/>
          <w:sz w:val="22"/>
          <w:szCs w:val="22"/>
          <w:lang w:eastAsia="en-GB"/>
        </w:rPr>
        <w:t xml:space="preserve"> </w:t>
      </w:r>
      <w:r w:rsidRPr="00B56FE5">
        <w:rPr>
          <w:rFonts w:ascii="Arial" w:hAnsi="Arial" w:cs="Arial"/>
          <w:color w:val="000000"/>
          <w:sz w:val="22"/>
          <w:szCs w:val="22"/>
          <w:lang w:eastAsia="en-GB"/>
        </w:rPr>
        <w:t>OIE</w:t>
      </w:r>
      <w:r w:rsidR="00426B27">
        <w:rPr>
          <w:rFonts w:ascii="Arial" w:hAnsi="Arial" w:cs="Arial"/>
          <w:color w:val="000000"/>
          <w:sz w:val="22"/>
          <w:szCs w:val="22"/>
          <w:lang w:eastAsia="en-GB"/>
        </w:rPr>
        <w:t xml:space="preserve"> </w:t>
      </w:r>
      <w:r w:rsidRPr="00B56FE5">
        <w:rPr>
          <w:rFonts w:ascii="Arial" w:hAnsi="Arial" w:cs="Arial"/>
          <w:color w:val="000000"/>
          <w:sz w:val="22"/>
          <w:szCs w:val="22"/>
          <w:lang w:eastAsia="en-GB"/>
        </w:rPr>
        <w:t>na državnoj</w:t>
      </w:r>
      <w:r w:rsidR="00647A0E">
        <w:rPr>
          <w:rFonts w:ascii="Arial" w:hAnsi="Arial" w:cs="Arial"/>
          <w:color w:val="000000"/>
          <w:sz w:val="22"/>
          <w:szCs w:val="22"/>
          <w:lang w:eastAsia="en-GB"/>
        </w:rPr>
        <w:t>,</w:t>
      </w:r>
      <w:r w:rsidRPr="00B56FE5">
        <w:rPr>
          <w:rFonts w:ascii="Arial" w:hAnsi="Arial" w:cs="Arial"/>
          <w:color w:val="000000"/>
          <w:sz w:val="22"/>
          <w:szCs w:val="22"/>
          <w:lang w:eastAsia="en-GB"/>
        </w:rPr>
        <w:t xml:space="preserve"> županijsko</w:t>
      </w:r>
      <w:r w:rsidR="00647A0E">
        <w:rPr>
          <w:rFonts w:ascii="Arial" w:hAnsi="Arial" w:cs="Arial"/>
          <w:color w:val="000000"/>
          <w:sz w:val="22"/>
          <w:szCs w:val="22"/>
          <w:lang w:eastAsia="en-GB"/>
        </w:rPr>
        <w:t>j i lokalnoj</w:t>
      </w:r>
      <w:r w:rsidRPr="00B56FE5">
        <w:rPr>
          <w:rFonts w:ascii="Arial" w:hAnsi="Arial" w:cs="Arial"/>
          <w:color w:val="000000"/>
          <w:sz w:val="22"/>
          <w:szCs w:val="22"/>
          <w:lang w:eastAsia="en-GB"/>
        </w:rPr>
        <w:t xml:space="preserve"> razini.</w:t>
      </w:r>
    </w:p>
    <w:p w14:paraId="40A30F4F" w14:textId="77777777"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Aktivnosti:</w:t>
      </w:r>
      <w:r w:rsidRPr="00B56FE5">
        <w:rPr>
          <w:rFonts w:ascii="Arial" w:hAnsi="Arial" w:cs="Arial"/>
          <w:color w:val="000000"/>
          <w:sz w:val="22"/>
          <w:szCs w:val="22"/>
          <w:lang w:eastAsia="en-GB"/>
        </w:rPr>
        <w:t xml:space="preserve"> U okviru mjere provest će se sljedeće aktivnosti: </w:t>
      </w:r>
    </w:p>
    <w:p w14:paraId="4A8F2C88" w14:textId="6FF5D736" w:rsidR="00AB538B" w:rsidRPr="00B56FE5" w:rsidRDefault="00021B96" w:rsidP="00840E2E">
      <w:pPr>
        <w:numPr>
          <w:ilvl w:val="0"/>
          <w:numId w:val="105"/>
        </w:numPr>
        <w:suppressAutoHyphens w:val="0"/>
        <w:spacing w:before="0"/>
        <w:ind w:left="714" w:hanging="357"/>
        <w:rPr>
          <w:rFonts w:cs="Arial"/>
          <w:color w:val="000000"/>
        </w:rPr>
      </w:pPr>
      <w:r w:rsidRPr="00021B96">
        <w:rPr>
          <w:rFonts w:cs="Arial"/>
          <w:color w:val="000000"/>
          <w:lang w:eastAsia="en-GB"/>
        </w:rPr>
        <w:t>analiza prostornih planova uz preisp</w:t>
      </w:r>
      <w:r>
        <w:rPr>
          <w:rFonts w:cs="Arial"/>
          <w:color w:val="000000"/>
          <w:lang w:eastAsia="en-GB"/>
        </w:rPr>
        <w:t>i</w:t>
      </w:r>
      <w:r w:rsidRPr="00021B96">
        <w:rPr>
          <w:rFonts w:cs="Arial"/>
          <w:color w:val="000000"/>
          <w:lang w:eastAsia="en-GB"/>
        </w:rPr>
        <w:t xml:space="preserve">tivanje planiranih lokacija, </w:t>
      </w:r>
      <w:r w:rsidR="00AB538B" w:rsidRPr="00B56FE5">
        <w:rPr>
          <w:rFonts w:cs="Arial"/>
          <w:color w:val="000000"/>
          <w:lang w:eastAsia="en-GB"/>
        </w:rPr>
        <w:t xml:space="preserve">kartiranje potencijala resursa za pojedine obnovljive izvore (vjetar, osunčanje, hidropotencijal, </w:t>
      </w:r>
      <w:r w:rsidR="00977D4B" w:rsidRPr="00977D4B">
        <w:rPr>
          <w:rFonts w:cs="Arial"/>
          <w:color w:val="000000"/>
          <w:lang w:eastAsia="en-GB"/>
        </w:rPr>
        <w:t>geotermalne vode za energetske svrhe</w:t>
      </w:r>
      <w:r w:rsidR="00AB538B" w:rsidRPr="00B56FE5">
        <w:rPr>
          <w:rFonts w:cs="Arial"/>
          <w:color w:val="000000"/>
          <w:lang w:eastAsia="en-GB"/>
        </w:rPr>
        <w:t>) s obzirom na postojeće i napredne tehnologije energetske pretvorbe i prilagodbe na klimatske promjene temeljene na karakteristikama ekosustava unutar specifičnih prostora za iskorištavanje OIE</w:t>
      </w:r>
      <w:r w:rsidR="00880582">
        <w:rPr>
          <w:rFonts w:cs="Arial"/>
          <w:color w:val="000000"/>
          <w:lang w:eastAsia="en-GB"/>
        </w:rPr>
        <w:t xml:space="preserve"> </w:t>
      </w:r>
      <w:r w:rsidR="00880582" w:rsidRPr="00880582">
        <w:rPr>
          <w:rFonts w:cs="Arial"/>
          <w:color w:val="000000"/>
          <w:lang w:eastAsia="en-GB"/>
        </w:rPr>
        <w:t>(planirani i potencijalni prostor), mogućnosti skladištenja energije iz OIE te uklapanja u postojeći distribucijski sustav</w:t>
      </w:r>
      <w:r w:rsidR="00AB538B" w:rsidRPr="00B56FE5">
        <w:rPr>
          <w:rFonts w:cs="Arial"/>
          <w:color w:val="000000"/>
          <w:lang w:eastAsia="en-GB"/>
        </w:rPr>
        <w:t xml:space="preserve">; </w:t>
      </w:r>
    </w:p>
    <w:p w14:paraId="71AC2748" w14:textId="77777777" w:rsidR="00AB538B" w:rsidRPr="00B56FE5" w:rsidRDefault="00AB538B" w:rsidP="00840E2E">
      <w:pPr>
        <w:numPr>
          <w:ilvl w:val="0"/>
          <w:numId w:val="105"/>
        </w:numPr>
        <w:suppressAutoHyphens w:val="0"/>
        <w:spacing w:before="0"/>
        <w:rPr>
          <w:rFonts w:cs="Arial"/>
          <w:color w:val="000000"/>
        </w:rPr>
      </w:pPr>
      <w:r w:rsidRPr="00B56FE5">
        <w:rPr>
          <w:rFonts w:cs="Arial"/>
          <w:color w:val="000000"/>
          <w:lang w:eastAsia="en-GB"/>
        </w:rPr>
        <w:t xml:space="preserve">utvrđivanje i kartiranje prostornih, okolišnih (bio-ekoloških, krajobraznih, geoloških) i socijalnih (korištenje prostora) i infrastrukturnih ograničenja te osjetljivost prostora za izgradnju i rad postrojenja, s obzirom na karakteristike postojećih i naprednih tehnologija za iskorištavanje OIE; </w:t>
      </w:r>
    </w:p>
    <w:p w14:paraId="746BF91A" w14:textId="564CFAD1" w:rsidR="00AB538B" w:rsidRPr="00B56FE5" w:rsidRDefault="00AB538B" w:rsidP="00840E2E">
      <w:pPr>
        <w:numPr>
          <w:ilvl w:val="0"/>
          <w:numId w:val="105"/>
        </w:numPr>
        <w:suppressAutoHyphens w:val="0"/>
        <w:spacing w:before="0"/>
        <w:rPr>
          <w:rFonts w:cs="Arial"/>
          <w:color w:val="000000"/>
        </w:rPr>
      </w:pPr>
      <w:r w:rsidRPr="00B56FE5">
        <w:rPr>
          <w:rFonts w:cs="Arial"/>
          <w:color w:val="000000"/>
          <w:lang w:eastAsia="en-GB"/>
        </w:rPr>
        <w:t>definiranje smjernica i kriterija za odabir prostora pogodnih za iskorištavanje OIE</w:t>
      </w:r>
      <w:r w:rsidR="00730747">
        <w:rPr>
          <w:rFonts w:cs="Arial"/>
          <w:color w:val="000000"/>
          <w:lang w:eastAsia="en-GB"/>
        </w:rPr>
        <w:t>,</w:t>
      </w:r>
      <w:r w:rsidRPr="00B56FE5">
        <w:rPr>
          <w:rFonts w:cs="Arial"/>
          <w:color w:val="000000"/>
          <w:lang w:eastAsia="en-GB"/>
        </w:rPr>
        <w:t xml:space="preserve"> prostorno-planskih uvjeta </w:t>
      </w:r>
      <w:r w:rsidR="000F1FD3" w:rsidRPr="000F1FD3">
        <w:rPr>
          <w:rFonts w:cs="Arial"/>
          <w:color w:val="000000"/>
          <w:lang w:eastAsia="en-GB"/>
        </w:rPr>
        <w:t xml:space="preserve">te mjera zaštite u postupcima prema posebnim zakonima </w:t>
      </w:r>
      <w:r w:rsidRPr="00B56FE5">
        <w:rPr>
          <w:rFonts w:cs="Arial"/>
          <w:color w:val="000000"/>
          <w:lang w:eastAsia="en-GB"/>
        </w:rPr>
        <w:t xml:space="preserve">; </w:t>
      </w:r>
    </w:p>
    <w:p w14:paraId="6D4055B3" w14:textId="2796E2FC" w:rsidR="00AB538B" w:rsidRPr="00B56FE5" w:rsidRDefault="00AB538B" w:rsidP="00840E2E">
      <w:pPr>
        <w:numPr>
          <w:ilvl w:val="0"/>
          <w:numId w:val="105"/>
        </w:numPr>
        <w:suppressAutoHyphens w:val="0"/>
        <w:spacing w:before="0"/>
        <w:rPr>
          <w:rFonts w:cs="Arial"/>
          <w:color w:val="000000"/>
        </w:rPr>
      </w:pPr>
      <w:r w:rsidRPr="00B56FE5">
        <w:rPr>
          <w:rFonts w:cs="Arial"/>
          <w:color w:val="000000"/>
          <w:lang w:eastAsia="en-GB"/>
        </w:rPr>
        <w:t>usvajanje smjernica i kriterija za uređenje specifičnih prostorno-</w:t>
      </w:r>
      <w:r w:rsidR="00B8667A">
        <w:rPr>
          <w:rFonts w:cs="Arial"/>
          <w:color w:val="000000"/>
          <w:lang w:eastAsia="en-GB"/>
        </w:rPr>
        <w:t>planskih</w:t>
      </w:r>
      <w:r w:rsidR="00B8667A" w:rsidRPr="00B56FE5">
        <w:rPr>
          <w:rFonts w:cs="Arial"/>
          <w:color w:val="000000"/>
          <w:lang w:eastAsia="en-GB"/>
        </w:rPr>
        <w:t xml:space="preserve"> </w:t>
      </w:r>
      <w:r w:rsidRPr="00B56FE5">
        <w:rPr>
          <w:rFonts w:cs="Arial"/>
          <w:color w:val="000000"/>
          <w:lang w:eastAsia="en-GB"/>
        </w:rPr>
        <w:t xml:space="preserve">elemenata u prostoru za iskorištavanje OIE na </w:t>
      </w:r>
      <w:r w:rsidR="00C627C3">
        <w:rPr>
          <w:rFonts w:cs="Arial"/>
          <w:color w:val="000000"/>
          <w:lang w:eastAsia="en-GB"/>
        </w:rPr>
        <w:t>državnoj</w:t>
      </w:r>
      <w:r w:rsidR="00C627C3" w:rsidRPr="00B56FE5">
        <w:rPr>
          <w:rFonts w:cs="Arial"/>
          <w:color w:val="000000"/>
          <w:lang w:eastAsia="en-GB"/>
        </w:rPr>
        <w:t xml:space="preserve"> </w:t>
      </w:r>
      <w:r w:rsidRPr="00B56FE5">
        <w:rPr>
          <w:rFonts w:cs="Arial"/>
          <w:color w:val="000000"/>
          <w:lang w:eastAsia="en-GB"/>
        </w:rPr>
        <w:t>razini i njihova implementacija u prostorno planske dokumente na</w:t>
      </w:r>
      <w:r w:rsidR="00C627C3">
        <w:rPr>
          <w:rFonts w:cs="Arial"/>
          <w:color w:val="000000"/>
          <w:lang w:eastAsia="en-GB"/>
        </w:rPr>
        <w:t xml:space="preserve"> državnoj,</w:t>
      </w:r>
      <w:r w:rsidRPr="00B56FE5">
        <w:rPr>
          <w:rFonts w:cs="Arial"/>
          <w:color w:val="000000"/>
          <w:lang w:eastAsia="en-GB"/>
        </w:rPr>
        <w:t xml:space="preserve"> regionalnoj i lokalnoj razini</w:t>
      </w:r>
      <w:r w:rsidR="00E96A2A">
        <w:rPr>
          <w:rFonts w:cs="Arial"/>
          <w:color w:val="000000"/>
          <w:lang w:eastAsia="en-GB"/>
        </w:rPr>
        <w:t xml:space="preserve"> </w:t>
      </w:r>
      <w:r w:rsidR="00E96A2A" w:rsidRPr="00E96A2A">
        <w:rPr>
          <w:rFonts w:cs="Arial"/>
          <w:color w:val="000000"/>
          <w:lang w:eastAsia="en-GB"/>
        </w:rPr>
        <w:t>uz primjenu mjera zaštite u postupcima prema posebnim zakonima</w:t>
      </w:r>
      <w:r w:rsidRPr="00B56FE5">
        <w:rPr>
          <w:rFonts w:cs="Arial"/>
          <w:color w:val="000000"/>
          <w:lang w:eastAsia="en-GB"/>
        </w:rPr>
        <w:t xml:space="preserve">; </w:t>
      </w:r>
    </w:p>
    <w:p w14:paraId="5824AC96" w14:textId="0961B786" w:rsidR="00AB538B" w:rsidRPr="00B56FE5" w:rsidRDefault="00AB538B" w:rsidP="00840E2E">
      <w:pPr>
        <w:numPr>
          <w:ilvl w:val="0"/>
          <w:numId w:val="105"/>
        </w:numPr>
        <w:suppressAutoHyphens w:val="0"/>
        <w:spacing w:before="0"/>
        <w:rPr>
          <w:rFonts w:cs="Arial"/>
          <w:color w:val="000000"/>
        </w:rPr>
      </w:pPr>
      <w:r w:rsidRPr="00B56FE5">
        <w:rPr>
          <w:rFonts w:cs="Arial"/>
          <w:color w:val="000000"/>
          <w:lang w:eastAsia="en-GB"/>
        </w:rPr>
        <w:t>stručno obrazovanje i poticanje međusektorske suradnje stručnjaka iz područja prostornog planiranja, zaštite prirode</w:t>
      </w:r>
      <w:r w:rsidR="00E96A2A">
        <w:rPr>
          <w:rFonts w:cs="Arial"/>
          <w:color w:val="000000"/>
          <w:lang w:eastAsia="en-GB"/>
        </w:rPr>
        <w:t xml:space="preserve"> i okoliša</w:t>
      </w:r>
      <w:r w:rsidRPr="00B56FE5">
        <w:rPr>
          <w:rFonts w:cs="Arial"/>
          <w:color w:val="000000"/>
          <w:lang w:eastAsia="en-GB"/>
        </w:rPr>
        <w:t>, energetike i ostalih stručnjaka relevantnih za prostorno planiranje i razvoj projekata OIE;</w:t>
      </w:r>
    </w:p>
    <w:p w14:paraId="11FDDA60" w14:textId="286714DB" w:rsidR="00AB538B" w:rsidRPr="00B56FE5" w:rsidRDefault="00AB538B" w:rsidP="00840E2E">
      <w:pPr>
        <w:numPr>
          <w:ilvl w:val="0"/>
          <w:numId w:val="105"/>
        </w:numPr>
        <w:suppressAutoHyphens w:val="0"/>
        <w:spacing w:before="0"/>
        <w:ind w:left="714" w:hanging="357"/>
        <w:rPr>
          <w:rFonts w:cs="Arial"/>
          <w:color w:val="000000"/>
        </w:rPr>
      </w:pPr>
      <w:r w:rsidRPr="00B56FE5">
        <w:rPr>
          <w:rFonts w:cs="Arial"/>
          <w:color w:val="000000"/>
          <w:lang w:eastAsia="en-GB"/>
        </w:rPr>
        <w:t>nadogradnja postojećih informacijskih sustava s podacima neophodnim za prepoznavanje potencijalnih ograničenja te osjetljivosti prostora na izgradnju OIE objekata</w:t>
      </w:r>
      <w:r w:rsidR="00686BDB">
        <w:rPr>
          <w:rFonts w:cs="Arial"/>
          <w:color w:val="000000"/>
          <w:lang w:eastAsia="en-GB"/>
        </w:rPr>
        <w:t xml:space="preserve"> </w:t>
      </w:r>
      <w:r w:rsidR="00686BDB" w:rsidRPr="00686BDB">
        <w:rPr>
          <w:rFonts w:cs="Arial"/>
          <w:color w:val="000000"/>
          <w:lang w:eastAsia="en-GB"/>
        </w:rPr>
        <w:t>(proizvodnih postrojenja koja koriste OIE s pratećom infrastrukturom)</w:t>
      </w:r>
      <w:r w:rsidRPr="00B56FE5">
        <w:rPr>
          <w:rFonts w:cs="Arial"/>
          <w:color w:val="000000"/>
          <w:lang w:eastAsia="en-GB"/>
        </w:rPr>
        <w:t>.</w:t>
      </w:r>
      <w:r w:rsidR="00622DB1">
        <w:rPr>
          <w:rFonts w:cs="Arial"/>
          <w:color w:val="000000"/>
          <w:lang w:eastAsia="en-GB"/>
        </w:rPr>
        <w:t xml:space="preserve"> </w:t>
      </w:r>
    </w:p>
    <w:p w14:paraId="52AF4D38" w14:textId="026AE991"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Sredstva potrebna za provedbu: </w:t>
      </w:r>
      <w:r w:rsidR="00686BDB" w:rsidRPr="00840E2E">
        <w:rPr>
          <w:rFonts w:ascii="Arial" w:hAnsi="Arial" w:cs="Arial"/>
          <w:color w:val="000000"/>
          <w:sz w:val="22"/>
          <w:szCs w:val="22"/>
          <w:lang w:eastAsia="en-GB"/>
        </w:rPr>
        <w:t>početna sredstva</w:t>
      </w:r>
      <w:r w:rsidR="00686BDB">
        <w:rPr>
          <w:rFonts w:ascii="Arial" w:hAnsi="Arial" w:cs="Arial"/>
          <w:b/>
          <w:bCs/>
          <w:color w:val="000000"/>
          <w:sz w:val="22"/>
          <w:szCs w:val="22"/>
          <w:lang w:eastAsia="en-GB"/>
        </w:rPr>
        <w:t xml:space="preserve"> </w:t>
      </w:r>
      <w:r w:rsidRPr="00B56FE5">
        <w:rPr>
          <w:rFonts w:ascii="Arial" w:hAnsi="Arial" w:cs="Arial"/>
          <w:color w:val="000000"/>
          <w:sz w:val="22"/>
          <w:szCs w:val="22"/>
          <w:lang w:eastAsia="en-GB"/>
        </w:rPr>
        <w:t xml:space="preserve">1 000 000 kn + sredstva namijenjena za implementaciju strategije i akcijskog plana </w:t>
      </w:r>
      <w:r w:rsidR="009A2C60" w:rsidRPr="009A2C60">
        <w:rPr>
          <w:rFonts w:ascii="Arial" w:hAnsi="Arial" w:cs="Arial"/>
          <w:color w:val="000000"/>
          <w:sz w:val="22"/>
          <w:szCs w:val="22"/>
          <w:lang w:eastAsia="en-GB"/>
        </w:rPr>
        <w:t xml:space="preserve">primjene mjera zaštite u postupcima prema posebnim zakonima </w:t>
      </w:r>
      <w:r w:rsidRPr="00B56FE5">
        <w:rPr>
          <w:rFonts w:ascii="Arial" w:hAnsi="Arial" w:cs="Arial"/>
          <w:color w:val="000000"/>
          <w:sz w:val="22"/>
          <w:szCs w:val="22"/>
          <w:lang w:eastAsia="en-GB"/>
        </w:rPr>
        <w:t>+ redovni rad državnih tijela</w:t>
      </w:r>
      <w:r w:rsidR="00B42820">
        <w:rPr>
          <w:rFonts w:ascii="Arial" w:hAnsi="Arial" w:cs="Arial"/>
          <w:color w:val="000000"/>
          <w:sz w:val="22"/>
          <w:szCs w:val="22"/>
          <w:lang w:eastAsia="en-GB"/>
        </w:rPr>
        <w:t xml:space="preserve"> </w:t>
      </w:r>
      <w:r w:rsidR="00B42820" w:rsidRPr="00B42820">
        <w:rPr>
          <w:rFonts w:ascii="Arial" w:hAnsi="Arial" w:cs="Arial"/>
          <w:color w:val="000000"/>
          <w:sz w:val="22"/>
          <w:szCs w:val="22"/>
          <w:lang w:eastAsia="en-GB"/>
        </w:rPr>
        <w:t xml:space="preserve">+ novu generaciju </w:t>
      </w:r>
      <w:r w:rsidR="002F27BF">
        <w:rPr>
          <w:rFonts w:ascii="Arial" w:hAnsi="Arial" w:cs="Arial"/>
          <w:color w:val="000000"/>
          <w:sz w:val="22"/>
          <w:szCs w:val="22"/>
          <w:lang w:eastAsia="en-GB"/>
        </w:rPr>
        <w:t>prostornih planova</w:t>
      </w:r>
    </w:p>
    <w:p w14:paraId="2A324DF6" w14:textId="7BD726A0"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lastRenderedPageBreak/>
        <w:t xml:space="preserve">Izvori financiranja: </w:t>
      </w:r>
      <w:r w:rsidRPr="00B56FE5">
        <w:rPr>
          <w:rFonts w:ascii="Arial" w:hAnsi="Arial" w:cs="Arial"/>
          <w:color w:val="000000"/>
          <w:sz w:val="22"/>
          <w:szCs w:val="22"/>
          <w:lang w:eastAsia="en-GB"/>
        </w:rPr>
        <w:t xml:space="preserve">EU sredstva, Svjetska banka (za mapiranje i analize); proračun države, županija, gradova i općina (za </w:t>
      </w:r>
      <w:r w:rsidR="0055689D" w:rsidRPr="0055689D">
        <w:rPr>
          <w:rFonts w:ascii="Arial" w:hAnsi="Arial" w:cs="Arial"/>
          <w:color w:val="000000"/>
          <w:sz w:val="22"/>
          <w:szCs w:val="22"/>
          <w:lang w:eastAsia="en-GB"/>
        </w:rPr>
        <w:t>primjenu mjera zaštite u postupcima prema posebnim zakonima</w:t>
      </w:r>
      <w:r w:rsidR="00622DB1">
        <w:rPr>
          <w:rFonts w:ascii="Arial" w:hAnsi="Arial" w:cs="Arial"/>
          <w:color w:val="000000"/>
          <w:sz w:val="22"/>
          <w:szCs w:val="22"/>
          <w:lang w:eastAsia="en-GB"/>
        </w:rPr>
        <w:t xml:space="preserve"> </w:t>
      </w:r>
      <w:r w:rsidR="0055689D" w:rsidRPr="0055689D">
        <w:rPr>
          <w:rFonts w:ascii="Arial" w:hAnsi="Arial" w:cs="Arial"/>
          <w:color w:val="000000"/>
          <w:sz w:val="22"/>
          <w:szCs w:val="22"/>
          <w:lang w:eastAsia="en-GB"/>
        </w:rPr>
        <w:t xml:space="preserve">i novu generaciju </w:t>
      </w:r>
      <w:r w:rsidR="002F27BF">
        <w:rPr>
          <w:rFonts w:ascii="Arial" w:hAnsi="Arial" w:cs="Arial"/>
          <w:color w:val="000000"/>
          <w:sz w:val="22"/>
          <w:szCs w:val="22"/>
          <w:lang w:eastAsia="en-GB"/>
        </w:rPr>
        <w:t>prostornih planova</w:t>
      </w:r>
      <w:r w:rsidRPr="00B56FE5">
        <w:rPr>
          <w:rFonts w:ascii="Arial" w:hAnsi="Arial" w:cs="Arial"/>
          <w:color w:val="000000"/>
          <w:sz w:val="22"/>
          <w:szCs w:val="22"/>
          <w:lang w:eastAsia="en-GB"/>
        </w:rPr>
        <w:t>)</w:t>
      </w:r>
    </w:p>
    <w:p w14:paraId="66E5B06E" w14:textId="150E2736"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Izvršno tijelo:</w:t>
      </w:r>
      <w:r w:rsidRPr="00B56FE5">
        <w:rPr>
          <w:rFonts w:ascii="Arial" w:hAnsi="Arial" w:cs="Arial"/>
          <w:color w:val="000000"/>
          <w:sz w:val="22"/>
          <w:szCs w:val="22"/>
          <w:lang w:eastAsia="en-GB"/>
        </w:rPr>
        <w:t xml:space="preserve"> MGIPU i MZOE, u suradnji s Ministarstvom poljoprivrede; županije, gradovi i općine</w:t>
      </w:r>
    </w:p>
    <w:p w14:paraId="14AE528A" w14:textId="77777777"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Tijela za praćenje (nadzor): </w:t>
      </w:r>
      <w:r w:rsidRPr="00B56FE5">
        <w:rPr>
          <w:rFonts w:ascii="Arial" w:hAnsi="Arial" w:cs="Arial"/>
          <w:color w:val="000000"/>
          <w:sz w:val="22"/>
          <w:szCs w:val="22"/>
          <w:lang w:eastAsia="en-GB"/>
        </w:rPr>
        <w:t>MGIPU, MZOE</w:t>
      </w:r>
    </w:p>
    <w:p w14:paraId="7EA14528" w14:textId="3D904007" w:rsidR="00AB538B" w:rsidRPr="00B56FE5" w:rsidRDefault="00AB538B" w:rsidP="0002513F">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 xml:space="preserve">Učinak: </w:t>
      </w:r>
      <w:r w:rsidRPr="00B56FE5">
        <w:rPr>
          <w:rFonts w:ascii="Arial" w:hAnsi="Arial" w:cs="Arial"/>
          <w:color w:val="000000"/>
          <w:sz w:val="22"/>
          <w:szCs w:val="22"/>
          <w:lang w:eastAsia="en-GB"/>
        </w:rPr>
        <w:t>Povećanje instalirane snage OIE</w:t>
      </w:r>
      <w:r w:rsidR="008A729C">
        <w:rPr>
          <w:rFonts w:ascii="Arial" w:hAnsi="Arial" w:cs="Arial"/>
          <w:color w:val="000000"/>
          <w:sz w:val="22"/>
          <w:szCs w:val="22"/>
          <w:lang w:eastAsia="en-GB"/>
        </w:rPr>
        <w:t xml:space="preserve"> </w:t>
      </w:r>
      <w:r w:rsidR="008A729C" w:rsidRPr="008A729C">
        <w:rPr>
          <w:rFonts w:ascii="Arial" w:hAnsi="Arial" w:cs="Arial"/>
          <w:color w:val="000000"/>
          <w:sz w:val="22"/>
          <w:szCs w:val="22"/>
          <w:lang w:eastAsia="en-GB"/>
        </w:rPr>
        <w:t>u PP nove generacije</w:t>
      </w:r>
      <w:r w:rsidRPr="00B56FE5">
        <w:rPr>
          <w:rFonts w:ascii="Arial" w:hAnsi="Arial" w:cs="Arial"/>
          <w:color w:val="000000"/>
          <w:sz w:val="22"/>
          <w:szCs w:val="22"/>
          <w:lang w:eastAsia="en-GB"/>
        </w:rPr>
        <w:t xml:space="preserve">, uz održivo korištenje </w:t>
      </w:r>
      <w:r w:rsidR="008A729C">
        <w:rPr>
          <w:rFonts w:ascii="Arial" w:hAnsi="Arial" w:cs="Arial"/>
          <w:color w:val="000000"/>
          <w:sz w:val="22"/>
          <w:szCs w:val="22"/>
          <w:lang w:eastAsia="en-GB"/>
        </w:rPr>
        <w:t xml:space="preserve">prostora i </w:t>
      </w:r>
      <w:r w:rsidRPr="00B56FE5">
        <w:rPr>
          <w:rFonts w:ascii="Arial" w:hAnsi="Arial" w:cs="Arial"/>
          <w:color w:val="000000"/>
          <w:sz w:val="22"/>
          <w:szCs w:val="22"/>
          <w:lang w:eastAsia="en-GB"/>
        </w:rPr>
        <w:t>prirodnih dobara (prihvatljive utjecaje na okoliš i prirodu) i smanjenje emisije stakleničkih plinova.</w:t>
      </w:r>
    </w:p>
    <w:p w14:paraId="0BE7053F" w14:textId="1255EBBA"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Metoda praćenja:</w:t>
      </w:r>
      <w:r w:rsidRPr="00B56FE5">
        <w:rPr>
          <w:rFonts w:ascii="Arial" w:hAnsi="Arial" w:cs="Arial"/>
          <w:color w:val="000000"/>
          <w:sz w:val="22"/>
          <w:szCs w:val="22"/>
          <w:lang w:eastAsia="en-GB"/>
        </w:rPr>
        <w:t xml:space="preserve"> Broj županija koje su definirale uvjete lokacije i izgradnje postrojenja za OIE, </w:t>
      </w:r>
      <w:r w:rsidR="0049073F">
        <w:rPr>
          <w:rFonts w:ascii="Arial" w:hAnsi="Arial" w:cs="Arial"/>
          <w:color w:val="000000"/>
          <w:sz w:val="22"/>
          <w:szCs w:val="22"/>
          <w:lang w:eastAsia="en-GB"/>
        </w:rPr>
        <w:t>na temelju</w:t>
      </w:r>
      <w:r w:rsidR="0049073F" w:rsidRPr="00B56FE5">
        <w:rPr>
          <w:rFonts w:ascii="Arial" w:hAnsi="Arial" w:cs="Arial"/>
          <w:color w:val="000000"/>
          <w:sz w:val="22"/>
          <w:szCs w:val="22"/>
          <w:lang w:eastAsia="en-GB"/>
        </w:rPr>
        <w:t xml:space="preserve"> </w:t>
      </w:r>
      <w:r w:rsidRPr="00B56FE5">
        <w:rPr>
          <w:rFonts w:ascii="Arial" w:hAnsi="Arial" w:cs="Arial"/>
          <w:color w:val="000000"/>
          <w:sz w:val="22"/>
          <w:szCs w:val="22"/>
          <w:lang w:eastAsia="en-GB"/>
        </w:rPr>
        <w:t>propisanih smjernica, a uz uvažanje osjetljivosti prostora na svom području</w:t>
      </w:r>
      <w:r w:rsidR="000F7F04">
        <w:rPr>
          <w:rFonts w:ascii="Arial" w:hAnsi="Arial" w:cs="Arial"/>
          <w:color w:val="000000"/>
          <w:sz w:val="22"/>
          <w:szCs w:val="22"/>
          <w:lang w:eastAsia="en-GB"/>
        </w:rPr>
        <w:t xml:space="preserve"> </w:t>
      </w:r>
      <w:r w:rsidR="000F7F04" w:rsidRPr="000F7F04">
        <w:rPr>
          <w:rFonts w:ascii="Arial" w:hAnsi="Arial" w:cs="Arial"/>
          <w:color w:val="000000"/>
          <w:sz w:val="22"/>
          <w:szCs w:val="22"/>
          <w:lang w:eastAsia="en-GB"/>
        </w:rPr>
        <w:t>uz primjenu mjera zaštite u postupcima prema posebnim zakonima</w:t>
      </w:r>
      <w:r w:rsidRPr="00B56FE5">
        <w:rPr>
          <w:rFonts w:ascii="Arial" w:hAnsi="Arial" w:cs="Arial"/>
          <w:color w:val="000000"/>
          <w:sz w:val="22"/>
          <w:szCs w:val="22"/>
          <w:lang w:eastAsia="en-GB"/>
        </w:rPr>
        <w:t>; trajanje upravnih postupaka u okviru razvoja projekata OIE; instalirana snaga OIE objekata</w:t>
      </w:r>
      <w:r w:rsidR="00FB06C0">
        <w:rPr>
          <w:rFonts w:ascii="Arial" w:hAnsi="Arial" w:cs="Arial"/>
          <w:color w:val="000000"/>
          <w:sz w:val="22"/>
          <w:szCs w:val="22"/>
          <w:lang w:eastAsia="en-GB"/>
        </w:rPr>
        <w:t xml:space="preserve"> </w:t>
      </w:r>
      <w:r w:rsidR="00FB06C0" w:rsidRPr="00FB06C0">
        <w:rPr>
          <w:rFonts w:ascii="Arial" w:hAnsi="Arial" w:cs="Arial"/>
          <w:color w:val="000000"/>
          <w:sz w:val="22"/>
          <w:szCs w:val="22"/>
          <w:lang w:eastAsia="en-GB"/>
        </w:rPr>
        <w:t>(proizvodnih postrojenja koja koriste OIE s pratećom infrastrukturom).</w:t>
      </w:r>
    </w:p>
    <w:p w14:paraId="38C10326" w14:textId="2B249EE8" w:rsidR="00AB538B" w:rsidRPr="00B56FE5" w:rsidRDefault="00AB538B" w:rsidP="0002513F">
      <w:pPr>
        <w:pStyle w:val="NormalWeb"/>
        <w:spacing w:after="120" w:line="288" w:lineRule="auto"/>
        <w:jc w:val="both"/>
        <w:rPr>
          <w:rFonts w:ascii="Arial" w:hAnsi="Arial" w:cs="Arial"/>
          <w:b/>
          <w:bCs/>
          <w:color w:val="000000"/>
          <w:sz w:val="22"/>
          <w:szCs w:val="22"/>
          <w:lang w:eastAsia="en-GB"/>
        </w:rPr>
      </w:pPr>
      <w:r w:rsidRPr="00B56FE5">
        <w:rPr>
          <w:rFonts w:ascii="Arial" w:hAnsi="Arial" w:cs="Arial"/>
          <w:b/>
          <w:bCs/>
          <w:color w:val="000000"/>
          <w:sz w:val="22"/>
          <w:szCs w:val="22"/>
          <w:lang w:eastAsia="en-GB"/>
        </w:rPr>
        <w:t xml:space="preserve">Povezanost s drugim dimenzijama: </w:t>
      </w:r>
      <w:r w:rsidR="0047377B" w:rsidRPr="0047377B">
        <w:rPr>
          <w:rFonts w:ascii="Arial" w:hAnsi="Arial" w:cs="Arial"/>
          <w:color w:val="000000"/>
          <w:sz w:val="22"/>
          <w:szCs w:val="22"/>
          <w:lang w:eastAsia="en-GB"/>
        </w:rPr>
        <w:t>Mjera je povezana s dimenzijom povećanja energetske sigurnosti (uvjeti za povećanje proizvodnje energije) i razvoja unutarnjeg energetskog tržišta. Unutar ove mjere potrebno je provesti određena istraživanja, pa je mjera povezana i s dimenzijom istraživanja i razvoja.</w:t>
      </w:r>
    </w:p>
    <w:p w14:paraId="5FA2AAA9" w14:textId="77777777"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Povezanost s prilagodbom klimatskim promjenama: </w:t>
      </w:r>
      <w:r w:rsidRPr="00B56FE5">
        <w:rPr>
          <w:rFonts w:ascii="Arial" w:hAnsi="Arial" w:cs="Arial"/>
          <w:color w:val="000000"/>
          <w:sz w:val="22"/>
          <w:szCs w:val="22"/>
          <w:lang w:eastAsia="en-GB"/>
        </w:rPr>
        <w:t xml:space="preserve">Korištenja OIE se planira uz integraciju mjera prilagodbe klimatskim promjenama te jačanje otpornosti, odnosno smanjenja ranjivosti OIE tehnologija na klimatske promjene. </w:t>
      </w:r>
    </w:p>
    <w:p w14:paraId="7E79F7C6" w14:textId="77777777" w:rsidR="00AB538B" w:rsidRPr="00B56FE5" w:rsidRDefault="00AB538B" w:rsidP="0002513F">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Istraživanje i razvoj</w:t>
      </w:r>
      <w:r w:rsidRPr="00B56FE5">
        <w:rPr>
          <w:rFonts w:ascii="Arial" w:hAnsi="Arial" w:cs="Arial"/>
          <w:color w:val="000000"/>
          <w:sz w:val="22"/>
          <w:szCs w:val="22"/>
          <w:lang w:eastAsia="en-GB"/>
        </w:rPr>
        <w:t xml:space="preserve">: Da. Poveznica kroz istraživanje potencijala resursa te kartiranje prostornih, okolišnih i infrastrukturnih ograničenja te osjetljivost prostora za izgradnju i rad postrojenja. </w:t>
      </w:r>
    </w:p>
    <w:p w14:paraId="6F3DB58D" w14:textId="77777777" w:rsidR="00BA49C6" w:rsidRDefault="00BA49C6" w:rsidP="0002513F">
      <w:pPr>
        <w:pStyle w:val="NormalWeb"/>
        <w:spacing w:after="120" w:line="288" w:lineRule="auto"/>
        <w:jc w:val="both"/>
        <w:rPr>
          <w:rFonts w:ascii="Arial" w:hAnsi="Arial" w:cs="Arial"/>
          <w:b/>
          <w:bCs/>
          <w:color w:val="000000"/>
          <w:sz w:val="22"/>
          <w:szCs w:val="22"/>
          <w:lang w:eastAsia="en-GB"/>
        </w:rPr>
      </w:pPr>
    </w:p>
    <w:p w14:paraId="07E57EE4" w14:textId="51A2D7CD"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OIE-3 Poticanje korištenja OIE za proizvodnju električne i toplinske energije</w:t>
      </w:r>
    </w:p>
    <w:p w14:paraId="0A41AAE7" w14:textId="77777777" w:rsidR="00AB538B" w:rsidRPr="00B56FE5" w:rsidRDefault="00AB538B" w:rsidP="0002513F">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Financijska mjera; provedba 2021.-2030.</w:t>
      </w:r>
    </w:p>
    <w:p w14:paraId="5E128A7E" w14:textId="77777777" w:rsidR="00AB538B" w:rsidRPr="00B56FE5" w:rsidRDefault="00AB538B" w:rsidP="0002513F">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Osiguravanje financijskih poticaja za razvoj projekata korištenja OIE za proizvodnju električne i toplinske energije.</w:t>
      </w:r>
      <w:r w:rsidRPr="00B56FE5">
        <w:rPr>
          <w:rFonts w:ascii="Arial" w:hAnsi="Arial" w:cs="Arial"/>
          <w:sz w:val="22"/>
          <w:szCs w:val="22"/>
        </w:rPr>
        <w:t xml:space="preserve"> </w:t>
      </w:r>
      <w:r w:rsidRPr="00B56FE5">
        <w:rPr>
          <w:rFonts w:ascii="Arial" w:hAnsi="Arial" w:cs="Arial"/>
          <w:color w:val="000000"/>
          <w:sz w:val="22"/>
          <w:szCs w:val="22"/>
          <w:lang w:eastAsia="en-GB"/>
        </w:rPr>
        <w:t>Poticanje korištenja OIE za proizvodnju električne i toplinske energije će se provoditi na nacionalnoj razini.</w:t>
      </w:r>
    </w:p>
    <w:p w14:paraId="0857F2F9" w14:textId="77777777" w:rsidR="00AB538B" w:rsidRPr="00B56FE5" w:rsidRDefault="00AB538B" w:rsidP="0002513F">
      <w:pPr>
        <w:pStyle w:val="NormalWeb"/>
        <w:spacing w:before="0" w:beforeAutospacing="0" w:after="120" w:afterAutospacing="0" w:line="288" w:lineRule="auto"/>
        <w:jc w:val="both"/>
        <w:rPr>
          <w:rFonts w:ascii="Arial" w:hAnsi="Arial" w:cs="Arial"/>
          <w:color w:val="000000"/>
          <w:sz w:val="22"/>
          <w:szCs w:val="22"/>
        </w:rPr>
      </w:pPr>
      <w:r w:rsidRPr="00B56FE5">
        <w:rPr>
          <w:rFonts w:ascii="Arial" w:hAnsi="Arial" w:cs="Arial"/>
          <w:b/>
          <w:bCs/>
          <w:color w:val="000000"/>
          <w:sz w:val="22"/>
          <w:szCs w:val="22"/>
          <w:lang w:eastAsia="en-GB"/>
        </w:rPr>
        <w:t>Aktivnosti:</w:t>
      </w:r>
      <w:r w:rsidRPr="00B56FE5">
        <w:rPr>
          <w:rFonts w:ascii="Arial" w:hAnsi="Arial" w:cs="Arial"/>
          <w:color w:val="000000"/>
          <w:sz w:val="22"/>
          <w:szCs w:val="22"/>
          <w:lang w:eastAsia="en-GB"/>
        </w:rPr>
        <w:t xml:space="preserve"> U okviru mjere provest će se sljedeće aktivnosti: </w:t>
      </w:r>
    </w:p>
    <w:p w14:paraId="3110DCDA" w14:textId="77777777" w:rsidR="00AB538B" w:rsidRPr="00B56FE5" w:rsidRDefault="00AB538B" w:rsidP="00840E2E">
      <w:pPr>
        <w:numPr>
          <w:ilvl w:val="0"/>
          <w:numId w:val="105"/>
        </w:numPr>
        <w:suppressAutoHyphens w:val="0"/>
        <w:spacing w:before="0"/>
        <w:ind w:left="714" w:hanging="357"/>
        <w:rPr>
          <w:rFonts w:cs="Arial"/>
          <w:color w:val="000000"/>
          <w:lang w:eastAsia="en-GB"/>
        </w:rPr>
      </w:pPr>
      <w:r w:rsidRPr="00B56FE5">
        <w:rPr>
          <w:rFonts w:cs="Arial"/>
          <w:color w:val="000000"/>
          <w:lang w:eastAsia="en-GB"/>
        </w:rPr>
        <w:t>HROTE nastavlja isplatu poticaja za proizvodnju električne energije elektranama koja koriste OIE u razdoblju trajanja ugovora o otkupu;</w:t>
      </w:r>
    </w:p>
    <w:p w14:paraId="6EF558FB" w14:textId="77777777" w:rsidR="00AB538B" w:rsidRPr="00B56FE5" w:rsidRDefault="00AB538B" w:rsidP="00840E2E">
      <w:pPr>
        <w:numPr>
          <w:ilvl w:val="0"/>
          <w:numId w:val="105"/>
        </w:numPr>
        <w:suppressAutoHyphens w:val="0"/>
        <w:spacing w:before="0"/>
        <w:rPr>
          <w:rFonts w:cs="Arial"/>
          <w:color w:val="000000"/>
          <w:lang w:eastAsia="en-GB"/>
        </w:rPr>
      </w:pPr>
      <w:r w:rsidRPr="00B56FE5">
        <w:rPr>
          <w:rFonts w:cs="Arial"/>
          <w:color w:val="000000"/>
          <w:lang w:eastAsia="en-GB"/>
        </w:rPr>
        <w:lastRenderedPageBreak/>
        <w:t>HROTE izrađuje trogodišnje planove za OIE i raspisuje natječaje za dodjelu tržišne premije;</w:t>
      </w:r>
    </w:p>
    <w:p w14:paraId="55638174" w14:textId="04451544" w:rsidR="00AB538B" w:rsidRPr="00B56FE5" w:rsidRDefault="00AB538B" w:rsidP="00840E2E">
      <w:pPr>
        <w:numPr>
          <w:ilvl w:val="0"/>
          <w:numId w:val="105"/>
        </w:numPr>
        <w:suppressAutoHyphens w:val="0"/>
        <w:spacing w:before="0"/>
        <w:rPr>
          <w:rFonts w:cs="Arial"/>
          <w:color w:val="000000"/>
          <w:lang w:eastAsia="en-GB"/>
        </w:rPr>
      </w:pPr>
      <w:r w:rsidRPr="00B56FE5">
        <w:rPr>
          <w:rFonts w:cs="Arial"/>
          <w:color w:val="000000"/>
          <w:lang w:eastAsia="en-GB"/>
        </w:rPr>
        <w:t>HROTE uspostavlja funkcioniranje premijskog sustava prema Zakonu o OIEiV</w:t>
      </w:r>
      <w:r w:rsidR="000701BB">
        <w:rPr>
          <w:rFonts w:cs="Arial"/>
          <w:color w:val="000000"/>
          <w:lang w:eastAsia="en-GB"/>
        </w:rPr>
        <w:t>u</w:t>
      </w:r>
      <w:r w:rsidRPr="00B56FE5">
        <w:rPr>
          <w:rFonts w:cs="Arial"/>
          <w:color w:val="000000"/>
          <w:lang w:eastAsia="en-GB"/>
        </w:rPr>
        <w:t>K uz modifikacije sustava koje su omogućene promjenom tržnog statusa pojedinih OIE tehnologija te razvojem</w:t>
      </w:r>
      <w:r w:rsidR="0002513F">
        <w:rPr>
          <w:rFonts w:cs="Arial"/>
          <w:color w:val="000000"/>
          <w:lang w:eastAsia="en-GB"/>
        </w:rPr>
        <w:t xml:space="preserve"> dan unaprijed i unutardnevnog</w:t>
      </w:r>
      <w:r w:rsidRPr="00B56FE5">
        <w:rPr>
          <w:rFonts w:cs="Arial"/>
          <w:color w:val="000000"/>
          <w:lang w:eastAsia="en-GB"/>
        </w:rPr>
        <w:t xml:space="preserve"> tržišta električne energije, a isključivo radi ublažavanja tržnih rizika novih OIE projekata; premijski sustav se implementira u minimalnom opsegu kao tranzicijska mjera do pune trž</w:t>
      </w:r>
      <w:r w:rsidR="003478C5">
        <w:rPr>
          <w:rFonts w:cs="Arial"/>
          <w:color w:val="000000"/>
          <w:lang w:eastAsia="en-GB"/>
        </w:rPr>
        <w:t>iš</w:t>
      </w:r>
      <w:r w:rsidRPr="00B56FE5">
        <w:rPr>
          <w:rFonts w:cs="Arial"/>
          <w:color w:val="000000"/>
          <w:lang w:eastAsia="en-GB"/>
        </w:rPr>
        <w:t>ne integracije OIE;</w:t>
      </w:r>
    </w:p>
    <w:p w14:paraId="119300FC" w14:textId="78CC8E11" w:rsidR="003478C5" w:rsidRDefault="00F214B0" w:rsidP="00840E2E">
      <w:pPr>
        <w:numPr>
          <w:ilvl w:val="0"/>
          <w:numId w:val="105"/>
        </w:numPr>
        <w:suppressAutoHyphens w:val="0"/>
        <w:spacing w:before="0"/>
        <w:rPr>
          <w:rFonts w:cs="Arial"/>
          <w:color w:val="000000"/>
          <w:lang w:eastAsia="en-GB"/>
        </w:rPr>
      </w:pPr>
      <w:r>
        <w:rPr>
          <w:rFonts w:cs="Arial"/>
          <w:color w:val="000000"/>
          <w:lang w:eastAsia="en-GB"/>
        </w:rPr>
        <w:t>Nastavit će se</w:t>
      </w:r>
      <w:r w:rsidR="003478C5" w:rsidRPr="003478C5">
        <w:rPr>
          <w:rFonts w:cs="Arial"/>
          <w:color w:val="000000"/>
          <w:lang w:eastAsia="en-GB"/>
        </w:rPr>
        <w:t xml:space="preserve"> s aktivnostima pregleda i analize mogućih geotermalnih potencijala te inicirati pokretanje postupaka nadmetanja radi odabira najpovoljnijeg ponuditelja za istraživanje geotermalnih voda u energetske svrhe</w:t>
      </w:r>
      <w:r w:rsidR="003478C5">
        <w:rPr>
          <w:rFonts w:cs="Arial"/>
          <w:color w:val="000000"/>
          <w:lang w:eastAsia="en-GB"/>
        </w:rPr>
        <w:t>;</w:t>
      </w:r>
    </w:p>
    <w:p w14:paraId="656A2B1C" w14:textId="69C3A4B7" w:rsidR="00AB538B" w:rsidRPr="00B56FE5" w:rsidRDefault="00AB538B" w:rsidP="00840E2E">
      <w:pPr>
        <w:numPr>
          <w:ilvl w:val="0"/>
          <w:numId w:val="105"/>
        </w:numPr>
        <w:suppressAutoHyphens w:val="0"/>
        <w:spacing w:before="0"/>
        <w:rPr>
          <w:rFonts w:cs="Arial"/>
          <w:color w:val="000000"/>
          <w:lang w:eastAsia="en-GB"/>
        </w:rPr>
      </w:pPr>
      <w:r w:rsidRPr="00B56FE5">
        <w:rPr>
          <w:rFonts w:cs="Arial"/>
          <w:color w:val="000000"/>
          <w:lang w:eastAsia="en-GB"/>
        </w:rPr>
        <w:t>Nastavlja se primjena modela preuzimanja viškova energije iz postrojenja za samoopskrbu i krajnjih kupaca s vlastitom proizvodnjom uz eventualnu investicijsku potporu i obvezu opskrbljivača da preuzme viškove energije;</w:t>
      </w:r>
    </w:p>
    <w:p w14:paraId="3504C78F" w14:textId="77777777" w:rsidR="00AB538B" w:rsidRPr="00B56FE5" w:rsidRDefault="00AB538B" w:rsidP="00840E2E">
      <w:pPr>
        <w:numPr>
          <w:ilvl w:val="0"/>
          <w:numId w:val="105"/>
        </w:numPr>
        <w:suppressAutoHyphens w:val="0"/>
        <w:spacing w:before="0"/>
        <w:rPr>
          <w:rFonts w:cs="Arial"/>
          <w:color w:val="000000"/>
          <w:lang w:eastAsia="en-GB"/>
        </w:rPr>
      </w:pPr>
      <w:r w:rsidRPr="00B56FE5">
        <w:rPr>
          <w:rFonts w:cs="Arial"/>
          <w:color w:val="000000"/>
          <w:lang w:eastAsia="en-GB"/>
        </w:rPr>
        <w:t>FZOEU sudjeluje s financijskim poticajima na strani investicije za projekte korištenja OIE za proizvodnju toplinske energije, i manje sustave koji koriste OIE;</w:t>
      </w:r>
    </w:p>
    <w:p w14:paraId="1368927E" w14:textId="77777777" w:rsidR="00AB538B" w:rsidRPr="00B56FE5" w:rsidRDefault="00AB538B" w:rsidP="00840E2E">
      <w:pPr>
        <w:numPr>
          <w:ilvl w:val="0"/>
          <w:numId w:val="105"/>
        </w:numPr>
        <w:suppressAutoHyphens w:val="0"/>
        <w:spacing w:before="0"/>
        <w:rPr>
          <w:rFonts w:cs="Arial"/>
          <w:color w:val="000000"/>
          <w:lang w:eastAsia="en-GB"/>
        </w:rPr>
      </w:pPr>
      <w:r w:rsidRPr="00B56FE5">
        <w:rPr>
          <w:rFonts w:cs="Arial"/>
          <w:color w:val="000000"/>
          <w:lang w:eastAsia="en-GB"/>
        </w:rPr>
        <w:t>FZOEU alocira dio sredstava dobivenih od prodaje emisijskih jedinica putem dražbi u okviru EU ETS-a za mjere poticanja OIE na investicijskoj strani i za rasterećenje krajnjih kupaca od rasta naknade za poticanje OIE;</w:t>
      </w:r>
    </w:p>
    <w:p w14:paraId="2DC8A193" w14:textId="6314BF73" w:rsidR="00AB538B" w:rsidRPr="00B56FE5" w:rsidRDefault="00AB538B" w:rsidP="00840E2E">
      <w:pPr>
        <w:numPr>
          <w:ilvl w:val="0"/>
          <w:numId w:val="105"/>
        </w:numPr>
        <w:suppressAutoHyphens w:val="0"/>
        <w:spacing w:before="0"/>
        <w:ind w:left="714" w:hanging="357"/>
        <w:rPr>
          <w:rFonts w:cs="Arial"/>
          <w:color w:val="000000"/>
        </w:rPr>
      </w:pPr>
      <w:r w:rsidRPr="00B56FE5">
        <w:rPr>
          <w:rFonts w:cs="Arial"/>
          <w:color w:val="000000"/>
          <w:lang w:eastAsia="en-GB"/>
        </w:rPr>
        <w:t>Ministarstvo poljoprivrede kroz Program ruralnog razvoja osigurava financiranje investicijskih potpora za projekte biomase i drugih OIE.</w:t>
      </w:r>
      <w:r w:rsidR="00622DB1">
        <w:rPr>
          <w:rFonts w:cs="Arial"/>
          <w:color w:val="000000"/>
          <w:lang w:eastAsia="en-GB"/>
        </w:rPr>
        <w:t xml:space="preserve"> </w:t>
      </w:r>
    </w:p>
    <w:p w14:paraId="04EB47EB" w14:textId="77777777" w:rsidR="00AB538B" w:rsidRPr="00B56FE5" w:rsidRDefault="00AB538B" w:rsidP="00AF1FBB">
      <w:pPr>
        <w:pStyle w:val="NormalWeb"/>
        <w:spacing w:after="120" w:line="288" w:lineRule="auto"/>
        <w:jc w:val="both"/>
        <w:rPr>
          <w:rFonts w:ascii="Arial" w:hAnsi="Arial" w:cs="Arial"/>
          <w:b/>
          <w:bCs/>
          <w:color w:val="000000"/>
          <w:sz w:val="22"/>
          <w:szCs w:val="22"/>
          <w:lang w:eastAsia="en-GB"/>
        </w:rPr>
      </w:pPr>
      <w:r w:rsidRPr="00B56FE5">
        <w:rPr>
          <w:rFonts w:ascii="Arial" w:hAnsi="Arial" w:cs="Arial"/>
          <w:b/>
          <w:bCs/>
          <w:color w:val="000000"/>
          <w:sz w:val="22"/>
          <w:szCs w:val="22"/>
          <w:lang w:eastAsia="en-GB"/>
        </w:rPr>
        <w:t xml:space="preserve">Sredstva potrebna za provedbu: </w:t>
      </w:r>
      <w:r w:rsidRPr="00B56FE5">
        <w:rPr>
          <w:rFonts w:ascii="Arial" w:hAnsi="Arial" w:cs="Arial"/>
          <w:color w:val="000000"/>
          <w:sz w:val="22"/>
          <w:szCs w:val="22"/>
          <w:lang w:eastAsia="en-GB"/>
        </w:rPr>
        <w:t>6-8 milijardi kuna za čitavo promatrano razdoblje</w:t>
      </w:r>
    </w:p>
    <w:p w14:paraId="5132A8BC" w14:textId="05E67A41" w:rsidR="00AB538B" w:rsidRPr="00B56FE5" w:rsidRDefault="00AB538B" w:rsidP="00AF1FBB">
      <w:pPr>
        <w:pStyle w:val="NormalWeb"/>
        <w:spacing w:after="120" w:line="288" w:lineRule="auto"/>
        <w:jc w:val="both"/>
        <w:rPr>
          <w:rFonts w:ascii="Arial" w:hAnsi="Arial" w:cs="Arial"/>
          <w:color w:val="000000"/>
          <w:sz w:val="22"/>
          <w:szCs w:val="22"/>
        </w:rPr>
      </w:pPr>
      <w:r w:rsidRPr="00B56FE5">
        <w:rPr>
          <w:rFonts w:ascii="Arial" w:hAnsi="Arial" w:cs="Arial"/>
          <w:color w:val="000000"/>
          <w:sz w:val="22"/>
          <w:szCs w:val="22"/>
          <w:lang w:eastAsia="en-GB"/>
        </w:rPr>
        <w:t>Očekuje se relativno brz pad niveliranih troškova proizvodnje električne energije iz sunčanih i vjetroelektrana do razine tržišne cijene, što implicira njihovu brzu integraciju u rad sustava bez dodatnih poticaja. Također se očekuje nastavak poticanja korištenja biomase, bioplina, hidroenergije i geotermalne energije.</w:t>
      </w:r>
      <w:r w:rsidR="007217B6">
        <w:rPr>
          <w:rFonts w:ascii="Arial" w:hAnsi="Arial" w:cs="Arial"/>
          <w:color w:val="000000"/>
          <w:sz w:val="22"/>
          <w:szCs w:val="22"/>
          <w:lang w:eastAsia="en-GB"/>
        </w:rPr>
        <w:t xml:space="preserve"> </w:t>
      </w:r>
      <w:r w:rsidR="007217B6" w:rsidRPr="007217B6">
        <w:rPr>
          <w:rFonts w:ascii="Arial" w:hAnsi="Arial" w:cs="Arial"/>
          <w:color w:val="000000"/>
          <w:sz w:val="22"/>
          <w:szCs w:val="22"/>
          <w:lang w:eastAsia="en-GB"/>
        </w:rPr>
        <w:t>Nadalje, potrebno je poticati iskorištavanje geotermalne energije kroz smanjenje istražnog rizika , a što je moguće realizirati sredstvima iz EU fondova, a u cilju ujednačavanja cijene energije dobivene iz geotermalne vode s ostalim OIE.</w:t>
      </w:r>
    </w:p>
    <w:p w14:paraId="1F800E23" w14:textId="77777777" w:rsidR="00AB538B" w:rsidRPr="00B56FE5" w:rsidRDefault="00AB538B" w:rsidP="00AF1FBB">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Izvori financiranja: </w:t>
      </w:r>
      <w:r w:rsidRPr="00B56FE5">
        <w:rPr>
          <w:rFonts w:ascii="Arial" w:hAnsi="Arial" w:cs="Arial"/>
          <w:color w:val="000000"/>
          <w:sz w:val="22"/>
          <w:szCs w:val="22"/>
          <w:lang w:eastAsia="en-GB"/>
        </w:rPr>
        <w:t>Naknada za OIE (HROTE); sredstava od prodaje obnovljive energije na tržištu; prihodi od trgovine jamstvima podrijetla; sredstva dobivena od prodaje emisijskih jedinica na dražbi (FZOEU) za investicijske potpore OIE i kao dodatni prihod FZOEU za operativno poticanje OIE kojim upravlja HROTE; sredstava iz EU fondova; sredstva iz posebnih fondova (Europski poljoprivredni fond za ruralni razvoj, i dr.) kao potpora za projekte biomase.</w:t>
      </w:r>
    </w:p>
    <w:p w14:paraId="0EAB2664" w14:textId="5D95462D" w:rsidR="00AB538B" w:rsidRPr="00B56FE5" w:rsidRDefault="00AB538B" w:rsidP="00AF1FBB">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Izvršno tijelo:</w:t>
      </w:r>
      <w:r w:rsidRPr="00B56FE5">
        <w:rPr>
          <w:rFonts w:ascii="Arial" w:hAnsi="Arial" w:cs="Arial"/>
          <w:color w:val="000000"/>
          <w:sz w:val="22"/>
          <w:szCs w:val="22"/>
          <w:lang w:eastAsia="en-GB"/>
        </w:rPr>
        <w:t xml:space="preserve"> HROTE – isplata poticaja, uspostavljanje premijskog modela sa zaštitnom cijenom i skraćenim trajanjem ugovora o premiji, raspis natječaja; MZOE – izrada planova; FZOEU – sudjelovanje u investicijskim potporama OIE te kao podrška sustava operativnog poticanja; MP</w:t>
      </w:r>
      <w:r w:rsidR="004840D1">
        <w:rPr>
          <w:rFonts w:ascii="Arial" w:hAnsi="Arial" w:cs="Arial"/>
          <w:color w:val="000000"/>
          <w:sz w:val="22"/>
          <w:szCs w:val="22"/>
          <w:lang w:eastAsia="en-GB"/>
        </w:rPr>
        <w:t>Š</w:t>
      </w:r>
      <w:r w:rsidRPr="00B56FE5">
        <w:rPr>
          <w:rFonts w:ascii="Arial" w:hAnsi="Arial" w:cs="Arial"/>
          <w:color w:val="000000"/>
          <w:sz w:val="22"/>
          <w:szCs w:val="22"/>
          <w:lang w:eastAsia="en-GB"/>
        </w:rPr>
        <w:t xml:space="preserve"> – provodi Program ruralnog razvoja te sudjeluje u investicijskim potporama </w:t>
      </w:r>
      <w:r w:rsidRPr="00B56FE5">
        <w:rPr>
          <w:rFonts w:ascii="Arial" w:hAnsi="Arial" w:cs="Arial"/>
          <w:color w:val="000000"/>
          <w:sz w:val="22"/>
          <w:szCs w:val="22"/>
          <w:lang w:eastAsia="en-GB"/>
        </w:rPr>
        <w:lastRenderedPageBreak/>
        <w:t>OIE</w:t>
      </w:r>
      <w:r w:rsidR="001E32D5">
        <w:rPr>
          <w:rFonts w:ascii="Arial" w:hAnsi="Arial" w:cs="Arial"/>
          <w:color w:val="000000"/>
          <w:sz w:val="22"/>
          <w:szCs w:val="22"/>
          <w:lang w:eastAsia="en-GB"/>
        </w:rPr>
        <w:t xml:space="preserve">; </w:t>
      </w:r>
      <w:r w:rsidR="00283BBE" w:rsidRPr="00283BBE">
        <w:rPr>
          <w:rFonts w:ascii="Arial" w:hAnsi="Arial" w:cs="Arial"/>
          <w:color w:val="000000"/>
          <w:sz w:val="22"/>
          <w:szCs w:val="22"/>
          <w:lang w:eastAsia="en-GB"/>
        </w:rPr>
        <w:t xml:space="preserve">AZU (Agencija za ugljikovodike) </w:t>
      </w:r>
      <w:r w:rsidR="00283BBE">
        <w:rPr>
          <w:rFonts w:ascii="Arial" w:hAnsi="Arial" w:cs="Arial"/>
          <w:color w:val="000000"/>
          <w:sz w:val="22"/>
          <w:szCs w:val="22"/>
          <w:lang w:eastAsia="en-GB"/>
        </w:rPr>
        <w:t xml:space="preserve">- </w:t>
      </w:r>
      <w:r w:rsidR="00283BBE" w:rsidRPr="00283BBE">
        <w:rPr>
          <w:rFonts w:ascii="Arial" w:hAnsi="Arial" w:cs="Arial"/>
          <w:color w:val="000000"/>
          <w:sz w:val="22"/>
          <w:szCs w:val="22"/>
          <w:lang w:eastAsia="en-GB"/>
        </w:rPr>
        <w:t>definiranje istražnih radnji, određivanje pravila i uvjeta prilikom istraživanja i eksploatacije geotermalnih voda u energetske svrhe kao i pružanje stručne podrške prilikom provođenja javnih nadmetanja</w:t>
      </w:r>
      <w:r w:rsidRPr="00B56FE5">
        <w:rPr>
          <w:rFonts w:ascii="Arial" w:hAnsi="Arial" w:cs="Arial"/>
          <w:color w:val="000000"/>
          <w:sz w:val="22"/>
          <w:szCs w:val="22"/>
          <w:lang w:eastAsia="en-GB"/>
        </w:rPr>
        <w:t>.</w:t>
      </w:r>
    </w:p>
    <w:p w14:paraId="56EC7D5A" w14:textId="77777777" w:rsidR="00AB538B" w:rsidRPr="00B56FE5" w:rsidRDefault="00AB538B" w:rsidP="00AF1FBB">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Tijela za praćenje (nadzor): </w:t>
      </w:r>
      <w:r w:rsidRPr="00B56FE5">
        <w:rPr>
          <w:rFonts w:ascii="Arial" w:hAnsi="Arial" w:cs="Arial"/>
          <w:color w:val="000000"/>
          <w:sz w:val="22"/>
          <w:szCs w:val="22"/>
          <w:lang w:eastAsia="en-GB"/>
        </w:rPr>
        <w:t>MZOE</w:t>
      </w:r>
    </w:p>
    <w:p w14:paraId="4991DA49" w14:textId="77777777" w:rsidR="00AB538B" w:rsidRPr="00B56FE5" w:rsidRDefault="00AB538B" w:rsidP="00AF1FBB">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 xml:space="preserve">Učinak: </w:t>
      </w:r>
      <w:r w:rsidRPr="00B56FE5">
        <w:rPr>
          <w:rFonts w:ascii="Arial" w:hAnsi="Arial" w:cs="Arial"/>
          <w:color w:val="000000"/>
          <w:sz w:val="22"/>
          <w:szCs w:val="22"/>
          <w:lang w:eastAsia="en-GB"/>
        </w:rPr>
        <w:t>Mjera će osigurati povećanje proizvodnje energije i udjela OIE u ukupnoj potrošnji energije te posljedično smanjenje emisije stakleničkih plinova. Također se stvaraju preduvjeti za uspostavu sustava monitoringa za ispunjavanje kriterija održivosti i očekivanih smanjenja emisija stakleničkih plinova kod postrojenja koja koriste biomasu.</w:t>
      </w:r>
    </w:p>
    <w:p w14:paraId="7B6FEE45" w14:textId="77777777" w:rsidR="00AB538B" w:rsidRPr="00B56FE5" w:rsidRDefault="00AB538B" w:rsidP="00AF1FBB">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Metoda praćenja:</w:t>
      </w:r>
      <w:r w:rsidRPr="00B56FE5">
        <w:rPr>
          <w:rFonts w:ascii="Arial" w:hAnsi="Arial" w:cs="Arial"/>
          <w:color w:val="000000"/>
          <w:sz w:val="22"/>
          <w:szCs w:val="22"/>
          <w:lang w:eastAsia="en-GB"/>
        </w:rPr>
        <w:t xml:space="preserve"> Energetska bilanca i to: 1) količina proizvodne električne energije iz OIE, prema izvješćima HROTE-a i operatora sustava; 2) količina proizvedene energije za grijanje i hlađenje, prema statističkim izvješćima. Praćenje učinaka će se odvijati i kroz mjerenje udjela organske tvari u tlu i udjela ugljika.</w:t>
      </w:r>
    </w:p>
    <w:p w14:paraId="1014BF69" w14:textId="77777777" w:rsidR="00AB538B" w:rsidRPr="00B56FE5" w:rsidRDefault="00AB538B" w:rsidP="00AF1FBB">
      <w:pPr>
        <w:pStyle w:val="NormalWeb"/>
        <w:spacing w:after="120" w:line="288" w:lineRule="auto"/>
        <w:jc w:val="both"/>
        <w:rPr>
          <w:rFonts w:ascii="Arial" w:hAnsi="Arial" w:cs="Arial"/>
          <w:b/>
          <w:bCs/>
          <w:color w:val="000000"/>
          <w:sz w:val="22"/>
          <w:szCs w:val="22"/>
          <w:lang w:eastAsia="en-GB"/>
        </w:rPr>
      </w:pPr>
      <w:r w:rsidRPr="00B56FE5">
        <w:rPr>
          <w:rFonts w:ascii="Arial" w:hAnsi="Arial" w:cs="Arial"/>
          <w:b/>
          <w:bCs/>
          <w:color w:val="000000"/>
          <w:sz w:val="22"/>
          <w:szCs w:val="22"/>
          <w:lang w:eastAsia="en-GB"/>
        </w:rPr>
        <w:t xml:space="preserve">Povezanost s drugim dimenzijama: </w:t>
      </w:r>
      <w:r w:rsidRPr="00B56FE5">
        <w:rPr>
          <w:rFonts w:ascii="Arial" w:hAnsi="Arial" w:cs="Arial"/>
          <w:color w:val="000000"/>
          <w:sz w:val="22"/>
          <w:szCs w:val="22"/>
          <w:lang w:eastAsia="en-GB"/>
        </w:rPr>
        <w:t xml:space="preserve">Mjera je povezana s dimenzijom povećanja energetske sigurnosti, budući da je očekivani rezultat mjere povećanje proizvodnje energije iz lokalno dostupnih izvora i razvoja unutarnjeg energetskog tržišta. </w:t>
      </w:r>
    </w:p>
    <w:p w14:paraId="06FFD9D1" w14:textId="77777777" w:rsidR="00AB538B" w:rsidRPr="00B56FE5" w:rsidRDefault="00AB538B" w:rsidP="00AF1FBB">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Povezanost s prilagodbom klimatskim promjenama: </w:t>
      </w:r>
      <w:r w:rsidRPr="00B56FE5">
        <w:rPr>
          <w:rFonts w:ascii="Arial" w:hAnsi="Arial" w:cs="Arial"/>
          <w:color w:val="000000"/>
          <w:sz w:val="22"/>
          <w:szCs w:val="22"/>
          <w:lang w:eastAsia="en-GB"/>
        </w:rPr>
        <w:t>Korištenje OIE se planira uz integraciju mjera prilagodbe klimatskim promjenama te jačanje otpornosti, odnosno smanjenja ranjivosti OIE tehnologija na klimatske promjene.</w:t>
      </w:r>
    </w:p>
    <w:p w14:paraId="2053E305" w14:textId="55C0E25A" w:rsidR="00AB538B" w:rsidRPr="00B56FE5" w:rsidRDefault="00AB538B" w:rsidP="00AF1FBB">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Istraživanje i razvoj</w:t>
      </w:r>
      <w:r w:rsidRPr="00B56FE5">
        <w:rPr>
          <w:rFonts w:ascii="Arial" w:hAnsi="Arial" w:cs="Arial"/>
          <w:color w:val="000000"/>
          <w:sz w:val="22"/>
          <w:szCs w:val="22"/>
          <w:lang w:eastAsia="en-GB"/>
        </w:rPr>
        <w:t>:</w:t>
      </w:r>
      <w:r w:rsidR="00EB4B2D">
        <w:rPr>
          <w:rFonts w:ascii="Arial" w:hAnsi="Arial" w:cs="Arial"/>
          <w:color w:val="000000"/>
          <w:sz w:val="22"/>
          <w:szCs w:val="22"/>
          <w:lang w:eastAsia="en-GB"/>
        </w:rPr>
        <w:t xml:space="preserve"> </w:t>
      </w:r>
      <w:r w:rsidR="00BB17D1" w:rsidRPr="00BB17D1">
        <w:rPr>
          <w:rFonts w:ascii="Arial" w:hAnsi="Arial" w:cs="Arial"/>
          <w:color w:val="000000"/>
          <w:sz w:val="22"/>
          <w:szCs w:val="22"/>
          <w:lang w:eastAsia="en-GB"/>
        </w:rPr>
        <w:t xml:space="preserve">Mjera je povezana s istraživanje i razvoje tehnologija OIE </w:t>
      </w:r>
      <w:r w:rsidR="00BB17D1">
        <w:rPr>
          <w:rFonts w:ascii="Arial" w:hAnsi="Arial" w:cs="Arial"/>
          <w:color w:val="000000"/>
          <w:sz w:val="22"/>
          <w:szCs w:val="22"/>
          <w:lang w:eastAsia="en-GB"/>
        </w:rPr>
        <w:t>i i</w:t>
      </w:r>
      <w:r w:rsidR="00EB4B2D">
        <w:rPr>
          <w:rFonts w:ascii="Arial" w:hAnsi="Arial" w:cs="Arial"/>
          <w:color w:val="000000"/>
          <w:sz w:val="22"/>
          <w:szCs w:val="22"/>
          <w:lang w:eastAsia="en-GB"/>
        </w:rPr>
        <w:t>ntegracij</w:t>
      </w:r>
      <w:r w:rsidR="00BB17D1">
        <w:rPr>
          <w:rFonts w:ascii="Arial" w:hAnsi="Arial" w:cs="Arial"/>
          <w:color w:val="000000"/>
          <w:sz w:val="22"/>
          <w:szCs w:val="22"/>
          <w:lang w:eastAsia="en-GB"/>
        </w:rPr>
        <w:t>om</w:t>
      </w:r>
      <w:r w:rsidR="00EB4B2D">
        <w:rPr>
          <w:rFonts w:ascii="Arial" w:hAnsi="Arial" w:cs="Arial"/>
          <w:color w:val="000000"/>
          <w:sz w:val="22"/>
          <w:szCs w:val="22"/>
          <w:lang w:eastAsia="en-GB"/>
        </w:rPr>
        <w:t xml:space="preserve"> OIE u ene</w:t>
      </w:r>
      <w:r w:rsidR="005A751B">
        <w:rPr>
          <w:rFonts w:ascii="Arial" w:hAnsi="Arial" w:cs="Arial"/>
          <w:color w:val="000000"/>
          <w:sz w:val="22"/>
          <w:szCs w:val="22"/>
          <w:lang w:eastAsia="en-GB"/>
        </w:rPr>
        <w:t>r</w:t>
      </w:r>
      <w:r w:rsidR="00EB4B2D">
        <w:rPr>
          <w:rFonts w:ascii="Arial" w:hAnsi="Arial" w:cs="Arial"/>
          <w:color w:val="000000"/>
          <w:sz w:val="22"/>
          <w:szCs w:val="22"/>
          <w:lang w:eastAsia="en-GB"/>
        </w:rPr>
        <w:t>getske sustave</w:t>
      </w:r>
      <w:r w:rsidR="00BB17D1">
        <w:rPr>
          <w:rFonts w:ascii="Arial" w:hAnsi="Arial" w:cs="Arial"/>
          <w:color w:val="000000"/>
          <w:sz w:val="22"/>
          <w:szCs w:val="22"/>
          <w:lang w:eastAsia="en-GB"/>
        </w:rPr>
        <w:t>.</w:t>
      </w:r>
    </w:p>
    <w:p w14:paraId="482077A3" w14:textId="77777777" w:rsidR="00EB4B2D" w:rsidRDefault="00EB4B2D" w:rsidP="00AB538B">
      <w:pPr>
        <w:pStyle w:val="NormalWeb"/>
        <w:spacing w:after="120" w:line="288" w:lineRule="auto"/>
        <w:rPr>
          <w:rFonts w:ascii="Arial" w:hAnsi="Arial" w:cs="Arial"/>
          <w:b/>
          <w:bCs/>
          <w:color w:val="000000"/>
          <w:sz w:val="22"/>
          <w:szCs w:val="22"/>
          <w:lang w:eastAsia="en-GB"/>
        </w:rPr>
      </w:pPr>
    </w:p>
    <w:p w14:paraId="4C9DFEEE" w14:textId="01EF9868" w:rsidR="00AB538B" w:rsidRPr="00B56FE5" w:rsidRDefault="00AB538B" w:rsidP="00AB538B">
      <w:pPr>
        <w:pStyle w:val="NormalWeb"/>
        <w:spacing w:after="120" w:line="288" w:lineRule="auto"/>
        <w:rPr>
          <w:rFonts w:ascii="Arial" w:hAnsi="Arial" w:cs="Arial"/>
          <w:color w:val="000000"/>
          <w:sz w:val="22"/>
          <w:szCs w:val="22"/>
        </w:rPr>
      </w:pPr>
      <w:r w:rsidRPr="00B56FE5">
        <w:rPr>
          <w:rFonts w:ascii="Arial" w:hAnsi="Arial" w:cs="Arial"/>
          <w:b/>
          <w:bCs/>
          <w:color w:val="000000"/>
          <w:sz w:val="22"/>
          <w:szCs w:val="22"/>
          <w:lang w:eastAsia="en-GB"/>
        </w:rPr>
        <w:t>OIE-4 Razrada regulatornog okvira</w:t>
      </w:r>
      <w:r w:rsidR="003629D9">
        <w:rPr>
          <w:rFonts w:ascii="Arial" w:hAnsi="Arial" w:cs="Arial"/>
          <w:b/>
          <w:bCs/>
          <w:color w:val="000000"/>
          <w:sz w:val="22"/>
          <w:szCs w:val="22"/>
          <w:lang w:eastAsia="en-GB"/>
        </w:rPr>
        <w:t xml:space="preserve"> za</w:t>
      </w:r>
      <w:r w:rsidR="00C63E9A">
        <w:rPr>
          <w:rFonts w:ascii="Arial" w:hAnsi="Arial" w:cs="Arial"/>
          <w:b/>
          <w:bCs/>
          <w:color w:val="000000"/>
          <w:sz w:val="22"/>
          <w:szCs w:val="22"/>
          <w:lang w:eastAsia="en-GB"/>
        </w:rPr>
        <w:t xml:space="preserve"> korištenje</w:t>
      </w:r>
      <w:r w:rsidR="003629D9">
        <w:rPr>
          <w:rFonts w:ascii="Arial" w:hAnsi="Arial" w:cs="Arial"/>
          <w:b/>
          <w:bCs/>
          <w:color w:val="000000"/>
          <w:sz w:val="22"/>
          <w:szCs w:val="22"/>
          <w:lang w:eastAsia="en-GB"/>
        </w:rPr>
        <w:t xml:space="preserve"> OIE</w:t>
      </w:r>
    </w:p>
    <w:p w14:paraId="6449CD38" w14:textId="0346C8B1" w:rsidR="00AB538B" w:rsidRPr="00B56FE5" w:rsidRDefault="00AB538B" w:rsidP="00AB538B">
      <w:pPr>
        <w:pStyle w:val="NormalWeb"/>
        <w:spacing w:after="120" w:line="288" w:lineRule="auto"/>
        <w:rPr>
          <w:rFonts w:ascii="Arial" w:hAnsi="Arial" w:cs="Arial"/>
          <w:color w:val="000000"/>
          <w:sz w:val="22"/>
          <w:szCs w:val="22"/>
        </w:rPr>
      </w:pPr>
      <w:r w:rsidRPr="00840E2E">
        <w:rPr>
          <w:rFonts w:ascii="Arial" w:hAnsi="Arial" w:cs="Arial"/>
          <w:b/>
          <w:bCs/>
          <w:color w:val="000000"/>
          <w:sz w:val="22"/>
          <w:szCs w:val="22"/>
          <w:lang w:eastAsia="en-GB"/>
        </w:rPr>
        <w:t>Regulatorna mjera; provedba 2021.-202</w:t>
      </w:r>
      <w:r w:rsidR="00743216" w:rsidRPr="00840E2E">
        <w:rPr>
          <w:rFonts w:ascii="Arial" w:hAnsi="Arial" w:cs="Arial"/>
          <w:b/>
          <w:bCs/>
          <w:color w:val="000000"/>
          <w:sz w:val="22"/>
          <w:szCs w:val="22"/>
          <w:lang w:eastAsia="en-GB"/>
        </w:rPr>
        <w:t>2</w:t>
      </w:r>
      <w:r w:rsidRPr="00840E2E">
        <w:rPr>
          <w:rFonts w:ascii="Arial" w:hAnsi="Arial" w:cs="Arial"/>
          <w:b/>
          <w:bCs/>
          <w:color w:val="000000"/>
          <w:sz w:val="22"/>
          <w:szCs w:val="22"/>
          <w:lang w:eastAsia="en-GB"/>
        </w:rPr>
        <w:t>.</w:t>
      </w:r>
    </w:p>
    <w:p w14:paraId="4B4C5E11" w14:textId="7E59C5A4" w:rsidR="00AB538B" w:rsidRPr="00B56FE5" w:rsidRDefault="00AB538B" w:rsidP="001C4985">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Cilj i opis mjere:</w:t>
      </w:r>
      <w:r w:rsidRPr="00B56FE5">
        <w:rPr>
          <w:rFonts w:ascii="Arial" w:hAnsi="Arial" w:cs="Arial"/>
          <w:color w:val="000000"/>
          <w:sz w:val="22"/>
          <w:szCs w:val="22"/>
          <w:lang w:eastAsia="en-GB"/>
        </w:rPr>
        <w:t xml:space="preserve"> Potrebno je dopuniti postojeći zakonski okvir i razraditi procedure i praksu. Cilj je do 202</w:t>
      </w:r>
      <w:r w:rsidR="00743216">
        <w:rPr>
          <w:rFonts w:ascii="Arial" w:hAnsi="Arial" w:cs="Arial"/>
          <w:color w:val="000000"/>
          <w:sz w:val="22"/>
          <w:szCs w:val="22"/>
          <w:lang w:eastAsia="en-GB"/>
        </w:rPr>
        <w:t>2</w:t>
      </w:r>
      <w:r w:rsidRPr="00B56FE5">
        <w:rPr>
          <w:rFonts w:ascii="Arial" w:hAnsi="Arial" w:cs="Arial"/>
          <w:color w:val="000000"/>
          <w:sz w:val="22"/>
          <w:szCs w:val="22"/>
          <w:lang w:eastAsia="en-GB"/>
        </w:rPr>
        <w:t>. u</w:t>
      </w:r>
      <w:r w:rsidRPr="00B56FE5">
        <w:rPr>
          <w:rFonts w:ascii="Arial" w:hAnsi="Arial" w:cs="Arial"/>
          <w:color w:val="000000"/>
          <w:sz w:val="22"/>
          <w:szCs w:val="22"/>
        </w:rPr>
        <w:t xml:space="preserve"> potpunosti donijeti regulatorni okvir i uhodane procedure na nacionalnoj razini.</w:t>
      </w:r>
    </w:p>
    <w:p w14:paraId="4BC18F03" w14:textId="55000F5A" w:rsidR="00AB538B" w:rsidRPr="00B56FE5" w:rsidRDefault="00AB538B" w:rsidP="001C4985">
      <w:pPr>
        <w:pStyle w:val="NormalWeb"/>
        <w:spacing w:after="120" w:line="288" w:lineRule="auto"/>
        <w:jc w:val="both"/>
        <w:rPr>
          <w:rFonts w:ascii="Arial" w:hAnsi="Arial" w:cs="Arial"/>
          <w:color w:val="000000"/>
          <w:sz w:val="22"/>
          <w:szCs w:val="22"/>
        </w:rPr>
      </w:pPr>
      <w:r w:rsidRPr="00B56FE5">
        <w:rPr>
          <w:rFonts w:ascii="Arial" w:hAnsi="Arial" w:cs="Arial"/>
          <w:color w:val="000000"/>
          <w:sz w:val="22"/>
          <w:szCs w:val="22"/>
        </w:rPr>
        <w:t>Trenutačni regulatorni okvir za korištenje obnovljivih izvora energije pokriven je s nekoliko zakona. Kao ključni zakon vrijedi izdvojiti Zakon o obnovljivim izvorima energije i visokoučinkovitoj kogeneraciji s nizom podzakonskih akata. Postojeća zakonska rješenja potrebno je nadopuniti s razradom regulatornog okvira za</w:t>
      </w:r>
      <w:r w:rsidR="00606095">
        <w:rPr>
          <w:rFonts w:ascii="Arial" w:hAnsi="Arial" w:cs="Arial"/>
          <w:color w:val="000000"/>
          <w:sz w:val="22"/>
          <w:szCs w:val="22"/>
        </w:rPr>
        <w:t xml:space="preserve"> aktivne kupce,</w:t>
      </w:r>
      <w:r w:rsidRPr="00B56FE5">
        <w:rPr>
          <w:rFonts w:ascii="Arial" w:hAnsi="Arial" w:cs="Arial"/>
          <w:color w:val="000000"/>
          <w:sz w:val="22"/>
          <w:szCs w:val="22"/>
        </w:rPr>
        <w:t xml:space="preserve"> agregatore, energetske zajednice</w:t>
      </w:r>
      <w:r w:rsidR="00EF1AD5">
        <w:rPr>
          <w:rFonts w:ascii="Arial" w:hAnsi="Arial" w:cs="Arial"/>
          <w:color w:val="000000"/>
          <w:sz w:val="22"/>
          <w:szCs w:val="22"/>
        </w:rPr>
        <w:t xml:space="preserve">, zajednice obnovljive </w:t>
      </w:r>
      <w:r w:rsidR="00A05EA5">
        <w:rPr>
          <w:rFonts w:ascii="Arial" w:hAnsi="Arial" w:cs="Arial"/>
          <w:color w:val="000000"/>
          <w:sz w:val="22"/>
          <w:szCs w:val="22"/>
        </w:rPr>
        <w:t>energije</w:t>
      </w:r>
      <w:r w:rsidRPr="00B56FE5">
        <w:rPr>
          <w:rFonts w:ascii="Arial" w:hAnsi="Arial" w:cs="Arial"/>
          <w:color w:val="000000"/>
          <w:sz w:val="22"/>
          <w:szCs w:val="22"/>
        </w:rPr>
        <w:t xml:space="preserve"> (sudjelovanje u lokalnoj proizvodnji energije, distribuciji, pohrani i opskrbi te pružanju energetskih usluga i uslugama agregacije) i proizvodnju energije za vlastite potrebe, sukladno odredbama</w:t>
      </w:r>
      <w:r w:rsidR="004664B7">
        <w:rPr>
          <w:rFonts w:ascii="Arial" w:hAnsi="Arial" w:cs="Arial"/>
          <w:color w:val="000000"/>
          <w:sz w:val="22"/>
          <w:szCs w:val="22"/>
        </w:rPr>
        <w:t xml:space="preserve"> direktive o</w:t>
      </w:r>
      <w:r w:rsidR="00C53EB6">
        <w:rPr>
          <w:rFonts w:ascii="Arial" w:hAnsi="Arial" w:cs="Arial"/>
          <w:color w:val="000000"/>
          <w:sz w:val="22"/>
          <w:szCs w:val="22"/>
        </w:rPr>
        <w:t xml:space="preserve"> promicanju uporabe energije iz</w:t>
      </w:r>
      <w:r w:rsidR="004664B7">
        <w:rPr>
          <w:rFonts w:ascii="Arial" w:hAnsi="Arial" w:cs="Arial"/>
          <w:color w:val="000000"/>
          <w:sz w:val="22"/>
          <w:szCs w:val="22"/>
        </w:rPr>
        <w:t xml:space="preserve"> obnovljivi</w:t>
      </w:r>
      <w:r w:rsidR="00C53EB6">
        <w:rPr>
          <w:rFonts w:ascii="Arial" w:hAnsi="Arial" w:cs="Arial"/>
          <w:color w:val="000000"/>
          <w:sz w:val="22"/>
          <w:szCs w:val="22"/>
        </w:rPr>
        <w:t>h</w:t>
      </w:r>
      <w:r w:rsidR="004664B7">
        <w:rPr>
          <w:rFonts w:ascii="Arial" w:hAnsi="Arial" w:cs="Arial"/>
          <w:color w:val="000000"/>
          <w:sz w:val="22"/>
          <w:szCs w:val="22"/>
        </w:rPr>
        <w:t xml:space="preserve"> izvora energije,</w:t>
      </w:r>
      <w:r w:rsidRPr="00B56FE5">
        <w:rPr>
          <w:rFonts w:ascii="Arial" w:hAnsi="Arial" w:cs="Arial"/>
          <w:color w:val="000000"/>
          <w:sz w:val="22"/>
          <w:szCs w:val="22"/>
        </w:rPr>
        <w:t xml:space="preserve"> direktive o električnoj energiji i uredbe o unutarnjem </w:t>
      </w:r>
      <w:r w:rsidRPr="00B56FE5">
        <w:rPr>
          <w:rFonts w:ascii="Arial" w:hAnsi="Arial" w:cs="Arial"/>
          <w:color w:val="000000"/>
          <w:sz w:val="22"/>
          <w:szCs w:val="22"/>
        </w:rPr>
        <w:lastRenderedPageBreak/>
        <w:t>tržištu električne energije.</w:t>
      </w:r>
      <w:r w:rsidR="00A53509">
        <w:rPr>
          <w:rFonts w:ascii="Arial" w:hAnsi="Arial" w:cs="Arial"/>
          <w:color w:val="000000"/>
          <w:sz w:val="22"/>
          <w:szCs w:val="22"/>
        </w:rPr>
        <w:t xml:space="preserve"> Prema potrebi, izradit će se akcijski plan </w:t>
      </w:r>
      <w:r w:rsidR="00A53509" w:rsidRPr="00A53509">
        <w:rPr>
          <w:rFonts w:ascii="Arial" w:hAnsi="Arial" w:cs="Arial"/>
          <w:color w:val="000000"/>
          <w:sz w:val="22"/>
          <w:szCs w:val="22"/>
        </w:rPr>
        <w:t>za razvoj energetskih zajednica i zajednica obnovljive energije</w:t>
      </w:r>
      <w:r w:rsidR="0098105C">
        <w:rPr>
          <w:rFonts w:ascii="Arial" w:hAnsi="Arial" w:cs="Arial"/>
          <w:color w:val="000000"/>
          <w:sz w:val="22"/>
          <w:szCs w:val="22"/>
        </w:rPr>
        <w:t>.</w:t>
      </w:r>
      <w:r w:rsidRPr="00B56FE5">
        <w:rPr>
          <w:rFonts w:ascii="Arial" w:hAnsi="Arial" w:cs="Arial"/>
          <w:color w:val="000000"/>
          <w:sz w:val="22"/>
          <w:szCs w:val="22"/>
        </w:rPr>
        <w:t xml:space="preserve"> Također, potrebno je uspostaviti regulatorni okvir i uvjete za uspostavu praćenja kriterija održivosti, smanjenja emisije stakleničkih plinova za biogoriva, tekuća biogoriva i goriva iz biomase te korištenje digestata za gnojidbu čime se omogućuje dekarbonizacija poljoprivrede kroz veću primjenu korištenja organskih gnojiva, povećanje organske tvari u tlu te smanjenje troškova agro-inputa.</w:t>
      </w:r>
      <w:r w:rsidR="00121C81">
        <w:rPr>
          <w:rFonts w:ascii="Arial" w:hAnsi="Arial" w:cs="Arial"/>
          <w:color w:val="000000"/>
          <w:sz w:val="22"/>
          <w:szCs w:val="22"/>
        </w:rPr>
        <w:t xml:space="preserve"> </w:t>
      </w:r>
      <w:r w:rsidR="00121C81" w:rsidRPr="00121C81">
        <w:rPr>
          <w:rFonts w:ascii="Arial" w:hAnsi="Arial" w:cs="Arial"/>
          <w:color w:val="000000"/>
          <w:sz w:val="22"/>
          <w:szCs w:val="22"/>
        </w:rPr>
        <w:t>Potrebno je uspostaviti regulatorni okvir kojim bi se povezali procesi korištenja geotermalne energije koji u sebi uključuju fazu istraživanja sukladno Zakonu o istraživanju i eksploataciji ugljikovodika te fazu proizvodnje električne i toplinske energije sukladno Zakonu o obnovljivim izvorima energije i visokoučinkovitoj kogeneraciji.</w:t>
      </w:r>
    </w:p>
    <w:p w14:paraId="5B9841F3" w14:textId="77777777" w:rsidR="00AB538B" w:rsidRPr="00B56FE5" w:rsidRDefault="00AB538B" w:rsidP="001C4985">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Aktivnosti:</w:t>
      </w:r>
      <w:r w:rsidRPr="00B56FE5">
        <w:rPr>
          <w:rFonts w:ascii="Arial" w:hAnsi="Arial" w:cs="Arial"/>
          <w:color w:val="000000"/>
          <w:sz w:val="22"/>
          <w:szCs w:val="22"/>
          <w:lang w:eastAsia="en-GB"/>
        </w:rPr>
        <w:t xml:space="preserve"> U okviru mjere provest će se sljedeće aktivnosti: </w:t>
      </w:r>
    </w:p>
    <w:p w14:paraId="7B26FBA3" w14:textId="77777777" w:rsidR="00AB538B" w:rsidRPr="00B56FE5" w:rsidRDefault="00AB538B" w:rsidP="00840E2E">
      <w:pPr>
        <w:numPr>
          <w:ilvl w:val="0"/>
          <w:numId w:val="105"/>
        </w:numPr>
        <w:suppressAutoHyphens w:val="0"/>
        <w:ind w:left="714" w:hanging="357"/>
        <w:rPr>
          <w:rFonts w:cs="Arial"/>
          <w:color w:val="000000"/>
          <w:lang w:eastAsia="en-GB"/>
        </w:rPr>
      </w:pPr>
      <w:r w:rsidRPr="00B56FE5">
        <w:rPr>
          <w:rFonts w:cs="Arial"/>
          <w:color w:val="000000"/>
          <w:lang w:eastAsia="en-GB"/>
        </w:rPr>
        <w:t>MZOE uređuje regulatorni okvir za proizvodnju na mjestu potrošnje, definiranjem pravila priključka, obaveze otkupa i neto mjerenja;</w:t>
      </w:r>
    </w:p>
    <w:p w14:paraId="21909FCB" w14:textId="77777777" w:rsidR="00AB538B" w:rsidRPr="00B56FE5" w:rsidRDefault="00AB538B" w:rsidP="00840E2E">
      <w:pPr>
        <w:numPr>
          <w:ilvl w:val="0"/>
          <w:numId w:val="105"/>
        </w:numPr>
        <w:suppressAutoHyphens w:val="0"/>
        <w:rPr>
          <w:rFonts w:cs="Arial"/>
          <w:color w:val="000000"/>
          <w:lang w:eastAsia="en-GB"/>
        </w:rPr>
      </w:pPr>
      <w:r w:rsidRPr="00B56FE5">
        <w:rPr>
          <w:rFonts w:cs="Arial"/>
          <w:color w:val="000000"/>
          <w:lang w:eastAsia="en-GB"/>
        </w:rPr>
        <w:t>MGIPU uređuje i uvodi obaveze za korištenje sustava OIE na novim zgradama (regulativa vezana za zgradarstvo);</w:t>
      </w:r>
    </w:p>
    <w:p w14:paraId="444EE0B9" w14:textId="77777777" w:rsidR="00AB538B" w:rsidRPr="00B56FE5" w:rsidRDefault="00AB538B" w:rsidP="00840E2E">
      <w:pPr>
        <w:numPr>
          <w:ilvl w:val="0"/>
          <w:numId w:val="105"/>
        </w:numPr>
        <w:suppressAutoHyphens w:val="0"/>
        <w:rPr>
          <w:rFonts w:cs="Arial"/>
          <w:color w:val="000000"/>
          <w:lang w:eastAsia="en-GB"/>
        </w:rPr>
      </w:pPr>
      <w:r w:rsidRPr="00B56FE5">
        <w:rPr>
          <w:rFonts w:cs="Arial"/>
          <w:color w:val="000000"/>
          <w:lang w:eastAsia="en-GB"/>
        </w:rPr>
        <w:t>HERA i HEP-ODS izrađuju nove metodologije određivanja naknade za distribucijsku mrežu koja bi uvažila distribuiranu proizvodnju kod kupaca energije;</w:t>
      </w:r>
    </w:p>
    <w:p w14:paraId="210FF8F8" w14:textId="6AABBC23" w:rsidR="00AB538B" w:rsidRPr="00B56FE5" w:rsidRDefault="00AB538B" w:rsidP="00840E2E">
      <w:pPr>
        <w:numPr>
          <w:ilvl w:val="0"/>
          <w:numId w:val="105"/>
        </w:numPr>
        <w:suppressAutoHyphens w:val="0"/>
        <w:rPr>
          <w:rFonts w:cs="Arial"/>
          <w:color w:val="000000"/>
          <w:lang w:eastAsia="en-GB"/>
        </w:rPr>
      </w:pPr>
      <w:r w:rsidRPr="00B56FE5">
        <w:rPr>
          <w:rFonts w:cs="Arial"/>
          <w:color w:val="000000"/>
          <w:lang w:eastAsia="en-GB"/>
        </w:rPr>
        <w:t>MGIPU osigurava nastavak funkcioniranja sustava certificiranih instalatera za male OIE sustave</w:t>
      </w:r>
      <w:r w:rsidR="0085010C">
        <w:rPr>
          <w:rStyle w:val="FootnoteReference"/>
          <w:rFonts w:cs="Arial"/>
          <w:color w:val="000000"/>
          <w:lang w:eastAsia="en-GB"/>
        </w:rPr>
        <w:footnoteReference w:id="17"/>
      </w:r>
      <w:r w:rsidRPr="00B56FE5">
        <w:rPr>
          <w:rFonts w:cs="Arial"/>
          <w:color w:val="000000"/>
          <w:lang w:eastAsia="en-GB"/>
        </w:rPr>
        <w:t>;</w:t>
      </w:r>
    </w:p>
    <w:p w14:paraId="7CCEFAD0" w14:textId="77777777" w:rsidR="00AB538B" w:rsidRPr="00B56FE5" w:rsidRDefault="00AB538B" w:rsidP="00840E2E">
      <w:pPr>
        <w:numPr>
          <w:ilvl w:val="0"/>
          <w:numId w:val="105"/>
        </w:numPr>
        <w:suppressAutoHyphens w:val="0"/>
        <w:rPr>
          <w:rFonts w:cs="Arial"/>
          <w:color w:val="000000"/>
          <w:lang w:eastAsia="en-GB"/>
        </w:rPr>
      </w:pPr>
      <w:r w:rsidRPr="00B56FE5">
        <w:rPr>
          <w:rFonts w:cs="Arial"/>
          <w:color w:val="000000"/>
          <w:lang w:eastAsia="en-GB"/>
        </w:rPr>
        <w:t>Svi sudionici imaju zadatak osigurati općenito pojednostavljenje, uređenje i uhodavanje administrativnih procedura;</w:t>
      </w:r>
    </w:p>
    <w:p w14:paraId="2B78EAA9" w14:textId="77777777" w:rsidR="00AB538B" w:rsidRPr="00B56FE5" w:rsidRDefault="00AB538B" w:rsidP="00840E2E">
      <w:pPr>
        <w:numPr>
          <w:ilvl w:val="0"/>
          <w:numId w:val="105"/>
        </w:numPr>
        <w:suppressAutoHyphens w:val="0"/>
        <w:rPr>
          <w:rFonts w:cs="Arial"/>
          <w:color w:val="000000"/>
          <w:lang w:eastAsia="en-GB"/>
        </w:rPr>
      </w:pPr>
      <w:r w:rsidRPr="00B56FE5">
        <w:rPr>
          <w:rFonts w:cs="Arial"/>
          <w:color w:val="000000"/>
          <w:lang w:eastAsia="en-GB"/>
        </w:rPr>
        <w:t>MDI omogućuje jednostavnije reguliranje korištenja državnog zemljišta i smanjenje naknada;</w:t>
      </w:r>
    </w:p>
    <w:p w14:paraId="58CF1ADA" w14:textId="77777777" w:rsidR="00AB538B" w:rsidRPr="00B56FE5" w:rsidRDefault="00AB538B" w:rsidP="00840E2E">
      <w:pPr>
        <w:numPr>
          <w:ilvl w:val="0"/>
          <w:numId w:val="105"/>
        </w:numPr>
        <w:suppressAutoHyphens w:val="0"/>
        <w:rPr>
          <w:rFonts w:cs="Arial"/>
          <w:color w:val="000000"/>
          <w:lang w:eastAsia="en-GB"/>
        </w:rPr>
      </w:pPr>
      <w:r w:rsidRPr="00B56FE5">
        <w:rPr>
          <w:rFonts w:cs="Arial"/>
          <w:color w:val="000000"/>
          <w:lang w:eastAsia="en-GB"/>
        </w:rPr>
        <w:t>MPŠ osigurava uspostavu i praćenje kriterija održivosti i korištenja digestata;</w:t>
      </w:r>
    </w:p>
    <w:p w14:paraId="1C4605A6" w14:textId="77777777" w:rsidR="00AB538B" w:rsidRPr="00B56FE5" w:rsidRDefault="00AB538B" w:rsidP="00840E2E">
      <w:pPr>
        <w:numPr>
          <w:ilvl w:val="0"/>
          <w:numId w:val="105"/>
        </w:numPr>
        <w:suppressAutoHyphens w:val="0"/>
        <w:ind w:left="714" w:hanging="357"/>
        <w:rPr>
          <w:rFonts w:cs="Arial"/>
          <w:color w:val="000000"/>
          <w:lang w:eastAsia="en-GB"/>
        </w:rPr>
      </w:pPr>
      <w:r w:rsidRPr="00B56FE5">
        <w:rPr>
          <w:rFonts w:cs="Arial"/>
          <w:color w:val="000000"/>
          <w:lang w:eastAsia="en-GB"/>
        </w:rPr>
        <w:t>Uređivanje područja bilateralnog ugovaranja (korporativni ugovor o otkupu).</w:t>
      </w:r>
    </w:p>
    <w:p w14:paraId="45536CB9" w14:textId="77777777" w:rsidR="00AB538B" w:rsidRPr="00B56FE5" w:rsidRDefault="00AB538B" w:rsidP="001C4985">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 xml:space="preserve">Sredstva potrebna za provedbu: </w:t>
      </w:r>
      <w:r w:rsidRPr="00B56FE5">
        <w:rPr>
          <w:rFonts w:ascii="Arial" w:hAnsi="Arial" w:cs="Arial"/>
          <w:color w:val="000000"/>
          <w:sz w:val="22"/>
          <w:szCs w:val="22"/>
          <w:lang w:eastAsia="en-GB"/>
        </w:rPr>
        <w:t>-</w:t>
      </w:r>
      <w:r w:rsidRPr="00B56FE5">
        <w:rPr>
          <w:rFonts w:ascii="Arial" w:hAnsi="Arial" w:cs="Arial"/>
          <w:b/>
          <w:bCs/>
          <w:color w:val="000000"/>
          <w:sz w:val="22"/>
          <w:szCs w:val="22"/>
          <w:lang w:eastAsia="en-GB"/>
        </w:rPr>
        <w:t xml:space="preserve"> </w:t>
      </w:r>
    </w:p>
    <w:p w14:paraId="2C7ED09F" w14:textId="77777777" w:rsidR="00AB538B" w:rsidRPr="00B56FE5" w:rsidRDefault="00AB538B" w:rsidP="001C4985">
      <w:pPr>
        <w:pStyle w:val="NormalWeb"/>
        <w:spacing w:after="120" w:line="288" w:lineRule="auto"/>
        <w:jc w:val="both"/>
        <w:rPr>
          <w:rFonts w:ascii="Arial" w:hAnsi="Arial" w:cs="Arial"/>
          <w:b/>
          <w:bCs/>
          <w:color w:val="000000"/>
          <w:sz w:val="22"/>
          <w:szCs w:val="22"/>
          <w:lang w:eastAsia="en-GB"/>
        </w:rPr>
      </w:pPr>
      <w:r w:rsidRPr="00B56FE5">
        <w:rPr>
          <w:rFonts w:ascii="Arial" w:hAnsi="Arial" w:cs="Arial"/>
          <w:b/>
          <w:bCs/>
          <w:color w:val="000000"/>
          <w:sz w:val="22"/>
          <w:szCs w:val="22"/>
          <w:lang w:eastAsia="en-GB"/>
        </w:rPr>
        <w:t xml:space="preserve">Izvori financiranja: </w:t>
      </w:r>
      <w:r w:rsidRPr="00B56FE5">
        <w:rPr>
          <w:rFonts w:ascii="Arial" w:hAnsi="Arial" w:cs="Arial"/>
          <w:color w:val="000000"/>
          <w:sz w:val="22"/>
          <w:szCs w:val="22"/>
          <w:lang w:eastAsia="en-GB"/>
        </w:rPr>
        <w:t>Proračunska sredstva</w:t>
      </w:r>
    </w:p>
    <w:p w14:paraId="18162E51" w14:textId="0D1E3E9F" w:rsidR="00AB538B" w:rsidRPr="00B56FE5" w:rsidRDefault="00AB538B" w:rsidP="001C4985">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Izvršno tijelo:</w:t>
      </w:r>
      <w:r w:rsidRPr="00B56FE5">
        <w:rPr>
          <w:rFonts w:ascii="Arial" w:hAnsi="Arial" w:cs="Arial"/>
          <w:color w:val="000000"/>
          <w:sz w:val="22"/>
          <w:szCs w:val="22"/>
          <w:lang w:eastAsia="en-GB"/>
        </w:rPr>
        <w:t xml:space="preserve"> MZOE – općenito uređenje zakonodavnog okvira, dopuna postojećeg s novim rješenjima; MGIPU – uređenje obaveza korištenja OIE na novih zgradama, nastavak funkcioniranja sustava certificiranih instalatera; MDI – uređuje jednostavnije korištenje </w:t>
      </w:r>
      <w:r w:rsidRPr="00B56FE5">
        <w:rPr>
          <w:rFonts w:ascii="Arial" w:hAnsi="Arial" w:cs="Arial"/>
          <w:color w:val="000000"/>
          <w:sz w:val="22"/>
          <w:szCs w:val="22"/>
          <w:lang w:eastAsia="en-GB"/>
        </w:rPr>
        <w:lastRenderedPageBreak/>
        <w:t>državnog zemljišta; HERA – izrada metodologije određivanja naknade za distribucijsku mrežu i planova razvoja.</w:t>
      </w:r>
    </w:p>
    <w:p w14:paraId="25FBA900" w14:textId="77777777" w:rsidR="00AB538B" w:rsidRPr="00B56FE5" w:rsidRDefault="00AB538B" w:rsidP="001C4985">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Tijela za praćenje (nadzor): </w:t>
      </w:r>
      <w:r w:rsidRPr="00B56FE5">
        <w:rPr>
          <w:rFonts w:ascii="Arial" w:hAnsi="Arial" w:cs="Arial"/>
          <w:color w:val="000000"/>
          <w:sz w:val="22"/>
          <w:szCs w:val="22"/>
          <w:lang w:eastAsia="en-GB"/>
        </w:rPr>
        <w:t>MZOE</w:t>
      </w:r>
    </w:p>
    <w:p w14:paraId="428F3B18" w14:textId="77777777" w:rsidR="00AB538B" w:rsidRPr="00B56FE5" w:rsidRDefault="00AB538B" w:rsidP="001C4985">
      <w:pPr>
        <w:pStyle w:val="NormalWeb"/>
        <w:spacing w:after="120" w:line="288" w:lineRule="auto"/>
        <w:jc w:val="both"/>
        <w:rPr>
          <w:rFonts w:ascii="Arial" w:hAnsi="Arial" w:cs="Arial"/>
          <w:b/>
          <w:bCs/>
          <w:color w:val="000000"/>
          <w:sz w:val="22"/>
          <w:szCs w:val="22"/>
          <w:lang w:eastAsia="en-GB"/>
        </w:rPr>
      </w:pPr>
      <w:r w:rsidRPr="00B56FE5">
        <w:rPr>
          <w:rFonts w:ascii="Arial" w:hAnsi="Arial" w:cs="Arial"/>
          <w:b/>
          <w:bCs/>
          <w:color w:val="000000"/>
          <w:sz w:val="22"/>
          <w:szCs w:val="22"/>
          <w:lang w:eastAsia="en-GB"/>
        </w:rPr>
        <w:t xml:space="preserve">Učinak: </w:t>
      </w:r>
      <w:r w:rsidRPr="00B56FE5">
        <w:rPr>
          <w:rFonts w:ascii="Arial" w:hAnsi="Arial" w:cs="Arial"/>
          <w:color w:val="000000"/>
          <w:sz w:val="22"/>
          <w:szCs w:val="22"/>
          <w:lang w:eastAsia="en-GB"/>
        </w:rPr>
        <w:t>Rezultat primjene mjere je funkcionalno tržište OIE te povećanje proizvodnje energije i udjela OIE u ukupnoj potrošnji energije.</w:t>
      </w:r>
      <w:r w:rsidRPr="00B56FE5">
        <w:rPr>
          <w:rFonts w:ascii="Arial" w:hAnsi="Arial" w:cs="Arial"/>
          <w:b/>
          <w:bCs/>
          <w:color w:val="000000"/>
          <w:sz w:val="22"/>
          <w:szCs w:val="22"/>
          <w:lang w:eastAsia="en-GB"/>
        </w:rPr>
        <w:t xml:space="preserve"> </w:t>
      </w:r>
    </w:p>
    <w:p w14:paraId="5747F4B9" w14:textId="77777777" w:rsidR="00AB538B" w:rsidRPr="00B56FE5" w:rsidRDefault="00AB538B" w:rsidP="001C4985">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Metoda praćenja:</w:t>
      </w:r>
      <w:r w:rsidRPr="00B56FE5">
        <w:rPr>
          <w:rFonts w:ascii="Arial" w:hAnsi="Arial" w:cs="Arial"/>
          <w:color w:val="000000"/>
          <w:sz w:val="22"/>
          <w:szCs w:val="22"/>
          <w:lang w:eastAsia="en-GB"/>
        </w:rPr>
        <w:t xml:space="preserve"> Energetska bilanca, plan i provedba donošenja zakonodavnih akata</w:t>
      </w:r>
    </w:p>
    <w:p w14:paraId="7E845384" w14:textId="518BA2FF" w:rsidR="00AB538B" w:rsidRPr="00B56FE5" w:rsidRDefault="00AB538B" w:rsidP="001C4985">
      <w:pPr>
        <w:pStyle w:val="NormalWeb"/>
        <w:spacing w:after="120" w:line="288" w:lineRule="auto"/>
        <w:jc w:val="both"/>
        <w:rPr>
          <w:rFonts w:ascii="Arial" w:hAnsi="Arial" w:cs="Arial"/>
          <w:b/>
          <w:bCs/>
          <w:color w:val="000000"/>
          <w:sz w:val="22"/>
          <w:szCs w:val="22"/>
          <w:lang w:eastAsia="en-GB"/>
        </w:rPr>
      </w:pPr>
      <w:r w:rsidRPr="00B56FE5">
        <w:rPr>
          <w:rFonts w:ascii="Arial" w:hAnsi="Arial" w:cs="Arial"/>
          <w:b/>
          <w:bCs/>
          <w:color w:val="000000"/>
          <w:sz w:val="22"/>
          <w:szCs w:val="22"/>
          <w:lang w:eastAsia="en-GB"/>
        </w:rPr>
        <w:t xml:space="preserve">Povezanost s drugim dimenzijama: </w:t>
      </w:r>
      <w:r w:rsidR="00813DB1" w:rsidRPr="00813DB1">
        <w:rPr>
          <w:rFonts w:ascii="Arial" w:hAnsi="Arial" w:cs="Arial"/>
          <w:color w:val="000000"/>
          <w:sz w:val="22"/>
          <w:szCs w:val="22"/>
          <w:lang w:eastAsia="en-GB"/>
        </w:rPr>
        <w:t>Mjera je povezana s dimenzijom povećanja energetske sigurnosti i razvoja unutarnjeg energetskog tržišta (legislativno uređenje sektora).</w:t>
      </w:r>
    </w:p>
    <w:p w14:paraId="3584E7E3" w14:textId="77777777" w:rsidR="00AB538B" w:rsidRPr="00B56FE5" w:rsidRDefault="00AB538B" w:rsidP="001C4985">
      <w:pPr>
        <w:pStyle w:val="NormalWeb"/>
        <w:spacing w:after="120" w:line="288" w:lineRule="auto"/>
        <w:jc w:val="both"/>
        <w:rPr>
          <w:rFonts w:ascii="Arial" w:hAnsi="Arial" w:cs="Arial"/>
          <w:color w:val="000000"/>
          <w:sz w:val="22"/>
          <w:szCs w:val="22"/>
        </w:rPr>
      </w:pPr>
      <w:r w:rsidRPr="00B56FE5">
        <w:rPr>
          <w:rFonts w:ascii="Arial" w:hAnsi="Arial" w:cs="Arial"/>
          <w:b/>
          <w:bCs/>
          <w:color w:val="000000"/>
          <w:sz w:val="22"/>
          <w:szCs w:val="22"/>
          <w:lang w:eastAsia="en-GB"/>
        </w:rPr>
        <w:t xml:space="preserve">Povezanost s prilagodbom klimatskim promjenama: </w:t>
      </w:r>
      <w:r w:rsidRPr="00B56FE5">
        <w:rPr>
          <w:rFonts w:ascii="Arial" w:hAnsi="Arial" w:cs="Arial"/>
          <w:color w:val="000000"/>
          <w:sz w:val="22"/>
          <w:szCs w:val="22"/>
          <w:lang w:eastAsia="en-GB"/>
        </w:rPr>
        <w:t>Korištenja OIE se planira uz integraciju mjera prilagodbe klimatskim promjenama te jačanje otpornosti, odnosno smanjenja ranjivosti OIE tehnologija na klimatske promjene.</w:t>
      </w:r>
    </w:p>
    <w:p w14:paraId="46C0CFE6" w14:textId="2B2403DD" w:rsidR="00AB538B" w:rsidRDefault="00AB538B" w:rsidP="001C4985">
      <w:pPr>
        <w:pStyle w:val="NormalWeb"/>
        <w:spacing w:after="120" w:line="288" w:lineRule="auto"/>
        <w:jc w:val="both"/>
        <w:rPr>
          <w:rFonts w:ascii="Arial" w:hAnsi="Arial" w:cs="Arial"/>
          <w:color w:val="000000"/>
          <w:sz w:val="22"/>
          <w:szCs w:val="22"/>
          <w:lang w:eastAsia="en-GB"/>
        </w:rPr>
      </w:pPr>
      <w:r w:rsidRPr="00B56FE5">
        <w:rPr>
          <w:rFonts w:ascii="Arial" w:hAnsi="Arial" w:cs="Arial"/>
          <w:b/>
          <w:bCs/>
          <w:color w:val="000000"/>
          <w:sz w:val="22"/>
          <w:szCs w:val="22"/>
          <w:lang w:eastAsia="en-GB"/>
        </w:rPr>
        <w:t>Istraživanje i razvoj</w:t>
      </w:r>
      <w:r w:rsidRPr="00B56FE5">
        <w:rPr>
          <w:rFonts w:ascii="Arial" w:hAnsi="Arial" w:cs="Arial"/>
          <w:color w:val="000000"/>
          <w:sz w:val="22"/>
          <w:szCs w:val="22"/>
          <w:lang w:eastAsia="en-GB"/>
        </w:rPr>
        <w:t xml:space="preserve">: </w:t>
      </w:r>
      <w:r w:rsidR="001C4985">
        <w:rPr>
          <w:rFonts w:ascii="Arial" w:hAnsi="Arial" w:cs="Arial"/>
          <w:color w:val="000000"/>
          <w:sz w:val="22"/>
          <w:szCs w:val="22"/>
          <w:lang w:eastAsia="en-GB"/>
        </w:rPr>
        <w:t>/</w:t>
      </w:r>
    </w:p>
    <w:p w14:paraId="0359A257" w14:textId="77777777" w:rsidR="00FC69FE" w:rsidRPr="000B3E88" w:rsidRDefault="00FC69FE" w:rsidP="00840E2E">
      <w:pPr>
        <w:pStyle w:val="Heading3"/>
        <w:numPr>
          <w:ilvl w:val="0"/>
          <w:numId w:val="68"/>
        </w:numPr>
      </w:pPr>
      <w:r w:rsidRPr="000B3E88">
        <w:t>Posebne mjere za regionalnu suradnju, kao i, izborno, procijenjeni višak proizvodnje energije iz obnovljivih izvora koji bi se mogao prenijeti na druge države članice kako bi se ostvarili nacionalni doprinos i putanje iz odjeljka 2.1.2.</w:t>
      </w:r>
    </w:p>
    <w:p w14:paraId="60438BC8" w14:textId="04F2C0E3" w:rsidR="00AB538B" w:rsidRDefault="00AB538B" w:rsidP="00AB538B">
      <w:pPr>
        <w:suppressAutoHyphens w:val="0"/>
      </w:pPr>
      <w:r>
        <w:t>Na regionalnoj radionici održanoj u Ljubljani u srpnju 2019. godine, kao teme za regionalnu suradnju u okviru dimenzije dekarbonizacija/</w:t>
      </w:r>
      <w:r w:rsidR="003E3D6B">
        <w:t xml:space="preserve">obnovljivi izvori energije </w:t>
      </w:r>
      <w:r>
        <w:t>predloženo je</w:t>
      </w:r>
    </w:p>
    <w:p w14:paraId="1A565A31" w14:textId="6FDE71A5" w:rsidR="00AB538B" w:rsidRDefault="00AB538B" w:rsidP="00840E2E">
      <w:pPr>
        <w:pStyle w:val="ListParagraph"/>
        <w:numPr>
          <w:ilvl w:val="0"/>
          <w:numId w:val="103"/>
        </w:numPr>
        <w:suppressAutoHyphens w:val="0"/>
      </w:pPr>
      <w:r>
        <w:t xml:space="preserve">zajednički razvoj </w:t>
      </w:r>
      <w:r w:rsidR="00980035">
        <w:t>projekata OIE</w:t>
      </w:r>
      <w:r w:rsidR="007C54FB">
        <w:t>, analiza mogućnosti statističkih t</w:t>
      </w:r>
      <w:r w:rsidR="007A544F">
        <w:t>r</w:t>
      </w:r>
      <w:r w:rsidR="007C54FB">
        <w:t>ansfera</w:t>
      </w:r>
      <w:r>
        <w:t>,</w:t>
      </w:r>
    </w:p>
    <w:p w14:paraId="7AD0535B" w14:textId="33BDB774" w:rsidR="004E712D" w:rsidRDefault="004E712D" w:rsidP="00840E2E">
      <w:pPr>
        <w:pStyle w:val="ListParagraph"/>
        <w:numPr>
          <w:ilvl w:val="0"/>
          <w:numId w:val="103"/>
        </w:numPr>
        <w:suppressAutoHyphens w:val="0"/>
      </w:pPr>
      <w:r>
        <w:t xml:space="preserve">suradnja u kontekstu inicijative </w:t>
      </w:r>
      <w:r w:rsidRPr="00C57848">
        <w:t>„Čista energija za otoke EU“</w:t>
      </w:r>
      <w:r>
        <w:t>,</w:t>
      </w:r>
    </w:p>
    <w:p w14:paraId="7DCEB7CE" w14:textId="65D84A04" w:rsidR="00AB538B" w:rsidRDefault="000F7064" w:rsidP="00840E2E">
      <w:pPr>
        <w:pStyle w:val="ListParagraph"/>
        <w:numPr>
          <w:ilvl w:val="0"/>
          <w:numId w:val="103"/>
        </w:numPr>
        <w:suppressAutoHyphens w:val="0"/>
      </w:pPr>
      <w:r>
        <w:t>razmjena iskustava vezani</w:t>
      </w:r>
      <w:r w:rsidR="004D5C4D">
        <w:t>h</w:t>
      </w:r>
      <w:r>
        <w:t xml:space="preserve"> za energetske zajednice i proizvodnju energije</w:t>
      </w:r>
      <w:r w:rsidR="00345DCF">
        <w:t xml:space="preserve"> iz OIE</w:t>
      </w:r>
      <w:r>
        <w:t xml:space="preserve"> za vlastite potrebe</w:t>
      </w:r>
      <w:r w:rsidR="00AB538B">
        <w:t>,</w:t>
      </w:r>
    </w:p>
    <w:p w14:paraId="46005945" w14:textId="3B5DF643" w:rsidR="004E712D" w:rsidRDefault="004E712D" w:rsidP="00840E2E">
      <w:pPr>
        <w:pStyle w:val="ListParagraph"/>
        <w:numPr>
          <w:ilvl w:val="0"/>
          <w:numId w:val="103"/>
        </w:numPr>
        <w:suppressAutoHyphens w:val="0"/>
      </w:pPr>
      <w:r>
        <w:t xml:space="preserve">razmjena iskustava vezanih za energetski pozitivne četvrti i zajednički razvoj projektnih prijedloga za </w:t>
      </w:r>
      <w:r w:rsidR="00290314" w:rsidRPr="00290314">
        <w:t>Zajedničk</w:t>
      </w:r>
      <w:r w:rsidR="00290314">
        <w:t>u</w:t>
      </w:r>
      <w:r w:rsidR="00290314" w:rsidRPr="00290314">
        <w:t xml:space="preserve"> programsk</w:t>
      </w:r>
      <w:r w:rsidR="00290314">
        <w:t>u</w:t>
      </w:r>
      <w:r w:rsidR="00290314" w:rsidRPr="00290314">
        <w:t xml:space="preserve"> inicijativ</w:t>
      </w:r>
      <w:r w:rsidR="00290314">
        <w:t>u</w:t>
      </w:r>
      <w:r w:rsidR="00290314" w:rsidRPr="00290314">
        <w:t xml:space="preserve"> Urbana Europa</w:t>
      </w:r>
      <w:r w:rsidR="00290314" w:rsidRPr="00290314" w:rsidDel="00290314">
        <w:t xml:space="preserve"> </w:t>
      </w:r>
      <w:r>
        <w:t>,</w:t>
      </w:r>
    </w:p>
    <w:p w14:paraId="3D0E3683" w14:textId="35F3CBDB" w:rsidR="004D5C4D" w:rsidRDefault="004D5C4D" w:rsidP="00840E2E">
      <w:pPr>
        <w:pStyle w:val="ListParagraph"/>
        <w:numPr>
          <w:ilvl w:val="0"/>
          <w:numId w:val="103"/>
        </w:numPr>
        <w:suppressAutoHyphens w:val="0"/>
      </w:pPr>
      <w:r>
        <w:t xml:space="preserve">razmjena iskustava vezanih za </w:t>
      </w:r>
      <w:r w:rsidR="00B31085">
        <w:t>integriranje OIE u prostor</w:t>
      </w:r>
      <w:r w:rsidR="00766D60">
        <w:t xml:space="preserve"> i društveno prihvaćanje OIE</w:t>
      </w:r>
      <w:r w:rsidR="00883141">
        <w:t>.</w:t>
      </w:r>
    </w:p>
    <w:p w14:paraId="67C962AD" w14:textId="0E02BCAC" w:rsidR="00AB538B" w:rsidRDefault="00AB538B" w:rsidP="00AB538B">
      <w:pPr>
        <w:suppressAutoHyphens w:val="0"/>
      </w:pPr>
      <w:r>
        <w:t>Države koje sudjeluju u</w:t>
      </w:r>
      <w:r w:rsidR="00702F6E">
        <w:t xml:space="preserve"> neformalnoj</w:t>
      </w:r>
      <w:r>
        <w:t xml:space="preserve"> regionalnoj koordinaciji razmatraju iznesene prijedloge te će dogovoriti naredne korake.</w:t>
      </w:r>
    </w:p>
    <w:p w14:paraId="71C24EAD" w14:textId="77777777" w:rsidR="00FC69FE" w:rsidRPr="000B3E88" w:rsidRDefault="00FC69FE" w:rsidP="00840E2E">
      <w:pPr>
        <w:pStyle w:val="Heading3"/>
        <w:numPr>
          <w:ilvl w:val="0"/>
          <w:numId w:val="68"/>
        </w:numPr>
      </w:pPr>
      <w:r w:rsidRPr="000B3E88">
        <w:t xml:space="preserve">Posebne mjere za financijsku potporu, ako je primjenjivo, uključujući potporu EU-a i uporabu sredstava EU-a, za promicanje proizvodnje i uporabe energije iz obnovljivih izvora u elektroenergetici, grijanju, hlađenju i prometu </w:t>
      </w:r>
    </w:p>
    <w:p w14:paraId="4651424D" w14:textId="77777777" w:rsidR="00FC69FE" w:rsidRPr="00BE1ECD" w:rsidRDefault="00FC69FE" w:rsidP="00223709">
      <w:pPr>
        <w:suppressAutoHyphens w:val="0"/>
        <w:spacing w:line="259" w:lineRule="auto"/>
        <w:rPr>
          <w:bCs/>
          <w:iCs/>
        </w:rPr>
      </w:pPr>
      <w:r w:rsidRPr="00BE1ECD">
        <w:rPr>
          <w:bCs/>
          <w:iCs/>
        </w:rPr>
        <w:t>Potreban iznos potpore za električnu energiju iz OIE procijenjen je u narednom odlomku.</w:t>
      </w:r>
    </w:p>
    <w:p w14:paraId="0318880D" w14:textId="77777777" w:rsidR="00FC69FE" w:rsidRPr="000B3E88" w:rsidRDefault="00FC69FE" w:rsidP="00840E2E">
      <w:pPr>
        <w:pStyle w:val="Heading3"/>
        <w:numPr>
          <w:ilvl w:val="0"/>
          <w:numId w:val="68"/>
        </w:numPr>
      </w:pPr>
      <w:r w:rsidRPr="000B3E88">
        <w:t xml:space="preserve">Ako je primjenjivo, procjena potpore za električnu energiju iz obnovljivih </w:t>
      </w:r>
      <w:r w:rsidRPr="000B3E88">
        <w:lastRenderedPageBreak/>
        <w:t>izvora koju države članice trebaju provesti u skladu s člankom 6. stavkom 4. Direktive (EU) 2018/2001</w:t>
      </w:r>
    </w:p>
    <w:p w14:paraId="659CC04A" w14:textId="6416CC47" w:rsidR="009C5759" w:rsidRDefault="009C5759" w:rsidP="00223709">
      <w:pPr>
        <w:suppressAutoHyphens w:val="0"/>
      </w:pPr>
      <w:r w:rsidRPr="00297463">
        <w:t>Procjenjuje se da je u promatranom</w:t>
      </w:r>
      <w:r>
        <w:t xml:space="preserve"> razdoblju </w:t>
      </w:r>
      <w:r w:rsidR="009E300F">
        <w:t>potrebna potpora od 6 do 8 milijardi kuna.</w:t>
      </w:r>
    </w:p>
    <w:p w14:paraId="444654FC" w14:textId="1EBD31C6" w:rsidR="009E300F" w:rsidRDefault="00F60FCF" w:rsidP="00223709">
      <w:pPr>
        <w:suppressAutoHyphens w:val="0"/>
      </w:pPr>
      <w:r>
        <w:t xml:space="preserve">Navedeni je iznos potpora izračunat na temelju subvencije na investiciju </w:t>
      </w:r>
      <w:r w:rsidR="00220578">
        <w:t>koja je potrebna da bi nivelirani trošak električne energije iznosio 55 eura/</w:t>
      </w:r>
      <w:r w:rsidR="00073932">
        <w:t>MWh</w:t>
      </w:r>
      <w:r w:rsidR="00220578">
        <w:t>.</w:t>
      </w:r>
      <w:r w:rsidR="00685ADC">
        <w:t xml:space="preserve"> Na taj način izračunat iznos </w:t>
      </w:r>
      <w:r w:rsidR="00AF4FAE">
        <w:t xml:space="preserve">potrebne </w:t>
      </w:r>
      <w:r w:rsidR="00685ADC">
        <w:t>subvencije</w:t>
      </w:r>
      <w:r w:rsidR="00AF4FAE">
        <w:t xml:space="preserve"> za sve predviđene tehnologije</w:t>
      </w:r>
      <w:r w:rsidR="00E60A67">
        <w:t xml:space="preserve"> po MW instalirane snage. Taj je</w:t>
      </w:r>
      <w:r w:rsidR="00AF4FAE">
        <w:t xml:space="preserve"> iznos pomnožen</w:t>
      </w:r>
      <w:r w:rsidR="00685ADC">
        <w:t xml:space="preserve"> s projicir</w:t>
      </w:r>
      <w:r w:rsidR="00E907F2">
        <w:t>anom snagom instaliranom u elektranama,</w:t>
      </w:r>
      <w:r w:rsidR="00A6476C">
        <w:t xml:space="preserve"> </w:t>
      </w:r>
      <w:r w:rsidR="000D33FE">
        <w:t>po tehnologijama.</w:t>
      </w:r>
    </w:p>
    <w:p w14:paraId="10E0E0C3" w14:textId="42F297F8" w:rsidR="00C61862" w:rsidRPr="00223709" w:rsidRDefault="00C61862" w:rsidP="00223709">
      <w:pPr>
        <w:suppressAutoHyphens w:val="0"/>
        <w:rPr>
          <w:b/>
          <w:bCs/>
        </w:rPr>
      </w:pPr>
      <w:r w:rsidRPr="00223709">
        <w:rPr>
          <w:b/>
          <w:bCs/>
        </w:rPr>
        <w:t>Konačan iznos potrebne potpore ovisit će prvenstveno o razvoju tehnologije.</w:t>
      </w:r>
    </w:p>
    <w:p w14:paraId="320502ED" w14:textId="77777777" w:rsidR="00FD38A0" w:rsidRPr="00A40C3C" w:rsidRDefault="00FD38A0" w:rsidP="00840E2E">
      <w:pPr>
        <w:pStyle w:val="Heading3"/>
        <w:numPr>
          <w:ilvl w:val="0"/>
          <w:numId w:val="68"/>
        </w:numPr>
      </w:pPr>
      <w:r w:rsidRPr="00A40C3C">
        <w:t>Posebne mjere za uvođenje jedne ili više kontaktnih točaka, racionalizaciju administrativnih postupaka, davanje informacija i osposobljavanje te jačanje potrošača energije iz obnovljivih izvora koji sami proizvode i troše svoju energiju i energetskih zajednica</w:t>
      </w:r>
    </w:p>
    <w:p w14:paraId="2E775184" w14:textId="0D8E96B1" w:rsidR="004D58C9" w:rsidRDefault="00D539B9" w:rsidP="00223709">
      <w:pPr>
        <w:suppressAutoHyphens w:val="0"/>
      </w:pPr>
      <w:r>
        <w:t>Ovoj je navedeno</w:t>
      </w:r>
      <w:r w:rsidR="004D58C9" w:rsidDel="00D539B9">
        <w:t xml:space="preserve"> </w:t>
      </w:r>
      <w:r w:rsidR="004D58C9">
        <w:t>unutar OIE-1 „</w:t>
      </w:r>
      <w:r w:rsidR="0043339E" w:rsidRPr="0043339E">
        <w:t>Informiranje, edukacija i povećanje kapaciteta za korištenje OIE</w:t>
      </w:r>
      <w:r w:rsidR="004D58C9">
        <w:t>“.</w:t>
      </w:r>
    </w:p>
    <w:p w14:paraId="07B31158" w14:textId="77777777" w:rsidR="007301F1" w:rsidRPr="00A40C3C" w:rsidRDefault="007301F1" w:rsidP="00840E2E">
      <w:pPr>
        <w:pStyle w:val="Heading3"/>
        <w:numPr>
          <w:ilvl w:val="0"/>
          <w:numId w:val="68"/>
        </w:numPr>
      </w:pPr>
      <w:r w:rsidRPr="00A40C3C">
        <w:t>Ako je primjenjivo, ocjena potrebe za izgradnjom nove infrastrukture za centralizirano grijanje i hlađenje proizvedeno iz obnovljivih izvora energije</w:t>
      </w:r>
    </w:p>
    <w:p w14:paraId="1357206C" w14:textId="00C3ED97" w:rsidR="00220EAD" w:rsidRDefault="008161FE" w:rsidP="00223709">
      <w:pPr>
        <w:suppressAutoHyphens w:val="0"/>
        <w:contextualSpacing/>
      </w:pPr>
      <w:r w:rsidRPr="008161FE">
        <w:t>U smislu veće integracije OIE u sustave daljinskog grijanja i eventualni razvoj sustava daljinskog hlađenja nužno je stvoriti uvjete priključka i pogona proizvodnih postrojenja za proizvodnju ogrjevne i rashladne topline iz OIE. Potrebno je dodatno razmotriti aspekte procedure i troška priključka takvih postrojenja na način da se maksimalizira tehnologija električnih kotlova i dizalica topline velikih kapaciteta kao proizvodnih postrojenja za sustave daljinskog grijanja i hlađenja. Također se procjenjuje da će se većom integracijom OIE u sustave daljinskog grijanja i izgradnjom sustava daljinskog hlađenja na tržištu ponuditi toplinska energija izrazito konkure</w:t>
      </w:r>
      <w:r w:rsidR="00607076">
        <w:t>n</w:t>
      </w:r>
      <w:r w:rsidRPr="008161FE">
        <w:t>tne cijene čime će se posljedično stvoriti i potreba za izgradnjom nove i proširenje postojeće distribucijske infrastrukture.</w:t>
      </w:r>
      <w:r w:rsidR="007E7370">
        <w:t xml:space="preserve"> </w:t>
      </w:r>
      <w:r w:rsidR="00C11F25" w:rsidRPr="00C11F25">
        <w:t xml:space="preserve">Posebno su zanimljive geotermalne elektrane/energane koje su uglavnom baznog tipa što znači da su u pogonu čitavu godinu s vrlo kratkim </w:t>
      </w:r>
      <w:r w:rsidR="00A560B9">
        <w:t>razdoblj</w:t>
      </w:r>
      <w:r w:rsidR="00C11F25" w:rsidRPr="00C11F25">
        <w:t xml:space="preserve">ima zaustavljanja. U projektima geotermalnih elektrana, uz proizvodnju električne energije postoji i mogućnost kaskadnog korištenja preostale toplinske energije geotermalne vode u različite svrhe (toplinarstvo, grijanje prostora, sušare, akvakultura i dr.). Ovakvi sustavi povećavaju učinkovitost geotermalnih postrojenja, a time i ekonomičnost cjelokupnog geotermalnog projekta. Korištenjem geotermalne energije smanjuje se potrošnja konvencionalnih energenata (pr. fosilnih goriva) što rezultira pozitivnim utjecajem na okoliš. </w:t>
      </w:r>
      <w:r w:rsidR="000B17A2">
        <w:t xml:space="preserve">Korištenje OIE u sustavima toplinarstva </w:t>
      </w:r>
      <w:r w:rsidR="00DB4521">
        <w:t xml:space="preserve">podržat će se provedbom mjere </w:t>
      </w:r>
      <w:r w:rsidR="00184324">
        <w:t>ENU-17</w:t>
      </w:r>
      <w:r w:rsidR="00DB4521">
        <w:t xml:space="preserve"> Povećanje učinkovitosti sustava toplinarstva.</w:t>
      </w:r>
    </w:p>
    <w:p w14:paraId="2152BE57" w14:textId="77777777" w:rsidR="00064442" w:rsidRPr="00A2724B" w:rsidRDefault="00064442" w:rsidP="00840E2E">
      <w:pPr>
        <w:pStyle w:val="Heading3"/>
        <w:numPr>
          <w:ilvl w:val="0"/>
          <w:numId w:val="68"/>
        </w:numPr>
      </w:pPr>
      <w:r w:rsidRPr="00A2724B">
        <w:t>Ako je primjenjivo, posebne mjere za poticanje uporabe energije iz biomase, posebno za dobivanje nove biomase pritom uzimajući u obzir</w:t>
      </w:r>
      <w:r>
        <w:t xml:space="preserve"> </w:t>
      </w:r>
      <w:r w:rsidRPr="00A2724B">
        <w:t xml:space="preserve">dostupnost biomase: domaći potencijal i uvoz iz trećih zemalja te druge </w:t>
      </w:r>
      <w:r w:rsidRPr="00A2724B">
        <w:lastRenderedPageBreak/>
        <w:t>uporabe biomase u drugim sektorima (sektori poljoprivrede i šumarstva); kao i mjere za održivost proizvodnje i uporabe biomase</w:t>
      </w:r>
    </w:p>
    <w:p w14:paraId="5963BDB2" w14:textId="26A3F6DA" w:rsidR="00AF271F" w:rsidRPr="00725326" w:rsidRDefault="0093288E" w:rsidP="00602568">
      <w:pPr>
        <w:suppressAutoHyphens w:val="0"/>
        <w:contextualSpacing/>
        <w:jc w:val="left"/>
      </w:pPr>
      <w:r>
        <w:t>Najvažnij</w:t>
      </w:r>
      <w:r w:rsidR="007E5D93">
        <w:t>e</w:t>
      </w:r>
      <w:r>
        <w:t xml:space="preserve"> </w:t>
      </w:r>
      <w:r w:rsidR="007E5D93">
        <w:t xml:space="preserve">mjere </w:t>
      </w:r>
      <w:r w:rsidR="00F022A0">
        <w:t>za poticanje uporabe energije iz biomase</w:t>
      </w:r>
      <w:r>
        <w:t xml:space="preserve"> </w:t>
      </w:r>
      <w:r w:rsidR="00447D91">
        <w:t xml:space="preserve">su mjere </w:t>
      </w:r>
      <w:r w:rsidR="00443AC7">
        <w:t>POLJ</w:t>
      </w:r>
      <w:r w:rsidR="00447D91">
        <w:t>-</w:t>
      </w:r>
      <w:r w:rsidR="00443AC7">
        <w:t xml:space="preserve">4 </w:t>
      </w:r>
      <w:r w:rsidR="009256A9" w:rsidRPr="009256A9">
        <w:t>Anaerobna razgradnja stajskog gnoja i proizvodnja bioplina</w:t>
      </w:r>
      <w:r w:rsidR="009256A9">
        <w:t xml:space="preserve">, POLJ-15 </w:t>
      </w:r>
      <w:r w:rsidR="009256A9" w:rsidRPr="009256A9">
        <w:t xml:space="preserve">Sakupljanje i obrada poljoprivrednih nasada i ostataka za korištenje u energetske </w:t>
      </w:r>
      <w:r w:rsidR="009256A9" w:rsidRPr="00840E2E">
        <w:t>svrhe i</w:t>
      </w:r>
      <w:r w:rsidR="009256A9" w:rsidRPr="00840E2E" w:rsidDel="009256A9">
        <w:t xml:space="preserve"> </w:t>
      </w:r>
      <w:r w:rsidRPr="00840E2E">
        <w:t>TR-1</w:t>
      </w:r>
      <w:r w:rsidR="007E5D93" w:rsidRPr="00840E2E">
        <w:t>3</w:t>
      </w:r>
      <w:r w:rsidRPr="00840E2E">
        <w:t xml:space="preserve"> Plan razvoja tržišta naprednih biogoriva. Održivost proizvodnje i uporabe biomase</w:t>
      </w:r>
      <w:r w:rsidR="00C8471F" w:rsidRPr="00840E2E">
        <w:t xml:space="preserve"> poticat</w:t>
      </w:r>
      <w:r w:rsidR="00C8471F">
        <w:t xml:space="preserve"> će se u okviru mjere </w:t>
      </w:r>
      <w:r w:rsidR="004506FD">
        <w:t>MS-11</w:t>
      </w:r>
      <w:r w:rsidR="006F2AE4">
        <w:t xml:space="preserve"> </w:t>
      </w:r>
      <w:r w:rsidR="00044C47">
        <w:t xml:space="preserve">Uspostava platforme za </w:t>
      </w:r>
      <w:r w:rsidR="009737D3">
        <w:t>bio</w:t>
      </w:r>
      <w:r w:rsidR="00044C47">
        <w:t>gospodarstvo</w:t>
      </w:r>
      <w:r w:rsidR="009737D3">
        <w:t>.</w:t>
      </w:r>
    </w:p>
    <w:p w14:paraId="3FDB6FE5" w14:textId="7BD95B13" w:rsidR="00C21988" w:rsidRDefault="00BA4CD9" w:rsidP="00302043">
      <w:pPr>
        <w:pStyle w:val="Heading3"/>
      </w:pPr>
      <w:bookmarkStart w:id="370" w:name="_Toc531935156"/>
      <w:bookmarkStart w:id="371" w:name="_Toc531945106"/>
      <w:bookmarkStart w:id="372" w:name="_Toc6302363"/>
      <w:r>
        <w:t>3.1.3</w:t>
      </w:r>
      <w:r>
        <w:tab/>
      </w:r>
      <w:r w:rsidR="00C21988">
        <w:t>Ostali elementi dimenzije</w:t>
      </w:r>
      <w:bookmarkEnd w:id="370"/>
      <w:bookmarkEnd w:id="371"/>
      <w:bookmarkEnd w:id="372"/>
    </w:p>
    <w:p w14:paraId="3DEDF1CF" w14:textId="77777777" w:rsidR="00194CAA" w:rsidRPr="00A2724B" w:rsidRDefault="00194CAA" w:rsidP="00840E2E">
      <w:pPr>
        <w:pStyle w:val="Heading3"/>
        <w:numPr>
          <w:ilvl w:val="0"/>
          <w:numId w:val="69"/>
        </w:numPr>
      </w:pPr>
      <w:r w:rsidRPr="00A2724B">
        <w:t>Nacionalne politike i mjere koje utječu na sektor sustava trgovanja emisijama (ETS) i ocjena komplementarnosti sa sustavom trgovanja emisijama EU-a (EU ETS) i utjecaja na njega, ako je primjenjivo</w:t>
      </w:r>
    </w:p>
    <w:p w14:paraId="162DBDB5" w14:textId="5F9F9A71" w:rsidR="00BE332C" w:rsidRDefault="00CB4089" w:rsidP="00223709">
      <w:pPr>
        <w:suppressAutoHyphens w:val="0"/>
      </w:pPr>
      <w:r>
        <w:t>Na temelju</w:t>
      </w:r>
      <w:r w:rsidR="007C03A3" w:rsidRPr="00725326">
        <w:t xml:space="preserve"> </w:t>
      </w:r>
      <w:r w:rsidR="007C03A3" w:rsidRPr="00223709">
        <w:rPr>
          <w:i/>
          <w:iCs/>
        </w:rPr>
        <w:t>Odluk</w:t>
      </w:r>
      <w:r w:rsidR="00687622" w:rsidRPr="00223709">
        <w:rPr>
          <w:i/>
          <w:iCs/>
        </w:rPr>
        <w:t>e</w:t>
      </w:r>
      <w:r w:rsidR="007C03A3" w:rsidRPr="00223709">
        <w:rPr>
          <w:i/>
          <w:iCs/>
        </w:rPr>
        <w:t xml:space="preserve"> o naknadi za obnovljive izvore energije i visokoučinkovitu kogeneraciju</w:t>
      </w:r>
      <w:r w:rsidR="007C03A3" w:rsidRPr="00681A3C">
        <w:t xml:space="preserve"> (NN</w:t>
      </w:r>
      <w:r w:rsidR="00D11C10" w:rsidRPr="00BE332C">
        <w:t xml:space="preserve"> 87/17) obveznici </w:t>
      </w:r>
      <w:r w:rsidR="00D11C10" w:rsidRPr="00A96366">
        <w:t xml:space="preserve">ETS-a plaćaju nižu </w:t>
      </w:r>
      <w:r w:rsidR="001958C4" w:rsidRPr="00A96366">
        <w:t>n</w:t>
      </w:r>
      <w:r w:rsidR="001958C4" w:rsidRPr="00687622">
        <w:t xml:space="preserve">aknadu za obnovljive izvore energije i </w:t>
      </w:r>
      <w:r w:rsidR="007A0A90" w:rsidRPr="00687622">
        <w:t xml:space="preserve">visokoučinkovitu </w:t>
      </w:r>
      <w:r w:rsidR="001958C4" w:rsidRPr="005F4119">
        <w:t>kogeneracij</w:t>
      </w:r>
      <w:r w:rsidR="007A0A90" w:rsidRPr="005F4119">
        <w:t>u u</w:t>
      </w:r>
      <w:r w:rsidR="001958C4" w:rsidRPr="00CC21CB">
        <w:t xml:space="preserve"> iznosi </w:t>
      </w:r>
      <w:r w:rsidR="007A0A90" w:rsidRPr="00CC21CB">
        <w:t>0,007 kn/kWh</w:t>
      </w:r>
      <w:r w:rsidR="00A41ECB" w:rsidRPr="00944155">
        <w:t>, dok naknada za ostale krajnje kupce električne</w:t>
      </w:r>
      <w:r w:rsidR="00A41ECB" w:rsidRPr="00BE332C">
        <w:t xml:space="preserve"> energije iznosi</w:t>
      </w:r>
      <w:r w:rsidR="00E223DA">
        <w:t xml:space="preserve"> </w:t>
      </w:r>
      <w:r w:rsidR="001958C4" w:rsidRPr="005F4119">
        <w:t>0,105 kn/kWh</w:t>
      </w:r>
      <w:r w:rsidR="00A41ECB" w:rsidRPr="00BE332C">
        <w:t>.</w:t>
      </w:r>
      <w:r w:rsidR="00852C0B" w:rsidRPr="00BE332C">
        <w:t xml:space="preserve"> </w:t>
      </w:r>
    </w:p>
    <w:p w14:paraId="191DD995" w14:textId="2F6D9DA1" w:rsidR="00257922" w:rsidRDefault="00F84C93" w:rsidP="00223709">
      <w:pPr>
        <w:suppressAutoHyphens w:val="0"/>
      </w:pPr>
      <w:r w:rsidRPr="00BE332C">
        <w:t xml:space="preserve">U Hrvatskoj je </w:t>
      </w:r>
      <w:r w:rsidR="0072664C" w:rsidRPr="00BE332C">
        <w:t>od 2007. godine uvedena naknada na emisiju CO</w:t>
      </w:r>
      <w:r w:rsidR="0072664C" w:rsidRPr="00725326">
        <w:rPr>
          <w:vertAlign w:val="subscript"/>
        </w:rPr>
        <w:t>2</w:t>
      </w:r>
      <w:r w:rsidR="00F94823" w:rsidRPr="00752BF0">
        <w:t xml:space="preserve"> </w:t>
      </w:r>
      <w:r w:rsidR="00F67BB7">
        <w:t>na temelju</w:t>
      </w:r>
      <w:r w:rsidR="00F67BB7" w:rsidRPr="00752BF0">
        <w:t xml:space="preserve"> </w:t>
      </w:r>
      <w:r w:rsidR="00EA7C03" w:rsidRPr="00223709">
        <w:rPr>
          <w:i/>
          <w:iCs/>
        </w:rPr>
        <w:t>Uredbe o jediničnim naknadama, korektivnim koeficijentima i pobližim kriterijima i mjerilima za utvrđivanje naknade na emisiju u okoliš ugljikovog dioksida</w:t>
      </w:r>
      <w:r w:rsidR="00EA7C03" w:rsidRPr="00752BF0">
        <w:t xml:space="preserve"> </w:t>
      </w:r>
      <w:r w:rsidR="00F94823" w:rsidRPr="00681A3C">
        <w:t>(NN</w:t>
      </w:r>
      <w:r w:rsidR="005269D7" w:rsidRPr="00681A3C">
        <w:t xml:space="preserve"> 73/</w:t>
      </w:r>
      <w:r w:rsidR="005269D7" w:rsidRPr="00BE332C">
        <w:t>07, 48/</w:t>
      </w:r>
      <w:r w:rsidR="005269D7" w:rsidRPr="00A96366">
        <w:t>09</w:t>
      </w:r>
      <w:r w:rsidR="00C47C34" w:rsidRPr="00A96366">
        <w:t>, 2/18</w:t>
      </w:r>
      <w:r w:rsidR="005269D7" w:rsidRPr="00687622">
        <w:t>)</w:t>
      </w:r>
      <w:r w:rsidR="008C2AF7" w:rsidRPr="00687622">
        <w:t xml:space="preserve">. </w:t>
      </w:r>
      <w:r w:rsidR="00E174AB" w:rsidRPr="00687622">
        <w:t>O</w:t>
      </w:r>
      <w:r w:rsidR="006B7E80" w:rsidRPr="005F4119">
        <w:t xml:space="preserve">bveznici plaćanja naknade </w:t>
      </w:r>
      <w:r w:rsidR="00E174AB" w:rsidRPr="005F4119">
        <w:t xml:space="preserve">su </w:t>
      </w:r>
      <w:r w:rsidR="006B7E80" w:rsidRPr="005F4119">
        <w:t>pojedinačni stacionar</w:t>
      </w:r>
      <w:r w:rsidR="006B7E80" w:rsidRPr="00CC21CB">
        <w:t>ni izvori, koji emitiraju CO</w:t>
      </w:r>
      <w:r w:rsidR="006B7E80" w:rsidRPr="00725326">
        <w:rPr>
          <w:vertAlign w:val="subscript"/>
        </w:rPr>
        <w:t>2</w:t>
      </w:r>
      <w:r w:rsidR="006B7E80" w:rsidRPr="00752BF0">
        <w:t xml:space="preserve"> u količini većoj od 450 tona godišnje</w:t>
      </w:r>
      <w:r w:rsidR="00391D3C" w:rsidRPr="00752BF0">
        <w:t>, a jedinična naknada je 14 kn/tCO</w:t>
      </w:r>
      <w:r w:rsidR="00391D3C" w:rsidRPr="00725326">
        <w:rPr>
          <w:vertAlign w:val="subscript"/>
        </w:rPr>
        <w:t>2</w:t>
      </w:r>
      <w:r w:rsidR="00C37215" w:rsidRPr="00752BF0">
        <w:t>.</w:t>
      </w:r>
      <w:r w:rsidR="004A73FA" w:rsidRPr="00752BF0">
        <w:t xml:space="preserve"> </w:t>
      </w:r>
      <w:r w:rsidR="004A4DB8" w:rsidRPr="00681A3C">
        <w:t>Sudionici</w:t>
      </w:r>
      <w:r w:rsidR="00B22A4A" w:rsidRPr="00681A3C">
        <w:t xml:space="preserve"> </w:t>
      </w:r>
      <w:r w:rsidR="00C917EB" w:rsidRPr="00681A3C">
        <w:t>ETS-a su oslob</w:t>
      </w:r>
      <w:r w:rsidR="00C917EB" w:rsidRPr="00BE332C">
        <w:t>ođeni</w:t>
      </w:r>
      <w:r w:rsidR="004A4DB8" w:rsidRPr="00BE332C">
        <w:t xml:space="preserve"> </w:t>
      </w:r>
      <w:r w:rsidR="004A4DB8" w:rsidRPr="00A96366">
        <w:t xml:space="preserve">obveze </w:t>
      </w:r>
      <w:r w:rsidR="005425C2" w:rsidRPr="00A96366">
        <w:t>plaćanja naknada na emisiju CO</w:t>
      </w:r>
      <w:r w:rsidR="005425C2" w:rsidRPr="00725326">
        <w:rPr>
          <w:vertAlign w:val="subscript"/>
        </w:rPr>
        <w:t>2</w:t>
      </w:r>
      <w:r w:rsidR="00E16CE0" w:rsidRPr="00752BF0">
        <w:t xml:space="preserve">, kako bi se </w:t>
      </w:r>
      <w:r w:rsidR="00F80041" w:rsidRPr="00752BF0">
        <w:t xml:space="preserve">izbjeglo dvostruko </w:t>
      </w:r>
      <w:r w:rsidR="00F7162A" w:rsidRPr="00681A3C">
        <w:t xml:space="preserve">financijsko opterećenje </w:t>
      </w:r>
      <w:r w:rsidR="00B93553" w:rsidRPr="00681A3C">
        <w:t>zbog emi</w:t>
      </w:r>
      <w:r w:rsidR="009819E5" w:rsidRPr="00681A3C">
        <w:t>tiranja stakleničkih plinova.</w:t>
      </w:r>
      <w:r w:rsidR="00257922" w:rsidRPr="00257922">
        <w:t xml:space="preserve"> </w:t>
      </w:r>
    </w:p>
    <w:p w14:paraId="51046266" w14:textId="4277F55C" w:rsidR="00687622" w:rsidRPr="00687622" w:rsidRDefault="005267C2" w:rsidP="00223709">
      <w:pPr>
        <w:suppressAutoHyphens w:val="0"/>
      </w:pPr>
      <w:r w:rsidRPr="00BE332C">
        <w:t xml:space="preserve">Smanjenje </w:t>
      </w:r>
      <w:r w:rsidR="008D7381" w:rsidRPr="00BE332C">
        <w:t xml:space="preserve">iznosa </w:t>
      </w:r>
      <w:r w:rsidRPr="00BE332C">
        <w:t>naknade</w:t>
      </w:r>
      <w:r w:rsidR="00C917EB" w:rsidRPr="00A96366">
        <w:t xml:space="preserve"> </w:t>
      </w:r>
      <w:r w:rsidR="008D7381" w:rsidRPr="00A96366">
        <w:t xml:space="preserve">za obnovljive izvore energije i visokoučinkovitu kogeneraciju te oslobađanje </w:t>
      </w:r>
      <w:r w:rsidR="0056501D" w:rsidRPr="00687622">
        <w:t>obveza plaćanja naknade na emisiju CO</w:t>
      </w:r>
      <w:r w:rsidR="0056501D" w:rsidRPr="00725326">
        <w:rPr>
          <w:vertAlign w:val="subscript"/>
        </w:rPr>
        <w:t>2</w:t>
      </w:r>
      <w:r w:rsidR="00230DD5" w:rsidRPr="00752BF0">
        <w:t xml:space="preserve"> </w:t>
      </w:r>
      <w:r w:rsidR="00CE03A6" w:rsidRPr="00752BF0">
        <w:t xml:space="preserve">olakšava </w:t>
      </w:r>
      <w:r w:rsidR="007B0EA9" w:rsidRPr="00681A3C">
        <w:t>poslovanje sudionicima ETS-a</w:t>
      </w:r>
      <w:r w:rsidR="00DE27CD" w:rsidRPr="00681A3C">
        <w:t xml:space="preserve"> iz Hrvatske</w:t>
      </w:r>
      <w:r w:rsidR="00FE651D" w:rsidRPr="00681A3C">
        <w:t xml:space="preserve">, a s druge strane </w:t>
      </w:r>
      <w:r w:rsidR="009C5483" w:rsidRPr="00681A3C">
        <w:t xml:space="preserve">relativno </w:t>
      </w:r>
      <w:r w:rsidR="009C5483" w:rsidRPr="00BE332C">
        <w:t>visoka cijena</w:t>
      </w:r>
      <w:r w:rsidR="009C5483" w:rsidRPr="00A96366">
        <w:t xml:space="preserve"> emisijskih jedinica </w:t>
      </w:r>
      <w:r w:rsidR="001E0C8E" w:rsidRPr="00A96366">
        <w:t xml:space="preserve">na ETS tržištu </w:t>
      </w:r>
      <w:r w:rsidR="00194975" w:rsidRPr="00A96366">
        <w:t>(</w:t>
      </w:r>
      <w:r w:rsidR="00B9356F" w:rsidRPr="00687622">
        <w:t xml:space="preserve">sekundarno spot tržište </w:t>
      </w:r>
      <w:r w:rsidR="00594FDA" w:rsidRPr="00687622">
        <w:t>EEX-a</w:t>
      </w:r>
      <w:r w:rsidR="004B5A10" w:rsidRPr="00687622">
        <w:t xml:space="preserve"> na dan </w:t>
      </w:r>
      <w:r w:rsidR="00E20281" w:rsidRPr="00687622">
        <w:t xml:space="preserve">12.6.2019. u </w:t>
      </w:r>
      <w:r w:rsidR="00752BF0" w:rsidRPr="005F4119">
        <w:t>10:23 sati</w:t>
      </w:r>
      <w:r w:rsidR="00594FDA" w:rsidRPr="005F4119">
        <w:t xml:space="preserve">: </w:t>
      </w:r>
      <w:r w:rsidR="002D48D6" w:rsidRPr="00CC21CB">
        <w:t>24,63 EUR/tCO</w:t>
      </w:r>
      <w:r w:rsidR="002D48D6" w:rsidRPr="00725326">
        <w:rPr>
          <w:vertAlign w:val="subscript"/>
        </w:rPr>
        <w:t>2</w:t>
      </w:r>
      <w:r w:rsidR="002D48D6" w:rsidRPr="00752BF0">
        <w:t>e</w:t>
      </w:r>
      <w:r w:rsidR="004B5A10" w:rsidRPr="00752BF0">
        <w:t xml:space="preserve">) </w:t>
      </w:r>
      <w:r w:rsidR="00A63EBC" w:rsidRPr="00752BF0">
        <w:t xml:space="preserve">stimulira </w:t>
      </w:r>
      <w:r w:rsidR="00EC4406" w:rsidRPr="00681A3C">
        <w:t xml:space="preserve">provedbu mjera za smanjenje emisija </w:t>
      </w:r>
      <w:r w:rsidR="00E24550" w:rsidRPr="00681A3C">
        <w:t>stakleničkih plinova.</w:t>
      </w:r>
      <w:r w:rsidR="00E223DA">
        <w:t xml:space="preserve"> </w:t>
      </w:r>
    </w:p>
    <w:p w14:paraId="26FFE978" w14:textId="77777777" w:rsidR="00062017" w:rsidRPr="00A2724B" w:rsidRDefault="00062017" w:rsidP="00840E2E">
      <w:pPr>
        <w:pStyle w:val="Heading3"/>
        <w:numPr>
          <w:ilvl w:val="0"/>
          <w:numId w:val="69"/>
        </w:numPr>
      </w:pPr>
      <w:r w:rsidRPr="00A2724B">
        <w:t>Politike i mjere za ostvarivanje drugih nacionalnih ciljeva, ako je primjenjivo</w:t>
      </w:r>
    </w:p>
    <w:p w14:paraId="48ACF8D7" w14:textId="77777777" w:rsidR="00AB1FEF" w:rsidRDefault="00AB1FEF" w:rsidP="00223709">
      <w:pPr>
        <w:suppressAutoHyphens w:val="0"/>
        <w:spacing w:line="259" w:lineRule="auto"/>
      </w:pPr>
      <w:r>
        <w:t>Nije primjenjivo.</w:t>
      </w:r>
    </w:p>
    <w:p w14:paraId="6ACFE803" w14:textId="77777777" w:rsidR="003D6E7B" w:rsidRPr="00A2724B" w:rsidRDefault="003D6E7B" w:rsidP="00840E2E">
      <w:pPr>
        <w:pStyle w:val="Heading3"/>
        <w:numPr>
          <w:ilvl w:val="0"/>
          <w:numId w:val="69"/>
        </w:numPr>
      </w:pPr>
      <w:r w:rsidRPr="00A2724B">
        <w:t>Strategije, planovi i mjere prilagodbe klimatskim promjenama</w:t>
      </w:r>
    </w:p>
    <w:p w14:paraId="71C06F49" w14:textId="0AAAE97F" w:rsidR="0043339E" w:rsidRDefault="0043339E" w:rsidP="0043339E">
      <w:r>
        <w:t>Ublažavanje klimatskih promjena i prilagodba istima smatraju se stupovima provedbe klimatske politike</w:t>
      </w:r>
      <w:r w:rsidRPr="00662985">
        <w:rPr>
          <w:color w:val="222222"/>
          <w:shd w:val="clear" w:color="auto" w:fill="FFFFFF"/>
        </w:rPr>
        <w:t>.</w:t>
      </w:r>
      <w:r>
        <w:rPr>
          <w:color w:val="222222"/>
          <w:shd w:val="clear" w:color="auto" w:fill="FFFFFF"/>
        </w:rPr>
        <w:t xml:space="preserve"> U pogledu prilagodbe klimatskim promjenama, u tijeku je donošenje </w:t>
      </w:r>
      <w:r w:rsidRPr="00223709">
        <w:rPr>
          <w:i/>
          <w:iCs/>
        </w:rPr>
        <w:t>Strategije prilagodbe klimatskim promjenama u Republici Hrvatskoj za razdoblje do 2040. godine s pogledom na 2070.</w:t>
      </w:r>
      <w:r>
        <w:t xml:space="preserve">, prvog dokumenta te vrste u Republici Hrvatskoj. </w:t>
      </w:r>
      <w:r w:rsidRPr="00543E40">
        <w:rPr>
          <w:color w:val="222222"/>
          <w:shd w:val="clear" w:color="auto" w:fill="FFFFFF"/>
        </w:rPr>
        <w:t xml:space="preserve">Izrada Strategije prilagodbe </w:t>
      </w:r>
      <w:r w:rsidR="00B25DEF">
        <w:rPr>
          <w:color w:val="222222"/>
          <w:shd w:val="clear" w:color="auto" w:fill="FFFFFF"/>
        </w:rPr>
        <w:t>klimatskim promjenama</w:t>
      </w:r>
      <w:r w:rsidR="00B25DEF" w:rsidRPr="00543E40" w:rsidDel="00B25DEF">
        <w:rPr>
          <w:color w:val="222222"/>
          <w:shd w:val="clear" w:color="auto" w:fill="FFFFFF"/>
        </w:rPr>
        <w:t xml:space="preserve"> </w:t>
      </w:r>
      <w:r w:rsidRPr="00543E40">
        <w:rPr>
          <w:color w:val="222222"/>
          <w:shd w:val="clear" w:color="auto" w:fill="FFFFFF"/>
        </w:rPr>
        <w:t xml:space="preserve">temeljni je preduvjet i odgovarajući instrument uspješne </w:t>
      </w:r>
      <w:r w:rsidRPr="00543E40">
        <w:rPr>
          <w:color w:val="222222"/>
          <w:shd w:val="clear" w:color="auto" w:fill="FFFFFF"/>
        </w:rPr>
        <w:lastRenderedPageBreak/>
        <w:t xml:space="preserve">provedbe procesa </w:t>
      </w:r>
      <w:r w:rsidR="00B9352A">
        <w:rPr>
          <w:color w:val="222222"/>
          <w:shd w:val="clear" w:color="auto" w:fill="FFFFFF"/>
        </w:rPr>
        <w:t>procjene ranjivosti, provedbe mjera prilagodbe te s tim u vezi povećanja otpornosti</w:t>
      </w:r>
      <w:r w:rsidR="00622DB1">
        <w:rPr>
          <w:color w:val="222222"/>
          <w:shd w:val="clear" w:color="auto" w:fill="FFFFFF"/>
        </w:rPr>
        <w:t xml:space="preserve"> </w:t>
      </w:r>
      <w:r w:rsidR="00B9352A">
        <w:rPr>
          <w:color w:val="222222"/>
          <w:shd w:val="clear" w:color="auto" w:fill="FFFFFF"/>
        </w:rPr>
        <w:t>pojedinih sektora te cjelokupnog gospodarstva i društva na klimatske promjene</w:t>
      </w:r>
      <w:r w:rsidRPr="00543E40">
        <w:rPr>
          <w:color w:val="222222"/>
          <w:shd w:val="clear" w:color="auto" w:fill="FFFFFF"/>
        </w:rPr>
        <w:t>.</w:t>
      </w:r>
    </w:p>
    <w:p w14:paraId="7E7A44C4" w14:textId="6E39CB43" w:rsidR="0043339E" w:rsidRDefault="0043339E" w:rsidP="0043339E">
      <w:r>
        <w:t xml:space="preserve">Prema Nacrtu </w:t>
      </w:r>
      <w:r w:rsidRPr="007F23D3">
        <w:t>Strategije prilagodbe</w:t>
      </w:r>
      <w:r>
        <w:t>, ranjivost Republike Hrvatske na učinke klimatskih promjena je velika, posebno sektora</w:t>
      </w:r>
      <w:r w:rsidRPr="00543E40">
        <w:rPr>
          <w:color w:val="222222"/>
          <w:shd w:val="clear" w:color="auto" w:fill="FFFFFF"/>
        </w:rPr>
        <w:t xml:space="preserve"> poljoprivrede, šumarstva, ribarstva</w:t>
      </w:r>
      <w:r>
        <w:rPr>
          <w:color w:val="222222"/>
          <w:shd w:val="clear" w:color="auto" w:fill="FFFFFF"/>
        </w:rPr>
        <w:t xml:space="preserve">, </w:t>
      </w:r>
      <w:r w:rsidRPr="00543E40">
        <w:rPr>
          <w:color w:val="222222"/>
          <w:shd w:val="clear" w:color="auto" w:fill="FFFFFF"/>
        </w:rPr>
        <w:t>energetike</w:t>
      </w:r>
      <w:r w:rsidRPr="00A90F92">
        <w:rPr>
          <w:color w:val="222222"/>
          <w:shd w:val="clear" w:color="auto" w:fill="FFFFFF"/>
        </w:rPr>
        <w:t xml:space="preserve"> </w:t>
      </w:r>
      <w:r>
        <w:rPr>
          <w:color w:val="222222"/>
          <w:shd w:val="clear" w:color="auto" w:fill="FFFFFF"/>
        </w:rPr>
        <w:t xml:space="preserve">i </w:t>
      </w:r>
      <w:r w:rsidRPr="00543E40">
        <w:rPr>
          <w:color w:val="222222"/>
          <w:shd w:val="clear" w:color="auto" w:fill="FFFFFF"/>
        </w:rPr>
        <w:t>turizma</w:t>
      </w:r>
      <w:r w:rsidR="00D66D48">
        <w:rPr>
          <w:color w:val="222222"/>
          <w:shd w:val="clear" w:color="auto" w:fill="FFFFFF"/>
        </w:rPr>
        <w:t>,</w:t>
      </w:r>
      <w:r>
        <w:rPr>
          <w:color w:val="222222"/>
          <w:shd w:val="clear" w:color="auto" w:fill="FFFFFF"/>
        </w:rPr>
        <w:t xml:space="preserve"> </w:t>
      </w:r>
      <w:r w:rsidR="00D66D48">
        <w:rPr>
          <w:color w:val="222222"/>
          <w:shd w:val="clear" w:color="auto" w:fill="FFFFFF"/>
        </w:rPr>
        <w:t xml:space="preserve">jer </w:t>
      </w:r>
      <w:r w:rsidRPr="00543E40">
        <w:rPr>
          <w:color w:val="222222"/>
          <w:shd w:val="clear" w:color="auto" w:fill="FFFFFF"/>
        </w:rPr>
        <w:t>uspješnost svih tih sektora u velikoj mjeri ovisi o klimatskim čimbenicima.</w:t>
      </w:r>
      <w:r>
        <w:rPr>
          <w:color w:val="222222"/>
          <w:shd w:val="clear" w:color="auto" w:fill="FFFFFF"/>
        </w:rPr>
        <w:t xml:space="preserve"> </w:t>
      </w:r>
    </w:p>
    <w:p w14:paraId="33AD2025" w14:textId="77777777" w:rsidR="0043339E" w:rsidRDefault="0043339E" w:rsidP="0043339E">
      <w:r>
        <w:t>Identificirano je pet nacionalnih prioriteta u okviru kojih je potrebno provoditi mjere prilagodbe klimatskim promjenama. To su:</w:t>
      </w:r>
    </w:p>
    <w:p w14:paraId="13B6F88C" w14:textId="4EFE258C" w:rsidR="0043339E" w:rsidRDefault="0043339E" w:rsidP="00840E2E">
      <w:pPr>
        <w:pStyle w:val="ListParagraph"/>
        <w:numPr>
          <w:ilvl w:val="0"/>
          <w:numId w:val="32"/>
        </w:numPr>
      </w:pPr>
      <w:r>
        <w:t xml:space="preserve">osiguranje održivog regionalnog i urbanog razvoja </w:t>
      </w:r>
    </w:p>
    <w:p w14:paraId="6D69C2D0" w14:textId="06F35E47" w:rsidR="0043339E" w:rsidRDefault="0043339E" w:rsidP="00840E2E">
      <w:pPr>
        <w:pStyle w:val="ListParagraph"/>
        <w:numPr>
          <w:ilvl w:val="0"/>
          <w:numId w:val="32"/>
        </w:numPr>
      </w:pPr>
      <w:r>
        <w:t>osiguranje preduvjeta za gospodarski razvoj ruralnih područja, priobalja i otoka</w:t>
      </w:r>
    </w:p>
    <w:p w14:paraId="0D6388FF" w14:textId="41748B48" w:rsidR="0043339E" w:rsidRDefault="0043339E" w:rsidP="00840E2E">
      <w:pPr>
        <w:pStyle w:val="ListParagraph"/>
        <w:numPr>
          <w:ilvl w:val="0"/>
          <w:numId w:val="32"/>
        </w:numPr>
      </w:pPr>
      <w:r>
        <w:t>osiguranje održivog energetskog razvitka</w:t>
      </w:r>
    </w:p>
    <w:p w14:paraId="3E8B539D" w14:textId="2F10198E" w:rsidR="0043339E" w:rsidRDefault="0043339E" w:rsidP="00840E2E">
      <w:pPr>
        <w:pStyle w:val="ListParagraph"/>
        <w:numPr>
          <w:ilvl w:val="0"/>
          <w:numId w:val="32"/>
        </w:numPr>
      </w:pPr>
      <w:r>
        <w:t xml:space="preserve">jačanje upravljačkih kapaciteta umreženim sustavom praćenja i ranog upozoravanja </w:t>
      </w:r>
    </w:p>
    <w:p w14:paraId="021371A0" w14:textId="17B1329B" w:rsidR="0043339E" w:rsidRDefault="0043339E" w:rsidP="00840E2E">
      <w:pPr>
        <w:pStyle w:val="ListParagraph"/>
        <w:numPr>
          <w:ilvl w:val="0"/>
          <w:numId w:val="32"/>
        </w:numPr>
      </w:pPr>
      <w:r>
        <w:t>osiguranje kontinuiteta istraživačkih aktivnosti.</w:t>
      </w:r>
    </w:p>
    <w:p w14:paraId="3EFAB475" w14:textId="09F0C32D" w:rsidR="0043339E" w:rsidRPr="003E33F5" w:rsidRDefault="0043339E" w:rsidP="0043339E">
      <w:pPr>
        <w:rPr>
          <w:color w:val="222222"/>
          <w:shd w:val="clear" w:color="auto" w:fill="FFFFFF"/>
        </w:rPr>
      </w:pPr>
      <w:r w:rsidRPr="003E33F5">
        <w:rPr>
          <w:color w:val="222222"/>
          <w:shd w:val="clear" w:color="auto" w:fill="FFFFFF"/>
        </w:rPr>
        <w:t>Na temelju općih načela za definiranje mjera, analize postojećeg stanja po sektorima i procjene stupnja ranjivosti i mogućih odgovora na izazove prilagodbe klimatskim promjenama Nacrtom Strategije prilagodbe utvrđen je skup mjera za svaki sektor kao i međusektorske mjere. Po svom karakteru, mjere su regulatorne i administrativne, provedbene, mjere edukacije i osvješćivanja javnosti te istraživačko razvojne mjere. Osim po karakteru, mjere su i prior</w:t>
      </w:r>
      <w:r w:rsidR="00D66D48">
        <w:rPr>
          <w:color w:val="222222"/>
          <w:shd w:val="clear" w:color="auto" w:fill="FFFFFF"/>
        </w:rPr>
        <w:t>i</w:t>
      </w:r>
      <w:r w:rsidRPr="003E33F5">
        <w:rPr>
          <w:color w:val="222222"/>
          <w:shd w:val="clear" w:color="auto" w:fill="FFFFFF"/>
        </w:rPr>
        <w:t xml:space="preserve">tizirane (mjere vrlo visoke važnosti, visoke važnosti i srednje važnosti). </w:t>
      </w:r>
    </w:p>
    <w:p w14:paraId="32E9C23A" w14:textId="1442C253" w:rsidR="0043339E" w:rsidRPr="003E33F5" w:rsidRDefault="0043339E" w:rsidP="0043339E">
      <w:pPr>
        <w:rPr>
          <w:color w:val="222222"/>
          <w:shd w:val="clear" w:color="auto" w:fill="FFFFFF"/>
        </w:rPr>
      </w:pPr>
      <w:r w:rsidRPr="003E33F5">
        <w:rPr>
          <w:color w:val="222222"/>
          <w:shd w:val="clear" w:color="auto" w:fill="FFFFFF"/>
        </w:rPr>
        <w:t>Strategija prilagodbe provodit će se putem provedbenih akcijskih planova, koji će sadržavati</w:t>
      </w:r>
      <w:r w:rsidR="00E223DA">
        <w:rPr>
          <w:color w:val="222222"/>
          <w:shd w:val="clear" w:color="auto" w:fill="FFFFFF"/>
        </w:rPr>
        <w:t xml:space="preserve"> </w:t>
      </w:r>
      <w:r w:rsidRPr="003E33F5">
        <w:rPr>
          <w:color w:val="222222"/>
          <w:shd w:val="clear" w:color="auto" w:fill="FFFFFF"/>
        </w:rPr>
        <w:t>razradu konkretnih mjera i aktivnosti za određeno petogodišnje razdoblje</w:t>
      </w:r>
      <w:r w:rsidRPr="003E33F5">
        <w:rPr>
          <w:rFonts w:asciiTheme="minorHAnsi" w:hAnsiTheme="minorHAnsi" w:cstheme="minorBidi"/>
          <w:color w:val="222222"/>
          <w:shd w:val="clear" w:color="auto" w:fill="FFFFFF"/>
        </w:rPr>
        <w:t xml:space="preserve">. </w:t>
      </w:r>
    </w:p>
    <w:p w14:paraId="708FEE99" w14:textId="1720987D" w:rsidR="00DD7CAC" w:rsidRPr="00A2724B" w:rsidRDefault="00DD7CAC" w:rsidP="00840E2E">
      <w:pPr>
        <w:pStyle w:val="Heading3"/>
        <w:numPr>
          <w:ilvl w:val="0"/>
          <w:numId w:val="69"/>
        </w:numPr>
      </w:pPr>
      <w:r w:rsidRPr="00A2724B">
        <w:t xml:space="preserve">Politike i mjere za postizanje mobilnosti s niskom razinom emisije (uključujući elektrifikaciju prometa) </w:t>
      </w:r>
    </w:p>
    <w:p w14:paraId="1F54E37D" w14:textId="77777777" w:rsidR="00E434AC" w:rsidRDefault="00E434AC" w:rsidP="00E434AC">
      <w:r>
        <w:t>Očekivani učinci grupe mjera za poticanje mobilnosti s niskom razinom emisije su:</w:t>
      </w:r>
    </w:p>
    <w:p w14:paraId="16A7FF4A" w14:textId="77777777" w:rsidR="00E434AC" w:rsidRDefault="00E434AC" w:rsidP="00840E2E">
      <w:pPr>
        <w:pStyle w:val="ListParagraph"/>
        <w:numPr>
          <w:ilvl w:val="0"/>
          <w:numId w:val="108"/>
        </w:numPr>
      </w:pPr>
      <w:r>
        <w:t>smanjenje neposredne potrošnje energije u prometu u projekcijama za scenarij s dodatnim mjerama u odnosu na scenarij s postojećim mjerama, koje iznosi 4,48 PJ u 2030. godini;</w:t>
      </w:r>
    </w:p>
    <w:p w14:paraId="45F97B4C" w14:textId="747C38DC" w:rsidR="00E434AC" w:rsidRDefault="00E434AC" w:rsidP="00840E2E">
      <w:pPr>
        <w:pStyle w:val="ListParagraph"/>
        <w:numPr>
          <w:ilvl w:val="0"/>
          <w:numId w:val="108"/>
        </w:numPr>
      </w:pPr>
      <w:r>
        <w:t>udio OIE u</w:t>
      </w:r>
      <w:r w:rsidR="00D66D48">
        <w:t xml:space="preserve"> </w:t>
      </w:r>
      <w:r>
        <w:t>prometu od 13,2%</w:t>
      </w:r>
      <w:r w:rsidR="00243731">
        <w:t>.</w:t>
      </w:r>
    </w:p>
    <w:p w14:paraId="081DC7E7" w14:textId="77777777" w:rsidR="000E42B1" w:rsidRDefault="000E42B1" w:rsidP="00725326"/>
    <w:p w14:paraId="6B1FA746" w14:textId="7C486030" w:rsidR="0012721C"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TR-1: Informiranje potrošača o ekonomičnosti potrošnje goriva i emisiji CO</w:t>
      </w:r>
      <w:r w:rsidR="002B476D" w:rsidRPr="00840E2E">
        <w:rPr>
          <w:rFonts w:ascii="Arial" w:hAnsi="Arial" w:cs="Arial"/>
          <w:b/>
          <w:bCs/>
          <w:color w:val="000000"/>
          <w:sz w:val="22"/>
          <w:szCs w:val="22"/>
          <w:vertAlign w:val="subscript"/>
        </w:rPr>
        <w:t>2</w:t>
      </w:r>
      <w:r w:rsidRPr="005B687C">
        <w:rPr>
          <w:rFonts w:ascii="Arial" w:hAnsi="Arial" w:cs="Arial"/>
          <w:b/>
          <w:bCs/>
          <w:color w:val="000000"/>
          <w:sz w:val="22"/>
          <w:szCs w:val="22"/>
        </w:rPr>
        <w:t xml:space="preserve"> novih osobnih automobila</w:t>
      </w:r>
    </w:p>
    <w:p w14:paraId="38612962" w14:textId="77777777" w:rsidR="0012721C" w:rsidRPr="00ED5A38"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Regulatorna mjera; provedba 201</w:t>
      </w:r>
      <w:r>
        <w:rPr>
          <w:rFonts w:ascii="Arial" w:hAnsi="Arial" w:cs="Arial"/>
          <w:b/>
          <w:bCs/>
          <w:color w:val="000000"/>
          <w:sz w:val="22"/>
          <w:szCs w:val="22"/>
        </w:rPr>
        <w:t>5</w:t>
      </w:r>
      <w:r w:rsidRPr="005B687C">
        <w:rPr>
          <w:rFonts w:ascii="Arial" w:hAnsi="Arial" w:cs="Arial"/>
          <w:b/>
          <w:bCs/>
          <w:color w:val="000000"/>
          <w:sz w:val="22"/>
          <w:szCs w:val="22"/>
        </w:rPr>
        <w:t xml:space="preserve">. – 2030. </w:t>
      </w:r>
    </w:p>
    <w:p w14:paraId="1EBE10D9" w14:textId="09D8DCEF"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Cilj i opis mjere:</w:t>
      </w:r>
      <w:r w:rsidRPr="00BE6952">
        <w:rPr>
          <w:rFonts w:ascii="Arial" w:hAnsi="Arial" w:cs="Arial"/>
          <w:color w:val="000000"/>
          <w:sz w:val="22"/>
          <w:szCs w:val="22"/>
          <w:lang w:eastAsia="en-GB"/>
        </w:rPr>
        <w:t xml:space="preserve"> </w:t>
      </w:r>
      <w:r w:rsidRPr="005B687C">
        <w:rPr>
          <w:rFonts w:ascii="Arial" w:hAnsi="Arial" w:cs="Arial"/>
          <w:color w:val="000000"/>
          <w:sz w:val="22"/>
          <w:szCs w:val="22"/>
          <w:lang w:eastAsia="en-GB"/>
        </w:rPr>
        <w:t>Sukladno Pravilniku o dostupnosti podataka o ekonomičnosti potrošnje goriva i emisiji CO</w:t>
      </w:r>
      <w:r w:rsidRPr="005B687C">
        <w:rPr>
          <w:rFonts w:ascii="Arial" w:hAnsi="Arial" w:cs="Arial"/>
          <w:color w:val="000000"/>
          <w:sz w:val="22"/>
          <w:szCs w:val="22"/>
          <w:vertAlign w:val="subscript"/>
          <w:lang w:eastAsia="en-GB"/>
        </w:rPr>
        <w:t>2</w:t>
      </w:r>
      <w:r w:rsidRPr="005B687C">
        <w:rPr>
          <w:rFonts w:ascii="Arial" w:hAnsi="Arial" w:cs="Arial"/>
          <w:color w:val="000000"/>
          <w:sz w:val="22"/>
          <w:szCs w:val="22"/>
          <w:lang w:eastAsia="en-GB"/>
        </w:rPr>
        <w:t xml:space="preserve"> iz novih putničkih vozila (</w:t>
      </w:r>
      <w:r w:rsidR="00880054">
        <w:rPr>
          <w:rFonts w:ascii="Arial" w:hAnsi="Arial" w:cs="Arial"/>
          <w:color w:val="000000"/>
          <w:sz w:val="22"/>
          <w:szCs w:val="22"/>
          <w:lang w:eastAsia="en-GB"/>
        </w:rPr>
        <w:t>NN</w:t>
      </w:r>
      <w:r w:rsidRPr="005B687C">
        <w:rPr>
          <w:rFonts w:ascii="Arial" w:hAnsi="Arial" w:cs="Arial"/>
          <w:color w:val="000000"/>
          <w:sz w:val="22"/>
          <w:szCs w:val="22"/>
          <w:lang w:eastAsia="en-GB"/>
        </w:rPr>
        <w:t xml:space="preserve"> 7/15) svaki dobavljač novih osobnih vozila namijenjenih prodaji dužan je omogućiti potrošačima dostupne informacije o razini potrošnje goriva i specifičnoj emisiji CO</w:t>
      </w:r>
      <w:r w:rsidRPr="005B687C">
        <w:rPr>
          <w:rFonts w:ascii="Arial" w:hAnsi="Arial" w:cs="Arial"/>
          <w:color w:val="000000"/>
          <w:sz w:val="22"/>
          <w:szCs w:val="22"/>
          <w:vertAlign w:val="subscript"/>
          <w:lang w:eastAsia="en-GB"/>
        </w:rPr>
        <w:t>2</w:t>
      </w:r>
      <w:r w:rsidRPr="005B687C">
        <w:rPr>
          <w:rFonts w:ascii="Arial" w:hAnsi="Arial" w:cs="Arial"/>
          <w:color w:val="000000"/>
          <w:sz w:val="22"/>
          <w:szCs w:val="22"/>
          <w:lang w:eastAsia="en-GB"/>
        </w:rPr>
        <w:t xml:space="preserve"> putničkih vozila. Ministarstvo unutarnjih poslova, kao središnje tijelo državne uprave nadležno za sigurnost cestovnog prometa, na osnovi Pravilnika jedanput godišnje, najkasnije do 31. ožujka tekuće godine izrađuje Vodič o ekonomičnosti potrošnje goriva i emisiji CO</w:t>
      </w:r>
      <w:r w:rsidRPr="005B687C">
        <w:rPr>
          <w:rFonts w:ascii="Arial" w:hAnsi="Arial" w:cs="Arial"/>
          <w:color w:val="000000"/>
          <w:sz w:val="22"/>
          <w:szCs w:val="22"/>
          <w:vertAlign w:val="subscript"/>
          <w:lang w:eastAsia="en-GB"/>
        </w:rPr>
        <w:t>2</w:t>
      </w:r>
      <w:r w:rsidRPr="005B687C">
        <w:rPr>
          <w:rFonts w:ascii="Arial" w:hAnsi="Arial" w:cs="Arial"/>
          <w:color w:val="000000"/>
          <w:sz w:val="22"/>
          <w:szCs w:val="22"/>
          <w:lang w:eastAsia="en-GB"/>
        </w:rPr>
        <w:t xml:space="preserve"> novih osobnih automobila koji su dostupni za kupovinu na tržištu u Republici Hrvatskoj. Vodič sadrži potrebne podatke za svaki model novih osobnih automobila dostupnih na domaćem tržištu.</w:t>
      </w:r>
    </w:p>
    <w:p w14:paraId="7C9922AE"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p>
    <w:p w14:paraId="19D479DB"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sljedeće aktivnosti: </w:t>
      </w:r>
    </w:p>
    <w:p w14:paraId="075377CA" w14:textId="77777777" w:rsidR="0012721C" w:rsidRPr="00BE6952" w:rsidRDefault="0012721C" w:rsidP="00840E2E">
      <w:pPr>
        <w:pStyle w:val="Tabletext"/>
        <w:numPr>
          <w:ilvl w:val="0"/>
          <w:numId w:val="90"/>
        </w:numPr>
        <w:tabs>
          <w:tab w:val="left" w:pos="168"/>
          <w:tab w:val="left" w:pos="5040"/>
        </w:tabs>
        <w:spacing w:before="0" w:after="0" w:line="240" w:lineRule="auto"/>
        <w:rPr>
          <w:rFonts w:cs="Arial"/>
          <w:color w:val="000000"/>
          <w:sz w:val="22"/>
          <w:szCs w:val="22"/>
          <w:lang w:val="hr-HR" w:eastAsia="en-GB"/>
        </w:rPr>
      </w:pPr>
      <w:r>
        <w:rPr>
          <w:rFonts w:cs="Arial"/>
          <w:color w:val="000000"/>
          <w:sz w:val="22"/>
          <w:szCs w:val="22"/>
          <w:lang w:val="hr-HR" w:eastAsia="en-GB"/>
        </w:rPr>
        <w:t xml:space="preserve">Proširenje </w:t>
      </w:r>
      <w:r w:rsidRPr="005B687C">
        <w:rPr>
          <w:rFonts w:cs="Arial"/>
          <w:color w:val="000000"/>
          <w:sz w:val="22"/>
          <w:szCs w:val="22"/>
          <w:lang w:val="hr-HR" w:eastAsia="en-GB"/>
        </w:rPr>
        <w:t>informiranj</w:t>
      </w:r>
      <w:r>
        <w:rPr>
          <w:rFonts w:cs="Arial"/>
          <w:color w:val="000000"/>
          <w:sz w:val="22"/>
          <w:szCs w:val="22"/>
          <w:lang w:val="hr-HR" w:eastAsia="en-GB"/>
        </w:rPr>
        <w:t>a</w:t>
      </w:r>
      <w:r w:rsidRPr="005B687C">
        <w:rPr>
          <w:rFonts w:cs="Arial"/>
          <w:color w:val="000000"/>
          <w:sz w:val="22"/>
          <w:szCs w:val="22"/>
          <w:lang w:val="hr-HR" w:eastAsia="en-GB"/>
        </w:rPr>
        <w:t xml:space="preserve"> i na ostale kategorije motornih cestovnih vozila.</w:t>
      </w:r>
    </w:p>
    <w:p w14:paraId="282740D3" w14:textId="77777777" w:rsidR="0012721C" w:rsidRPr="00BE6952"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04EE9A39"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Sredstva potrebna za provedbu: </w:t>
      </w:r>
      <w:r w:rsidRPr="005B687C">
        <w:rPr>
          <w:rFonts w:ascii="Arial" w:hAnsi="Arial" w:cs="Arial"/>
          <w:color w:val="000000"/>
          <w:sz w:val="22"/>
          <w:szCs w:val="22"/>
          <w:lang w:eastAsia="en-GB"/>
        </w:rPr>
        <w:t xml:space="preserve">Financijska sredstva za provedbu ovih aktivnosti planira </w:t>
      </w:r>
      <w:r>
        <w:rPr>
          <w:rFonts w:ascii="Arial" w:hAnsi="Arial" w:cs="Arial"/>
          <w:color w:val="000000"/>
          <w:sz w:val="22"/>
          <w:szCs w:val="22"/>
          <w:lang w:eastAsia="en-GB"/>
        </w:rPr>
        <w:t>MUP</w:t>
      </w:r>
      <w:r w:rsidRPr="005B687C">
        <w:rPr>
          <w:rFonts w:ascii="Arial" w:hAnsi="Arial" w:cs="Arial"/>
          <w:color w:val="000000"/>
          <w:sz w:val="22"/>
          <w:szCs w:val="22"/>
          <w:lang w:eastAsia="en-GB"/>
        </w:rPr>
        <w:t xml:space="preserve"> u okviru svojih godišnjih proračuna, kao sastavni dio svojih redovnih aktivnosti.</w:t>
      </w:r>
    </w:p>
    <w:p w14:paraId="509F3FB1"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Državni proračun (MUP)</w:t>
      </w:r>
    </w:p>
    <w:p w14:paraId="085B51FB" w14:textId="5FA072FF"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MUP</w:t>
      </w:r>
    </w:p>
    <w:p w14:paraId="3264B425"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p>
    <w:p w14:paraId="5C5FBE7D" w14:textId="5C8344B1"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Učinak: </w:t>
      </w:r>
      <w:r w:rsidRPr="005B687C">
        <w:rPr>
          <w:rFonts w:ascii="Arial" w:hAnsi="Arial" w:cs="Arial"/>
          <w:color w:val="000000"/>
          <w:sz w:val="22"/>
          <w:szCs w:val="22"/>
          <w:lang w:eastAsia="en-GB"/>
        </w:rPr>
        <w:t>Ušteda energije</w:t>
      </w:r>
      <w:r w:rsidR="004A692B">
        <w:rPr>
          <w:rFonts w:ascii="Arial" w:hAnsi="Arial" w:cs="Arial"/>
          <w:color w:val="000000"/>
          <w:sz w:val="22"/>
          <w:szCs w:val="22"/>
          <w:lang w:eastAsia="en-GB"/>
        </w:rPr>
        <w:t>,</w:t>
      </w:r>
      <w:r w:rsidRPr="005B687C">
        <w:rPr>
          <w:rFonts w:ascii="Arial" w:hAnsi="Arial" w:cs="Arial"/>
          <w:color w:val="000000"/>
          <w:sz w:val="22"/>
          <w:szCs w:val="22"/>
          <w:lang w:eastAsia="en-GB"/>
        </w:rPr>
        <w:t xml:space="preserve"> smanjenje emisije CO</w:t>
      </w:r>
      <w:r w:rsidRPr="005B687C">
        <w:rPr>
          <w:rFonts w:ascii="Arial" w:hAnsi="Arial" w:cs="Arial"/>
          <w:color w:val="000000"/>
          <w:sz w:val="22"/>
          <w:szCs w:val="22"/>
          <w:vertAlign w:val="subscript"/>
          <w:lang w:eastAsia="en-GB"/>
        </w:rPr>
        <w:t>2e</w:t>
      </w:r>
      <w:r w:rsidR="000E2ACF" w:rsidRPr="00840E2E">
        <w:rPr>
          <w:rFonts w:ascii="Arial" w:hAnsi="Arial" w:cs="Arial"/>
          <w:color w:val="000000"/>
          <w:sz w:val="22"/>
          <w:szCs w:val="22"/>
          <w:lang w:eastAsia="en-GB"/>
        </w:rPr>
        <w:t xml:space="preserve"> te </w:t>
      </w:r>
      <w:r w:rsidR="004A692B" w:rsidRPr="00840E2E">
        <w:rPr>
          <w:rFonts w:ascii="Arial" w:hAnsi="Arial" w:cs="Arial"/>
          <w:color w:val="000000"/>
          <w:sz w:val="22"/>
          <w:szCs w:val="22"/>
          <w:lang w:eastAsia="en-GB"/>
        </w:rPr>
        <w:t>smanjenje emisija onečišćujućih tvari</w:t>
      </w:r>
    </w:p>
    <w:p w14:paraId="601BB373"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w:t>
      </w:r>
    </w:p>
    <w:p w14:paraId="21C02E27"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 jer se informira i o ekonomičnosti potrošnje goriva</w:t>
      </w:r>
    </w:p>
    <w:p w14:paraId="64B74CCE"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670A7557" w14:textId="0CF94662" w:rsidR="0012721C"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w:t>
      </w:r>
    </w:p>
    <w:p w14:paraId="520DD43A" w14:textId="77938F7F" w:rsidR="00E223DA" w:rsidRDefault="00E223DA" w:rsidP="0012721C">
      <w:pPr>
        <w:pStyle w:val="NormalWeb"/>
        <w:spacing w:before="0" w:beforeAutospacing="0" w:after="0" w:afterAutospacing="0"/>
        <w:jc w:val="both"/>
        <w:rPr>
          <w:rFonts w:ascii="Arial" w:hAnsi="Arial" w:cs="Arial"/>
          <w:color w:val="000000"/>
          <w:sz w:val="22"/>
          <w:szCs w:val="22"/>
          <w:lang w:eastAsia="en-GB"/>
        </w:rPr>
      </w:pPr>
    </w:p>
    <w:p w14:paraId="7017A362" w14:textId="3E7577F4" w:rsidR="0012721C"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w:t>
      </w:r>
      <w:r>
        <w:rPr>
          <w:rFonts w:ascii="Arial" w:hAnsi="Arial" w:cs="Arial"/>
          <w:b/>
          <w:bCs/>
          <w:color w:val="000000"/>
          <w:sz w:val="22"/>
          <w:szCs w:val="22"/>
        </w:rPr>
        <w:t>2</w:t>
      </w:r>
      <w:r w:rsidRPr="005B687C">
        <w:rPr>
          <w:rFonts w:ascii="Arial" w:hAnsi="Arial" w:cs="Arial"/>
          <w:b/>
          <w:bCs/>
          <w:color w:val="000000"/>
          <w:sz w:val="22"/>
          <w:szCs w:val="22"/>
        </w:rPr>
        <w:t>:</w:t>
      </w:r>
      <w:r w:rsidR="00E223DA">
        <w:rPr>
          <w:rFonts w:ascii="Arial" w:hAnsi="Arial" w:cs="Arial"/>
          <w:b/>
          <w:bCs/>
          <w:color w:val="000000"/>
          <w:sz w:val="22"/>
          <w:szCs w:val="22"/>
        </w:rPr>
        <w:t xml:space="preserve"> </w:t>
      </w:r>
      <w:r w:rsidRPr="005B687C">
        <w:rPr>
          <w:rFonts w:ascii="Arial" w:hAnsi="Arial" w:cs="Arial"/>
          <w:b/>
          <w:bCs/>
          <w:color w:val="000000"/>
          <w:sz w:val="22"/>
          <w:szCs w:val="22"/>
        </w:rPr>
        <w:t>Posebna naknada za okoliš za vozila na motorni pogon</w:t>
      </w:r>
    </w:p>
    <w:p w14:paraId="55E3D7D1" w14:textId="0F694D9C" w:rsidR="0012721C" w:rsidRPr="00ED5A38"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Regulatorna</w:t>
      </w:r>
      <w:r>
        <w:rPr>
          <w:rFonts w:ascii="Arial" w:hAnsi="Arial" w:cs="Arial"/>
          <w:b/>
          <w:bCs/>
          <w:color w:val="000000"/>
          <w:sz w:val="22"/>
          <w:szCs w:val="22"/>
        </w:rPr>
        <w:t>,</w:t>
      </w:r>
      <w:r w:rsidRPr="005B687C">
        <w:rPr>
          <w:rFonts w:ascii="Arial" w:hAnsi="Arial" w:cs="Arial"/>
          <w:b/>
          <w:bCs/>
          <w:color w:val="000000"/>
          <w:sz w:val="22"/>
          <w:szCs w:val="22"/>
        </w:rPr>
        <w:t xml:space="preserve"> </w:t>
      </w:r>
      <w:r>
        <w:rPr>
          <w:rFonts w:ascii="Arial" w:hAnsi="Arial" w:cs="Arial"/>
          <w:b/>
          <w:bCs/>
          <w:color w:val="000000"/>
          <w:sz w:val="22"/>
          <w:szCs w:val="22"/>
        </w:rPr>
        <w:t xml:space="preserve">parafiskalna </w:t>
      </w:r>
      <w:r w:rsidRPr="005B687C">
        <w:rPr>
          <w:rFonts w:ascii="Arial" w:hAnsi="Arial" w:cs="Arial"/>
          <w:b/>
          <w:bCs/>
          <w:color w:val="000000"/>
          <w:sz w:val="22"/>
          <w:szCs w:val="22"/>
        </w:rPr>
        <w:t>mjera; provedba 201</w:t>
      </w:r>
      <w:r>
        <w:rPr>
          <w:rFonts w:ascii="Arial" w:hAnsi="Arial" w:cs="Arial"/>
          <w:b/>
          <w:bCs/>
          <w:color w:val="000000"/>
          <w:sz w:val="22"/>
          <w:szCs w:val="22"/>
        </w:rPr>
        <w:t>4</w:t>
      </w:r>
      <w:r w:rsidRPr="005B687C">
        <w:rPr>
          <w:rFonts w:ascii="Arial" w:hAnsi="Arial" w:cs="Arial"/>
          <w:b/>
          <w:bCs/>
          <w:color w:val="000000"/>
          <w:sz w:val="22"/>
          <w:szCs w:val="22"/>
        </w:rPr>
        <w:t xml:space="preserve">. – 2030. </w:t>
      </w:r>
    </w:p>
    <w:p w14:paraId="19DD005B" w14:textId="0E61C0F8"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Cilj i opis mjere:</w:t>
      </w:r>
      <w:r w:rsidRPr="00BE6952">
        <w:rPr>
          <w:rFonts w:ascii="Arial" w:hAnsi="Arial" w:cs="Arial"/>
          <w:color w:val="000000"/>
          <w:sz w:val="22"/>
          <w:szCs w:val="22"/>
          <w:lang w:eastAsia="en-GB"/>
        </w:rPr>
        <w:t xml:space="preserve"> </w:t>
      </w:r>
      <w:r w:rsidRPr="005B687C">
        <w:rPr>
          <w:rFonts w:ascii="Arial" w:hAnsi="Arial" w:cs="Arial"/>
          <w:color w:val="000000"/>
          <w:sz w:val="22"/>
          <w:szCs w:val="22"/>
          <w:lang w:eastAsia="en-GB"/>
        </w:rPr>
        <w:t>Postojeći sustav plaćanja posebne naknade za okoliš na motornim vozilima uređen je Zakonom o Fondu za zaštitu okoliša i energetsku učinkovitost (</w:t>
      </w:r>
      <w:r w:rsidR="00880054">
        <w:rPr>
          <w:rFonts w:ascii="Arial" w:hAnsi="Arial" w:cs="Arial"/>
          <w:color w:val="000000"/>
          <w:sz w:val="22"/>
          <w:szCs w:val="22"/>
          <w:lang w:eastAsia="en-GB"/>
        </w:rPr>
        <w:t>NN</w:t>
      </w:r>
      <w:r w:rsidRPr="005B687C">
        <w:rPr>
          <w:rFonts w:ascii="Arial" w:hAnsi="Arial" w:cs="Arial"/>
          <w:color w:val="000000"/>
          <w:sz w:val="22"/>
          <w:szCs w:val="22"/>
          <w:lang w:eastAsia="en-GB"/>
        </w:rPr>
        <w:t xml:space="preserve"> 107/03, 144/12), Uredbom o jediničnim naknadama, korektivnim koeficijentima i pobližim kriterijima i mjerilima za utvrđivanje posebne naknade za okoliš na vozila na motorni pogon (</w:t>
      </w:r>
      <w:r w:rsidR="00880054">
        <w:rPr>
          <w:rFonts w:ascii="Arial" w:hAnsi="Arial" w:cs="Arial"/>
          <w:color w:val="000000"/>
          <w:sz w:val="22"/>
          <w:szCs w:val="22"/>
          <w:lang w:eastAsia="en-GB"/>
        </w:rPr>
        <w:t>NN</w:t>
      </w:r>
      <w:r w:rsidRPr="005B687C">
        <w:rPr>
          <w:rFonts w:ascii="Arial" w:hAnsi="Arial" w:cs="Arial"/>
          <w:color w:val="000000"/>
          <w:sz w:val="22"/>
          <w:szCs w:val="22"/>
          <w:lang w:eastAsia="en-GB"/>
        </w:rPr>
        <w:t xml:space="preserve"> 114/14, 147/14). Posebna naknada naplaćuje se uzimajući u obzir vrstu motora i goriva, radni volumen motora, vrstu vozila, emisiju CO</w:t>
      </w:r>
      <w:r w:rsidRPr="005B687C">
        <w:rPr>
          <w:rFonts w:ascii="Arial" w:hAnsi="Arial" w:cs="Arial"/>
          <w:color w:val="000000"/>
          <w:sz w:val="22"/>
          <w:szCs w:val="22"/>
          <w:vertAlign w:val="subscript"/>
          <w:lang w:eastAsia="en-GB"/>
        </w:rPr>
        <w:t>2</w:t>
      </w:r>
      <w:r w:rsidRPr="005B687C">
        <w:rPr>
          <w:rFonts w:ascii="Arial" w:hAnsi="Arial" w:cs="Arial"/>
          <w:color w:val="000000"/>
          <w:sz w:val="22"/>
          <w:szCs w:val="22"/>
          <w:lang w:eastAsia="en-GB"/>
        </w:rPr>
        <w:t xml:space="preserve"> i starost vozila.</w:t>
      </w:r>
    </w:p>
    <w:p w14:paraId="4E636EF6"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p>
    <w:p w14:paraId="57A4AD48"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sljedeće aktivnosti: </w:t>
      </w:r>
    </w:p>
    <w:p w14:paraId="63987BCB" w14:textId="7CF6B2A3" w:rsidR="0012721C" w:rsidRDefault="0012721C" w:rsidP="00840E2E">
      <w:pPr>
        <w:pStyle w:val="NormalWeb"/>
        <w:numPr>
          <w:ilvl w:val="0"/>
          <w:numId w:val="90"/>
        </w:numPr>
        <w:spacing w:before="0" w:beforeAutospacing="0" w:after="0" w:afterAutospacing="0"/>
        <w:jc w:val="both"/>
        <w:rPr>
          <w:rFonts w:ascii="Arial" w:hAnsi="Arial" w:cs="Arial"/>
          <w:b/>
          <w:bCs/>
          <w:color w:val="000000"/>
          <w:sz w:val="22"/>
          <w:szCs w:val="22"/>
          <w:lang w:eastAsia="en-GB"/>
        </w:rPr>
      </w:pPr>
      <w:r>
        <w:rPr>
          <w:rFonts w:ascii="Arial" w:hAnsi="Arial" w:cs="Arial"/>
          <w:color w:val="000000"/>
          <w:sz w:val="22"/>
          <w:szCs w:val="22"/>
          <w:lang w:eastAsia="en-GB"/>
        </w:rPr>
        <w:t>Izrada det</w:t>
      </w:r>
      <w:r w:rsidRPr="005B687C">
        <w:rPr>
          <w:rFonts w:ascii="Arial" w:hAnsi="Arial" w:cs="Arial"/>
          <w:color w:val="000000"/>
          <w:sz w:val="22"/>
          <w:szCs w:val="22"/>
          <w:lang w:eastAsia="en-GB"/>
        </w:rPr>
        <w:t>aljne analize kako bi se u</w:t>
      </w:r>
      <w:r w:rsidR="00DB153D">
        <w:rPr>
          <w:rFonts w:ascii="Arial" w:hAnsi="Arial" w:cs="Arial"/>
          <w:color w:val="000000"/>
          <w:sz w:val="22"/>
          <w:szCs w:val="22"/>
          <w:lang w:eastAsia="en-GB"/>
        </w:rPr>
        <w:t>s</w:t>
      </w:r>
      <w:r w:rsidRPr="005B687C">
        <w:rPr>
          <w:rFonts w:ascii="Arial" w:hAnsi="Arial" w:cs="Arial"/>
          <w:color w:val="000000"/>
          <w:sz w:val="22"/>
          <w:szCs w:val="22"/>
          <w:lang w:eastAsia="en-GB"/>
        </w:rPr>
        <w:t>tvrdila potreba za izmjenama i unaprjeđenjem postojećeg sustava plaćanja. Pri tome će se razmotriti mogućnost dodatnog oporezivanja vozila određenih ekoloških kategorija.</w:t>
      </w:r>
    </w:p>
    <w:p w14:paraId="6BD21660"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75B155D6" w14:textId="77777777"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sidRPr="005B687C">
        <w:rPr>
          <w:rFonts w:ascii="Arial" w:hAnsi="Arial" w:cs="Arial"/>
          <w:color w:val="000000"/>
          <w:sz w:val="22"/>
          <w:szCs w:val="22"/>
          <w:lang w:eastAsia="en-GB"/>
        </w:rPr>
        <w:t xml:space="preserve">Financijska sredstva za provedbu ovih aktivnosti planira </w:t>
      </w:r>
      <w:r>
        <w:rPr>
          <w:rFonts w:ascii="Arial" w:hAnsi="Arial" w:cs="Arial"/>
          <w:color w:val="000000"/>
          <w:sz w:val="22"/>
          <w:szCs w:val="22"/>
          <w:lang w:eastAsia="en-GB"/>
        </w:rPr>
        <w:t>MZOE</w:t>
      </w:r>
      <w:r w:rsidRPr="005B687C">
        <w:rPr>
          <w:rFonts w:ascii="Arial" w:hAnsi="Arial" w:cs="Arial"/>
          <w:color w:val="000000"/>
          <w:sz w:val="22"/>
          <w:szCs w:val="22"/>
          <w:lang w:eastAsia="en-GB"/>
        </w:rPr>
        <w:t xml:space="preserve"> u okviru svojih godišnjih proračuna, kao sastavni dio svojih redovnih aktivnosti.</w:t>
      </w:r>
    </w:p>
    <w:p w14:paraId="2F36E16A"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Državni proračun (MZOE)</w:t>
      </w:r>
    </w:p>
    <w:p w14:paraId="67725DEC" w14:textId="5734B5C5"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MZOE, FZOEU</w:t>
      </w:r>
    </w:p>
    <w:p w14:paraId="298A0C57"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p>
    <w:p w14:paraId="300824C5" w14:textId="1D6526E5"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Učinak: </w:t>
      </w:r>
      <w:r w:rsidR="007E04BF" w:rsidRPr="005B687C">
        <w:rPr>
          <w:rFonts w:ascii="Arial" w:hAnsi="Arial" w:cs="Arial"/>
          <w:color w:val="000000"/>
          <w:sz w:val="22"/>
          <w:szCs w:val="22"/>
          <w:lang w:eastAsia="en-GB"/>
        </w:rPr>
        <w:t>Ušteda energije</w:t>
      </w:r>
      <w:r w:rsidR="007E04BF">
        <w:rPr>
          <w:rFonts w:ascii="Arial" w:hAnsi="Arial" w:cs="Arial"/>
          <w:color w:val="000000"/>
          <w:sz w:val="22"/>
          <w:szCs w:val="22"/>
          <w:lang w:eastAsia="en-GB"/>
        </w:rPr>
        <w:t>,</w:t>
      </w:r>
      <w:r w:rsidR="007E04BF" w:rsidRPr="005B687C">
        <w:rPr>
          <w:rFonts w:ascii="Arial" w:hAnsi="Arial" w:cs="Arial"/>
          <w:color w:val="000000"/>
          <w:sz w:val="22"/>
          <w:szCs w:val="22"/>
          <w:lang w:eastAsia="en-GB"/>
        </w:rPr>
        <w:t xml:space="preserve"> smanjenje emisije CO</w:t>
      </w:r>
      <w:r w:rsidR="007E04BF" w:rsidRPr="005B687C">
        <w:rPr>
          <w:rFonts w:ascii="Arial" w:hAnsi="Arial" w:cs="Arial"/>
          <w:color w:val="000000"/>
          <w:sz w:val="22"/>
          <w:szCs w:val="22"/>
          <w:vertAlign w:val="subscript"/>
          <w:lang w:eastAsia="en-GB"/>
        </w:rPr>
        <w:t>2e</w:t>
      </w:r>
      <w:r w:rsidR="007E04BF" w:rsidRPr="009A1A78">
        <w:rPr>
          <w:rFonts w:ascii="Arial" w:hAnsi="Arial" w:cs="Arial"/>
          <w:color w:val="000000"/>
          <w:sz w:val="22"/>
          <w:szCs w:val="22"/>
          <w:lang w:eastAsia="en-GB"/>
        </w:rPr>
        <w:t xml:space="preserve"> te smanjenje emisija onečišćujućih tvari</w:t>
      </w:r>
      <w:r w:rsidR="007E04BF" w:rsidRPr="005B687C" w:rsidDel="007E04BF">
        <w:rPr>
          <w:rFonts w:ascii="Arial" w:hAnsi="Arial" w:cs="Arial"/>
          <w:color w:val="000000"/>
          <w:sz w:val="22"/>
          <w:szCs w:val="22"/>
          <w:lang w:eastAsia="en-GB"/>
        </w:rPr>
        <w:t xml:space="preserve"> </w:t>
      </w:r>
    </w:p>
    <w:p w14:paraId="43777820"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w:t>
      </w:r>
    </w:p>
    <w:p w14:paraId="5948464E" w14:textId="09EE65FF"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sidRPr="001B7AC7">
        <w:rPr>
          <w:rFonts w:ascii="Arial" w:hAnsi="Arial" w:cs="Arial"/>
          <w:color w:val="000000"/>
          <w:sz w:val="22"/>
          <w:szCs w:val="22"/>
          <w:lang w:eastAsia="en-GB"/>
        </w:rPr>
        <w:t xml:space="preserve">izravna povezanost s dimenzijom energetske učinkovitosti, jer se </w:t>
      </w:r>
      <w:r>
        <w:rPr>
          <w:rFonts w:ascii="Arial" w:hAnsi="Arial" w:cs="Arial"/>
          <w:color w:val="000000"/>
          <w:sz w:val="22"/>
          <w:szCs w:val="22"/>
          <w:lang w:eastAsia="en-GB"/>
        </w:rPr>
        <w:t>naknadama</w:t>
      </w:r>
      <w:r w:rsidRPr="001B7AC7">
        <w:rPr>
          <w:rFonts w:ascii="Arial" w:hAnsi="Arial" w:cs="Arial"/>
          <w:color w:val="000000"/>
          <w:sz w:val="22"/>
          <w:szCs w:val="22"/>
          <w:lang w:eastAsia="en-GB"/>
        </w:rPr>
        <w:t xml:space="preserve"> može djelovati na tržište i u</w:t>
      </w:r>
      <w:r w:rsidR="00553E97">
        <w:rPr>
          <w:rFonts w:ascii="Arial" w:hAnsi="Arial" w:cs="Arial"/>
          <w:color w:val="000000"/>
          <w:sz w:val="22"/>
          <w:szCs w:val="22"/>
          <w:lang w:eastAsia="en-GB"/>
        </w:rPr>
        <w:t>s</w:t>
      </w:r>
      <w:r w:rsidRPr="001B7AC7">
        <w:rPr>
          <w:rFonts w:ascii="Arial" w:hAnsi="Arial" w:cs="Arial"/>
          <w:color w:val="000000"/>
          <w:sz w:val="22"/>
          <w:szCs w:val="22"/>
          <w:lang w:eastAsia="en-GB"/>
        </w:rPr>
        <w:t>mjeriti ga prema energetski učinkovitijim vozilima</w:t>
      </w:r>
    </w:p>
    <w:p w14:paraId="44BE00A4"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482B7968" w14:textId="77777777" w:rsidR="0012721C" w:rsidRPr="00BE6952" w:rsidRDefault="0012721C" w:rsidP="0012721C">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w:t>
      </w:r>
    </w:p>
    <w:p w14:paraId="358CA365" w14:textId="77777777" w:rsidR="0012721C" w:rsidRDefault="0012721C" w:rsidP="00286B4C">
      <w:pPr>
        <w:pStyle w:val="NormalWeb"/>
        <w:spacing w:after="120" w:line="288" w:lineRule="auto"/>
        <w:jc w:val="both"/>
        <w:rPr>
          <w:rFonts w:ascii="Arial" w:hAnsi="Arial" w:cs="Arial"/>
          <w:b/>
          <w:bCs/>
          <w:color w:val="000000"/>
          <w:sz w:val="22"/>
          <w:szCs w:val="22"/>
        </w:rPr>
      </w:pPr>
    </w:p>
    <w:p w14:paraId="6F651721" w14:textId="05ED90F3" w:rsidR="0012721C"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w:t>
      </w:r>
      <w:r>
        <w:rPr>
          <w:rFonts w:ascii="Arial" w:hAnsi="Arial" w:cs="Arial"/>
          <w:b/>
          <w:bCs/>
          <w:color w:val="000000"/>
          <w:sz w:val="22"/>
          <w:szCs w:val="22"/>
        </w:rPr>
        <w:t>3</w:t>
      </w:r>
      <w:r w:rsidRPr="005B687C">
        <w:rPr>
          <w:rFonts w:ascii="Arial" w:hAnsi="Arial" w:cs="Arial"/>
          <w:b/>
          <w:bCs/>
          <w:color w:val="000000"/>
          <w:sz w:val="22"/>
          <w:szCs w:val="22"/>
        </w:rPr>
        <w:t xml:space="preserve">: </w:t>
      </w:r>
      <w:r w:rsidRPr="001B7AC7">
        <w:rPr>
          <w:rFonts w:ascii="Arial" w:hAnsi="Arial" w:cs="Arial"/>
          <w:b/>
          <w:bCs/>
          <w:color w:val="000000"/>
          <w:sz w:val="22"/>
          <w:szCs w:val="22"/>
        </w:rPr>
        <w:t>Posebni porez za motorna vozila</w:t>
      </w:r>
    </w:p>
    <w:p w14:paraId="14354B18" w14:textId="77777777" w:rsidR="0012721C" w:rsidRPr="00ED5A38"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Regulatorna</w:t>
      </w:r>
      <w:r>
        <w:rPr>
          <w:rFonts w:ascii="Arial" w:hAnsi="Arial" w:cs="Arial"/>
          <w:b/>
          <w:bCs/>
          <w:color w:val="000000"/>
          <w:sz w:val="22"/>
          <w:szCs w:val="22"/>
        </w:rPr>
        <w:t>,</w:t>
      </w:r>
      <w:r w:rsidRPr="005B687C">
        <w:rPr>
          <w:rFonts w:ascii="Arial" w:hAnsi="Arial" w:cs="Arial"/>
          <w:b/>
          <w:bCs/>
          <w:color w:val="000000"/>
          <w:sz w:val="22"/>
          <w:szCs w:val="22"/>
        </w:rPr>
        <w:t xml:space="preserve"> </w:t>
      </w:r>
      <w:r>
        <w:rPr>
          <w:rFonts w:ascii="Arial" w:hAnsi="Arial" w:cs="Arial"/>
          <w:b/>
          <w:bCs/>
          <w:color w:val="000000"/>
          <w:sz w:val="22"/>
          <w:szCs w:val="22"/>
        </w:rPr>
        <w:t xml:space="preserve">fiskalna </w:t>
      </w:r>
      <w:r w:rsidRPr="005B687C">
        <w:rPr>
          <w:rFonts w:ascii="Arial" w:hAnsi="Arial" w:cs="Arial"/>
          <w:b/>
          <w:bCs/>
          <w:color w:val="000000"/>
          <w:sz w:val="22"/>
          <w:szCs w:val="22"/>
        </w:rPr>
        <w:t>mjera; provedba 201</w:t>
      </w:r>
      <w:r>
        <w:rPr>
          <w:rFonts w:ascii="Arial" w:hAnsi="Arial" w:cs="Arial"/>
          <w:b/>
          <w:bCs/>
          <w:color w:val="000000"/>
          <w:sz w:val="22"/>
          <w:szCs w:val="22"/>
        </w:rPr>
        <w:t>4</w:t>
      </w:r>
      <w:r w:rsidRPr="005B687C">
        <w:rPr>
          <w:rFonts w:ascii="Arial" w:hAnsi="Arial" w:cs="Arial"/>
          <w:b/>
          <w:bCs/>
          <w:color w:val="000000"/>
          <w:sz w:val="22"/>
          <w:szCs w:val="22"/>
        </w:rPr>
        <w:t xml:space="preserve">. – 2030. </w:t>
      </w:r>
    </w:p>
    <w:p w14:paraId="0A89A048" w14:textId="1DA8568C" w:rsidR="0012721C" w:rsidRPr="00BE6952" w:rsidRDefault="0012721C" w:rsidP="00286B4C">
      <w:pPr>
        <w:pStyle w:val="NormalWeb"/>
        <w:spacing w:after="120" w:line="288" w:lineRule="auto"/>
        <w:jc w:val="both"/>
        <w:rPr>
          <w:rFonts w:ascii="Arial" w:hAnsi="Arial" w:cs="Arial"/>
          <w:color w:val="000000"/>
          <w:sz w:val="22"/>
          <w:szCs w:val="22"/>
          <w:lang w:eastAsia="en-GB"/>
        </w:rPr>
      </w:pPr>
      <w:r w:rsidRPr="00BE6952">
        <w:rPr>
          <w:rFonts w:ascii="Arial" w:hAnsi="Arial" w:cs="Arial"/>
          <w:b/>
          <w:bCs/>
          <w:color w:val="000000"/>
          <w:sz w:val="22"/>
          <w:szCs w:val="22"/>
          <w:lang w:eastAsia="en-GB"/>
        </w:rPr>
        <w:t>Cilj i opis mjere:</w:t>
      </w:r>
      <w:r w:rsidRPr="00BE6952">
        <w:rPr>
          <w:rFonts w:ascii="Arial" w:hAnsi="Arial" w:cs="Arial"/>
          <w:color w:val="000000"/>
          <w:sz w:val="22"/>
          <w:szCs w:val="22"/>
          <w:lang w:eastAsia="en-GB"/>
        </w:rPr>
        <w:t xml:space="preserve"> </w:t>
      </w:r>
      <w:r w:rsidRPr="001B7AC7">
        <w:rPr>
          <w:rFonts w:ascii="Arial" w:hAnsi="Arial" w:cs="Arial"/>
          <w:color w:val="000000"/>
          <w:sz w:val="22"/>
          <w:szCs w:val="22"/>
          <w:lang w:eastAsia="en-GB"/>
        </w:rPr>
        <w:t>Bazirajući se na načelu „onečišćivač plaća“, model obračuna temelji se na emisiji CO</w:t>
      </w:r>
      <w:r w:rsidRPr="001B7AC7">
        <w:rPr>
          <w:rFonts w:ascii="Arial" w:hAnsi="Arial" w:cs="Arial"/>
          <w:color w:val="000000"/>
          <w:sz w:val="22"/>
          <w:szCs w:val="22"/>
          <w:vertAlign w:val="subscript"/>
          <w:lang w:eastAsia="en-GB"/>
        </w:rPr>
        <w:t>2</w:t>
      </w:r>
      <w:r w:rsidRPr="001B7AC7">
        <w:rPr>
          <w:rFonts w:ascii="Arial" w:hAnsi="Arial" w:cs="Arial"/>
          <w:color w:val="000000"/>
          <w:sz w:val="22"/>
          <w:szCs w:val="22"/>
          <w:lang w:eastAsia="en-GB"/>
        </w:rPr>
        <w:t xml:space="preserve"> u zrak iz motornih vozila. Posebni porez utvrđuje se na temelju prodajne, odnosno tržišne cijene motornog vozila, emisije CO</w:t>
      </w:r>
      <w:r w:rsidRPr="001B7AC7">
        <w:rPr>
          <w:rFonts w:ascii="Arial" w:hAnsi="Arial" w:cs="Arial"/>
          <w:color w:val="000000"/>
          <w:sz w:val="22"/>
          <w:szCs w:val="22"/>
          <w:vertAlign w:val="subscript"/>
          <w:lang w:eastAsia="en-GB"/>
        </w:rPr>
        <w:t>2</w:t>
      </w:r>
      <w:r w:rsidRPr="001B7AC7">
        <w:rPr>
          <w:rFonts w:ascii="Arial" w:hAnsi="Arial" w:cs="Arial"/>
          <w:color w:val="000000"/>
          <w:sz w:val="22"/>
          <w:szCs w:val="22"/>
          <w:lang w:eastAsia="en-GB"/>
        </w:rPr>
        <w:t xml:space="preserve"> izražene u gramima po kilometru, obujmu motora u kubičnim centimetrima i razini emisije stakleničkih plinova. Ovim posebnim porezom potiče se kupovina učinkovitih vozila i vozila s manjim emisijama stakleničkih plinova. Donošenjem Zakona o posebnom porezu na motorna vozila (</w:t>
      </w:r>
      <w:r w:rsidR="00880054">
        <w:rPr>
          <w:rFonts w:ascii="Arial" w:hAnsi="Arial" w:cs="Arial"/>
          <w:color w:val="000000"/>
          <w:sz w:val="22"/>
          <w:szCs w:val="22"/>
          <w:lang w:eastAsia="en-GB"/>
        </w:rPr>
        <w:t>NN</w:t>
      </w:r>
      <w:r w:rsidRPr="001B7AC7">
        <w:rPr>
          <w:rFonts w:ascii="Arial" w:hAnsi="Arial" w:cs="Arial"/>
          <w:color w:val="000000"/>
          <w:sz w:val="22"/>
          <w:szCs w:val="22"/>
          <w:lang w:eastAsia="en-GB"/>
        </w:rPr>
        <w:t xml:space="preserve"> 15/13, 108/13, 115/16, 127/17) osigurana je primjena i provođenje mjere.</w:t>
      </w:r>
    </w:p>
    <w:p w14:paraId="5CD6A9C5"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p>
    <w:p w14:paraId="323BCC93"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sljedeće aktivnosti: </w:t>
      </w:r>
    </w:p>
    <w:p w14:paraId="727EDF7F" w14:textId="795DC8C6" w:rsidR="001349B8" w:rsidRDefault="0012721C" w:rsidP="00840E2E">
      <w:pPr>
        <w:pStyle w:val="NormalWeb"/>
        <w:numPr>
          <w:ilvl w:val="0"/>
          <w:numId w:val="90"/>
        </w:numPr>
        <w:spacing w:before="0" w:beforeAutospacing="0" w:after="0" w:afterAutospacing="0"/>
        <w:jc w:val="both"/>
        <w:rPr>
          <w:rFonts w:ascii="Arial" w:hAnsi="Arial" w:cs="Arial"/>
          <w:b/>
          <w:bCs/>
          <w:color w:val="000000"/>
          <w:sz w:val="22"/>
          <w:szCs w:val="22"/>
          <w:lang w:eastAsia="en-GB"/>
        </w:rPr>
      </w:pPr>
      <w:r w:rsidRPr="001349B8">
        <w:rPr>
          <w:rFonts w:cs="Arial"/>
          <w:color w:val="000000"/>
          <w:lang w:eastAsia="en-GB"/>
        </w:rPr>
        <w:t>I</w:t>
      </w:r>
      <w:r w:rsidR="001349B8" w:rsidRPr="001349B8">
        <w:rPr>
          <w:rFonts w:ascii="Arial" w:hAnsi="Arial" w:cs="Arial"/>
          <w:color w:val="000000"/>
          <w:sz w:val="22"/>
          <w:szCs w:val="22"/>
          <w:lang w:eastAsia="en-GB"/>
        </w:rPr>
        <w:t>zrada</w:t>
      </w:r>
      <w:r>
        <w:rPr>
          <w:rFonts w:ascii="Arial" w:hAnsi="Arial" w:cs="Arial"/>
          <w:color w:val="000000"/>
          <w:sz w:val="22"/>
          <w:szCs w:val="22"/>
          <w:lang w:eastAsia="en-GB"/>
        </w:rPr>
        <w:t xml:space="preserve"> det</w:t>
      </w:r>
      <w:r w:rsidRPr="005B687C">
        <w:rPr>
          <w:rFonts w:ascii="Arial" w:hAnsi="Arial" w:cs="Arial"/>
          <w:color w:val="000000"/>
          <w:sz w:val="22"/>
          <w:szCs w:val="22"/>
          <w:lang w:eastAsia="en-GB"/>
        </w:rPr>
        <w:t>aljne analize kako bi se u</w:t>
      </w:r>
      <w:r w:rsidR="00531A03">
        <w:rPr>
          <w:rFonts w:ascii="Arial" w:hAnsi="Arial" w:cs="Arial"/>
          <w:color w:val="000000"/>
          <w:sz w:val="22"/>
          <w:szCs w:val="22"/>
          <w:lang w:eastAsia="en-GB"/>
        </w:rPr>
        <w:t>s</w:t>
      </w:r>
      <w:r w:rsidRPr="005B687C">
        <w:rPr>
          <w:rFonts w:ascii="Arial" w:hAnsi="Arial" w:cs="Arial"/>
          <w:color w:val="000000"/>
          <w:sz w:val="22"/>
          <w:szCs w:val="22"/>
          <w:lang w:eastAsia="en-GB"/>
        </w:rPr>
        <w:t xml:space="preserve">tvrdila potreba za izmjenama i unaprjeđenjem postojećeg sustava plaćanja. </w:t>
      </w:r>
      <w:r w:rsidR="001349B8" w:rsidRPr="001349B8">
        <w:rPr>
          <w:rFonts w:ascii="Arial" w:hAnsi="Arial" w:cs="Arial"/>
          <w:color w:val="000000"/>
          <w:sz w:val="22"/>
          <w:szCs w:val="22"/>
          <w:lang w:eastAsia="en-GB"/>
        </w:rPr>
        <w:t>Pri tome će se razmotriti mogućnost dodatnog oporezivanja vozila određenih ekoloških kategorija, mogućnost ukidanja deprecijacije obračunatog posebnog poreza na rabljena vozila, te mogućnosti redefiniranja naknada s obzirom na deklarirani mjerni ciklus potrošnje goriva i emisije ispušnih plinova (WLTP ili NEDC) specifičnog vozila.</w:t>
      </w:r>
    </w:p>
    <w:p w14:paraId="6C55A09C" w14:textId="77777777" w:rsidR="0012721C" w:rsidRDefault="0012721C" w:rsidP="00840E2E">
      <w:pPr>
        <w:pStyle w:val="NormalWeb"/>
        <w:spacing w:before="0" w:beforeAutospacing="0" w:after="0" w:afterAutospacing="0"/>
        <w:ind w:left="720"/>
        <w:jc w:val="both"/>
        <w:rPr>
          <w:rFonts w:ascii="Arial" w:hAnsi="Arial" w:cs="Arial"/>
          <w:b/>
          <w:bCs/>
          <w:color w:val="000000"/>
          <w:sz w:val="22"/>
          <w:szCs w:val="22"/>
          <w:lang w:eastAsia="en-GB"/>
        </w:rPr>
      </w:pPr>
    </w:p>
    <w:p w14:paraId="2BFF77BC" w14:textId="77777777"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sidRPr="005B687C">
        <w:rPr>
          <w:rFonts w:ascii="Arial" w:hAnsi="Arial" w:cs="Arial"/>
          <w:color w:val="000000"/>
          <w:sz w:val="22"/>
          <w:szCs w:val="22"/>
          <w:lang w:eastAsia="en-GB"/>
        </w:rPr>
        <w:t xml:space="preserve">Financijska sredstva za provedbu ovih aktivnosti planira </w:t>
      </w:r>
      <w:r>
        <w:rPr>
          <w:rFonts w:ascii="Arial" w:hAnsi="Arial" w:cs="Arial"/>
          <w:color w:val="000000"/>
          <w:sz w:val="22"/>
          <w:szCs w:val="22"/>
          <w:lang w:eastAsia="en-GB"/>
        </w:rPr>
        <w:t>MZOE</w:t>
      </w:r>
      <w:r w:rsidRPr="005B687C">
        <w:rPr>
          <w:rFonts w:ascii="Arial" w:hAnsi="Arial" w:cs="Arial"/>
          <w:color w:val="000000"/>
          <w:sz w:val="22"/>
          <w:szCs w:val="22"/>
          <w:lang w:eastAsia="en-GB"/>
        </w:rPr>
        <w:t xml:space="preserve"> u okviru svojih godišnjih proračuna, kao sastavni dio svojih redovnih aktivnosti.</w:t>
      </w:r>
    </w:p>
    <w:p w14:paraId="02A132E7"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Državni proračun (MZOE)</w:t>
      </w:r>
    </w:p>
    <w:p w14:paraId="7D2A85F5" w14:textId="5E0CFE04"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MZOE, MFIN</w:t>
      </w:r>
    </w:p>
    <w:p w14:paraId="6361F121"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p>
    <w:p w14:paraId="3F6C69C3" w14:textId="0FF9BBCB"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Učinak: </w:t>
      </w:r>
      <w:r w:rsidR="007E04BF" w:rsidRPr="005B687C">
        <w:rPr>
          <w:rFonts w:ascii="Arial" w:hAnsi="Arial" w:cs="Arial"/>
          <w:color w:val="000000"/>
          <w:sz w:val="22"/>
          <w:szCs w:val="22"/>
          <w:lang w:eastAsia="en-GB"/>
        </w:rPr>
        <w:t>Ušteda energije</w:t>
      </w:r>
      <w:r w:rsidR="007E04BF">
        <w:rPr>
          <w:rFonts w:ascii="Arial" w:hAnsi="Arial" w:cs="Arial"/>
          <w:color w:val="000000"/>
          <w:sz w:val="22"/>
          <w:szCs w:val="22"/>
          <w:lang w:eastAsia="en-GB"/>
        </w:rPr>
        <w:t>,</w:t>
      </w:r>
      <w:r w:rsidR="007E04BF" w:rsidRPr="005B687C">
        <w:rPr>
          <w:rFonts w:ascii="Arial" w:hAnsi="Arial" w:cs="Arial"/>
          <w:color w:val="000000"/>
          <w:sz w:val="22"/>
          <w:szCs w:val="22"/>
          <w:lang w:eastAsia="en-GB"/>
        </w:rPr>
        <w:t xml:space="preserve"> smanjenje emisije CO</w:t>
      </w:r>
      <w:r w:rsidR="007E04BF" w:rsidRPr="005B687C">
        <w:rPr>
          <w:rFonts w:ascii="Arial" w:hAnsi="Arial" w:cs="Arial"/>
          <w:color w:val="000000"/>
          <w:sz w:val="22"/>
          <w:szCs w:val="22"/>
          <w:vertAlign w:val="subscript"/>
          <w:lang w:eastAsia="en-GB"/>
        </w:rPr>
        <w:t>2e</w:t>
      </w:r>
      <w:r w:rsidR="007E04BF" w:rsidRPr="009A1A78">
        <w:rPr>
          <w:rFonts w:ascii="Arial" w:hAnsi="Arial" w:cs="Arial"/>
          <w:color w:val="000000"/>
          <w:sz w:val="22"/>
          <w:szCs w:val="22"/>
          <w:lang w:eastAsia="en-GB"/>
        </w:rPr>
        <w:t xml:space="preserve"> te smanjenje emisija onečišćujućih tvari</w:t>
      </w:r>
      <w:r w:rsidR="007E04BF" w:rsidRPr="005B687C" w:rsidDel="007E04BF">
        <w:rPr>
          <w:rFonts w:ascii="Arial" w:hAnsi="Arial" w:cs="Arial"/>
          <w:color w:val="000000"/>
          <w:sz w:val="22"/>
          <w:szCs w:val="22"/>
          <w:lang w:eastAsia="en-GB"/>
        </w:rPr>
        <w:t xml:space="preserve"> </w:t>
      </w:r>
    </w:p>
    <w:p w14:paraId="3D223176"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w:t>
      </w:r>
    </w:p>
    <w:p w14:paraId="63D04A9D" w14:textId="3292315F"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 jer se poreznom politikom može djelovati na tržište i u</w:t>
      </w:r>
      <w:r w:rsidR="004736F4">
        <w:rPr>
          <w:rFonts w:ascii="Arial" w:hAnsi="Arial" w:cs="Arial"/>
          <w:color w:val="000000"/>
          <w:sz w:val="22"/>
          <w:szCs w:val="22"/>
          <w:lang w:eastAsia="en-GB"/>
        </w:rPr>
        <w:t>s</w:t>
      </w:r>
      <w:r>
        <w:rPr>
          <w:rFonts w:ascii="Arial" w:hAnsi="Arial" w:cs="Arial"/>
          <w:color w:val="000000"/>
          <w:sz w:val="22"/>
          <w:szCs w:val="22"/>
          <w:lang w:eastAsia="en-GB"/>
        </w:rPr>
        <w:t>mjeriti ga prema energetski učinkovitijim vozilima</w:t>
      </w:r>
    </w:p>
    <w:p w14:paraId="48CB6591"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3E04412B" w14:textId="77777777" w:rsidR="0012721C" w:rsidRPr="00BE6952" w:rsidRDefault="0012721C" w:rsidP="0012721C">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w:t>
      </w:r>
    </w:p>
    <w:p w14:paraId="4BD86010" w14:textId="64F42378" w:rsidR="0012721C"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w:t>
      </w:r>
      <w:r>
        <w:rPr>
          <w:rFonts w:ascii="Arial" w:hAnsi="Arial" w:cs="Arial"/>
          <w:b/>
          <w:bCs/>
          <w:color w:val="000000"/>
          <w:sz w:val="22"/>
          <w:szCs w:val="22"/>
        </w:rPr>
        <w:t>4</w:t>
      </w:r>
      <w:r w:rsidRPr="005B687C">
        <w:rPr>
          <w:rFonts w:ascii="Arial" w:hAnsi="Arial" w:cs="Arial"/>
          <w:b/>
          <w:bCs/>
          <w:color w:val="000000"/>
          <w:sz w:val="22"/>
          <w:szCs w:val="22"/>
        </w:rPr>
        <w:t xml:space="preserve">: </w:t>
      </w:r>
      <w:r w:rsidRPr="00005F00">
        <w:rPr>
          <w:rFonts w:ascii="Arial" w:hAnsi="Arial" w:cs="Arial"/>
          <w:b/>
          <w:bCs/>
          <w:color w:val="000000"/>
          <w:sz w:val="22"/>
          <w:szCs w:val="22"/>
        </w:rPr>
        <w:t>Praćenje, izvještavanje i verifikacija emisija stakleničkih plinova u životnom vijeku goriva</w:t>
      </w:r>
      <w:r w:rsidR="00D74262">
        <w:rPr>
          <w:rFonts w:ascii="Arial" w:hAnsi="Arial" w:cs="Arial"/>
          <w:b/>
          <w:bCs/>
          <w:color w:val="000000"/>
          <w:sz w:val="22"/>
          <w:szCs w:val="22"/>
        </w:rPr>
        <w:t xml:space="preserve"> i energije</w:t>
      </w:r>
    </w:p>
    <w:p w14:paraId="46EA17A2" w14:textId="77777777" w:rsidR="0012721C" w:rsidRPr="005B687C" w:rsidRDefault="0012721C" w:rsidP="00286B4C">
      <w:pPr>
        <w:pStyle w:val="NormalWeb"/>
        <w:spacing w:after="120" w:line="288" w:lineRule="auto"/>
        <w:jc w:val="both"/>
        <w:rPr>
          <w:rFonts w:ascii="Arial" w:hAnsi="Arial" w:cs="Arial"/>
          <w:b/>
          <w:color w:val="000000"/>
          <w:sz w:val="22"/>
          <w:szCs w:val="22"/>
        </w:rPr>
      </w:pPr>
      <w:r w:rsidRPr="005B687C">
        <w:rPr>
          <w:rFonts w:ascii="Arial" w:hAnsi="Arial" w:cs="Arial"/>
          <w:b/>
          <w:bCs/>
          <w:color w:val="000000"/>
          <w:sz w:val="22"/>
          <w:szCs w:val="22"/>
        </w:rPr>
        <w:t>Regulatorna mjera;</w:t>
      </w:r>
      <w:r w:rsidRPr="005B687C">
        <w:rPr>
          <w:rFonts w:ascii="Arial" w:hAnsi="Arial" w:cs="Arial"/>
          <w:b/>
          <w:bCs/>
          <w:color w:val="000000"/>
          <w:sz w:val="22"/>
          <w:szCs w:val="22"/>
          <w:lang w:eastAsia="en-GB"/>
        </w:rPr>
        <w:t xml:space="preserve"> provedba 201</w:t>
      </w:r>
      <w:r>
        <w:rPr>
          <w:rFonts w:ascii="Arial" w:hAnsi="Arial" w:cs="Arial"/>
          <w:b/>
          <w:bCs/>
          <w:color w:val="000000"/>
          <w:sz w:val="22"/>
          <w:szCs w:val="22"/>
          <w:lang w:eastAsia="en-GB"/>
        </w:rPr>
        <w:t>7</w:t>
      </w:r>
      <w:r w:rsidRPr="005B687C">
        <w:rPr>
          <w:rFonts w:ascii="Arial" w:hAnsi="Arial" w:cs="Arial"/>
          <w:b/>
          <w:bCs/>
          <w:color w:val="000000"/>
          <w:sz w:val="22"/>
          <w:szCs w:val="22"/>
          <w:lang w:eastAsia="en-GB"/>
        </w:rPr>
        <w:t xml:space="preserve">. – 2030. </w:t>
      </w:r>
    </w:p>
    <w:p w14:paraId="26306FB2" w14:textId="7015AE7D" w:rsidR="0012721C" w:rsidRPr="00BE6952" w:rsidRDefault="0012721C" w:rsidP="0012721C">
      <w:pPr>
        <w:pStyle w:val="NormalWeb"/>
        <w:spacing w:before="0" w:after="0"/>
        <w:jc w:val="both"/>
        <w:rPr>
          <w:rFonts w:ascii="Arial" w:hAnsi="Arial" w:cs="Arial"/>
          <w:color w:val="000000"/>
          <w:sz w:val="22"/>
          <w:szCs w:val="22"/>
          <w:lang w:eastAsia="en-GB"/>
        </w:rPr>
      </w:pPr>
      <w:r w:rsidRPr="00BE6952">
        <w:rPr>
          <w:rFonts w:ascii="Arial" w:hAnsi="Arial" w:cs="Arial"/>
          <w:b/>
          <w:bCs/>
          <w:color w:val="000000"/>
          <w:sz w:val="22"/>
          <w:szCs w:val="22"/>
          <w:lang w:eastAsia="en-GB"/>
        </w:rPr>
        <w:t>Cilj i opis mjere:</w:t>
      </w:r>
      <w:r w:rsidRPr="00BE6952">
        <w:rPr>
          <w:rFonts w:ascii="Arial" w:hAnsi="Arial" w:cs="Arial"/>
          <w:color w:val="000000"/>
          <w:sz w:val="22"/>
          <w:szCs w:val="22"/>
          <w:lang w:eastAsia="en-GB"/>
        </w:rPr>
        <w:t xml:space="preserve"> </w:t>
      </w:r>
      <w:r w:rsidRPr="001B7AC7">
        <w:rPr>
          <w:rFonts w:ascii="Arial" w:hAnsi="Arial" w:cs="Arial"/>
          <w:color w:val="000000"/>
          <w:sz w:val="22"/>
          <w:szCs w:val="22"/>
          <w:lang w:eastAsia="en-GB"/>
        </w:rPr>
        <w:t>U skladu sa Zakonom o zaštiti zraka (</w:t>
      </w:r>
      <w:r w:rsidR="00880054">
        <w:rPr>
          <w:rFonts w:ascii="Arial" w:hAnsi="Arial" w:cs="Arial"/>
          <w:color w:val="000000"/>
          <w:sz w:val="22"/>
          <w:szCs w:val="22"/>
          <w:lang w:eastAsia="en-GB"/>
        </w:rPr>
        <w:t>NN</w:t>
      </w:r>
      <w:r w:rsidRPr="001B7AC7">
        <w:rPr>
          <w:rFonts w:ascii="Arial" w:hAnsi="Arial" w:cs="Arial"/>
          <w:color w:val="000000"/>
          <w:sz w:val="22"/>
          <w:szCs w:val="22"/>
          <w:lang w:eastAsia="en-GB"/>
        </w:rPr>
        <w:t xml:space="preserve"> 130/11, 47/14, 61/17</w:t>
      </w:r>
      <w:r w:rsidR="00B13415" w:rsidRPr="00B13415">
        <w:rPr>
          <w:rFonts w:ascii="Arial" w:hAnsi="Arial" w:cs="Arial"/>
          <w:color w:val="000000"/>
          <w:sz w:val="22"/>
          <w:szCs w:val="22"/>
          <w:lang w:eastAsia="en-GB"/>
        </w:rPr>
        <w:t>, 118/18</w:t>
      </w:r>
      <w:r w:rsidRPr="001B7AC7">
        <w:rPr>
          <w:rFonts w:ascii="Arial" w:hAnsi="Arial" w:cs="Arial"/>
          <w:color w:val="000000"/>
          <w:sz w:val="22"/>
          <w:szCs w:val="22"/>
          <w:lang w:eastAsia="en-GB"/>
        </w:rPr>
        <w:t xml:space="preserve">), dobavljač koji stavlja gorivo na domaće tržište će pratiti emisije stakleničkih plinova po jedinici energije za vrijeme trajanja goriva. Dobavljači trebaju sastaviti izvješće koje treba biti </w:t>
      </w:r>
      <w:r w:rsidR="000810B4">
        <w:rPr>
          <w:rFonts w:ascii="Arial" w:hAnsi="Arial" w:cs="Arial"/>
          <w:color w:val="000000"/>
          <w:sz w:val="22"/>
          <w:szCs w:val="22"/>
          <w:lang w:eastAsia="en-GB"/>
        </w:rPr>
        <w:t>verificirano</w:t>
      </w:r>
      <w:r w:rsidR="000810B4" w:rsidRPr="001B7AC7">
        <w:rPr>
          <w:rFonts w:ascii="Arial" w:hAnsi="Arial" w:cs="Arial"/>
          <w:color w:val="000000"/>
          <w:sz w:val="22"/>
          <w:szCs w:val="22"/>
          <w:lang w:eastAsia="en-GB"/>
        </w:rPr>
        <w:t xml:space="preserve"> </w:t>
      </w:r>
      <w:r w:rsidRPr="001B7AC7">
        <w:rPr>
          <w:rFonts w:ascii="Arial" w:hAnsi="Arial" w:cs="Arial"/>
          <w:color w:val="000000"/>
          <w:sz w:val="22"/>
          <w:szCs w:val="22"/>
          <w:lang w:eastAsia="en-GB"/>
        </w:rPr>
        <w:t xml:space="preserve">i dostavljeno Ministarstvu zaštite okoliša i </w:t>
      </w:r>
      <w:r w:rsidR="00735F4F">
        <w:rPr>
          <w:rFonts w:ascii="Arial" w:hAnsi="Arial" w:cs="Arial"/>
          <w:color w:val="000000"/>
          <w:sz w:val="22"/>
          <w:szCs w:val="22"/>
          <w:lang w:eastAsia="en-GB"/>
        </w:rPr>
        <w:t>energetike</w:t>
      </w:r>
      <w:r w:rsidRPr="001B7AC7">
        <w:rPr>
          <w:rFonts w:ascii="Arial" w:hAnsi="Arial" w:cs="Arial"/>
          <w:color w:val="000000"/>
          <w:sz w:val="22"/>
          <w:szCs w:val="22"/>
          <w:lang w:eastAsia="en-GB"/>
        </w:rPr>
        <w:t xml:space="preserve"> </w:t>
      </w:r>
      <w:r w:rsidR="008568DF">
        <w:rPr>
          <w:rFonts w:ascii="Arial" w:hAnsi="Arial" w:cs="Arial"/>
          <w:color w:val="000000"/>
          <w:sz w:val="22"/>
          <w:szCs w:val="22"/>
          <w:lang w:eastAsia="en-GB"/>
        </w:rPr>
        <w:t>–</w:t>
      </w:r>
      <w:r w:rsidR="00587666" w:rsidRPr="00587666">
        <w:rPr>
          <w:rFonts w:ascii="Arial" w:hAnsi="Arial" w:cs="Arial"/>
          <w:color w:val="000000"/>
          <w:sz w:val="22"/>
          <w:szCs w:val="22"/>
          <w:lang w:eastAsia="en-GB"/>
        </w:rPr>
        <w:t xml:space="preserve"> Zavod</w:t>
      </w:r>
      <w:r w:rsidR="008568DF">
        <w:rPr>
          <w:rFonts w:ascii="Arial" w:hAnsi="Arial" w:cs="Arial"/>
          <w:color w:val="000000"/>
          <w:sz w:val="22"/>
          <w:szCs w:val="22"/>
          <w:lang w:eastAsia="en-GB"/>
        </w:rPr>
        <w:t xml:space="preserve"> </w:t>
      </w:r>
      <w:r w:rsidR="00587666" w:rsidRPr="00587666">
        <w:rPr>
          <w:rFonts w:ascii="Arial" w:hAnsi="Arial" w:cs="Arial"/>
          <w:color w:val="000000"/>
          <w:sz w:val="22"/>
          <w:szCs w:val="22"/>
          <w:lang w:eastAsia="en-GB"/>
        </w:rPr>
        <w:t>za zaštitu okoliša i prirode</w:t>
      </w:r>
      <w:r w:rsidRPr="001B7AC7">
        <w:rPr>
          <w:rFonts w:ascii="Arial" w:hAnsi="Arial" w:cs="Arial"/>
          <w:color w:val="000000"/>
          <w:sz w:val="22"/>
          <w:szCs w:val="22"/>
          <w:lang w:eastAsia="en-GB"/>
        </w:rPr>
        <w:t>.</w:t>
      </w:r>
      <w:r>
        <w:rPr>
          <w:rFonts w:ascii="Arial" w:hAnsi="Arial" w:cs="Arial"/>
          <w:color w:val="000000"/>
          <w:sz w:val="22"/>
          <w:szCs w:val="22"/>
          <w:lang w:eastAsia="en-GB"/>
        </w:rPr>
        <w:t xml:space="preserve"> </w:t>
      </w:r>
      <w:r w:rsidRPr="001B7AC7">
        <w:rPr>
          <w:rFonts w:ascii="Arial" w:hAnsi="Arial" w:cs="Arial"/>
          <w:color w:val="000000"/>
          <w:sz w:val="22"/>
          <w:szCs w:val="22"/>
          <w:lang w:eastAsia="en-GB"/>
        </w:rPr>
        <w:t>Sukladno Zakonu, Uredbom o kvaliteti tekućih naftnih goriva i načinu praćenja i izvještavanja te metodologiji izračuna emisija stakleničkih plinova u životnom vijeku isporučenih goriva i energije (</w:t>
      </w:r>
      <w:r w:rsidR="00880054">
        <w:rPr>
          <w:rFonts w:ascii="Arial" w:hAnsi="Arial" w:cs="Arial"/>
          <w:color w:val="000000"/>
          <w:sz w:val="22"/>
          <w:szCs w:val="22"/>
          <w:lang w:eastAsia="en-GB"/>
        </w:rPr>
        <w:t>NN</w:t>
      </w:r>
      <w:r w:rsidRPr="001B7AC7">
        <w:rPr>
          <w:rFonts w:ascii="Arial" w:hAnsi="Arial" w:cs="Arial"/>
          <w:color w:val="000000"/>
          <w:sz w:val="22"/>
          <w:szCs w:val="22"/>
          <w:lang w:eastAsia="en-GB"/>
        </w:rPr>
        <w:t xml:space="preserve"> 57/17) propisuju se način i rokovi dostave izvješća o emisijama stakleničkih plinova u životnom vijeku goriva i energije Ministarstvu zaštite okoliša i </w:t>
      </w:r>
      <w:r w:rsidR="005F1058">
        <w:rPr>
          <w:rFonts w:ascii="Arial" w:hAnsi="Arial" w:cs="Arial"/>
          <w:color w:val="000000"/>
          <w:sz w:val="22"/>
          <w:szCs w:val="22"/>
          <w:lang w:eastAsia="en-GB"/>
        </w:rPr>
        <w:t>energetike</w:t>
      </w:r>
      <w:r w:rsidRPr="001B7AC7">
        <w:rPr>
          <w:rFonts w:ascii="Arial" w:hAnsi="Arial" w:cs="Arial"/>
          <w:color w:val="000000"/>
          <w:sz w:val="22"/>
          <w:szCs w:val="22"/>
          <w:lang w:eastAsia="en-GB"/>
        </w:rPr>
        <w:t>, način praćenja i izvješćivanja, metodologija izračuna emisija stakleničkih plinova u životnom vijeku goriva i energije, metodologija utvrđivanja razine emisija stakleničkih plinova u životnom vijeku goriva po energetskoj jedinici za baznu 2010. godinu, metodologija izračuna doprinosa električnih cestovnih vozila smanjenju emisija stakleničkih plinova, format izvješća i duljina čuvanja te način dostave podataka nadležnim tijelima Europske unije.</w:t>
      </w:r>
    </w:p>
    <w:p w14:paraId="2B39CC2B"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w:t>
      </w:r>
      <w:r>
        <w:rPr>
          <w:rFonts w:ascii="Arial" w:hAnsi="Arial" w:cs="Arial"/>
          <w:color w:val="000000"/>
          <w:sz w:val="22"/>
          <w:szCs w:val="22"/>
          <w:lang w:eastAsia="en-GB"/>
        </w:rPr>
        <w:t xml:space="preserve">nastavit će se provedba zakonskih obveza. </w:t>
      </w:r>
    </w:p>
    <w:p w14:paraId="635A528E"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1B1DEFA0" w14:textId="77777777"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sidRPr="005B687C">
        <w:rPr>
          <w:rFonts w:ascii="Arial" w:hAnsi="Arial" w:cs="Arial"/>
          <w:color w:val="000000"/>
          <w:sz w:val="22"/>
          <w:szCs w:val="22"/>
          <w:lang w:eastAsia="en-GB"/>
        </w:rPr>
        <w:t xml:space="preserve">Financijska sredstva za provedbu ovih aktivnosti planira </w:t>
      </w:r>
      <w:r>
        <w:rPr>
          <w:rFonts w:ascii="Arial" w:hAnsi="Arial" w:cs="Arial"/>
          <w:color w:val="000000"/>
          <w:sz w:val="22"/>
          <w:szCs w:val="22"/>
          <w:lang w:eastAsia="en-GB"/>
        </w:rPr>
        <w:t>MZOE</w:t>
      </w:r>
      <w:r w:rsidRPr="005B687C">
        <w:rPr>
          <w:rFonts w:ascii="Arial" w:hAnsi="Arial" w:cs="Arial"/>
          <w:color w:val="000000"/>
          <w:sz w:val="22"/>
          <w:szCs w:val="22"/>
          <w:lang w:eastAsia="en-GB"/>
        </w:rPr>
        <w:t xml:space="preserve"> u okviru svojih godišnjih proračuna, kao sastavni dio svojih redovnih aktivnosti.</w:t>
      </w:r>
    </w:p>
    <w:p w14:paraId="667E7F06"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Državni proračun (MZOE)</w:t>
      </w:r>
    </w:p>
    <w:p w14:paraId="1DDC0856" w14:textId="29356913"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MZOE</w:t>
      </w:r>
    </w:p>
    <w:p w14:paraId="1D388816"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p>
    <w:p w14:paraId="1CC97A5A" w14:textId="1A38208F"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Učinak: </w:t>
      </w:r>
      <w:r w:rsidR="007E04BF" w:rsidRPr="005B687C">
        <w:rPr>
          <w:rFonts w:ascii="Arial" w:hAnsi="Arial" w:cs="Arial"/>
          <w:color w:val="000000"/>
          <w:sz w:val="22"/>
          <w:szCs w:val="22"/>
          <w:lang w:eastAsia="en-GB"/>
        </w:rPr>
        <w:t>Ušteda energije</w:t>
      </w:r>
      <w:r w:rsidR="007E04BF">
        <w:rPr>
          <w:rFonts w:ascii="Arial" w:hAnsi="Arial" w:cs="Arial"/>
          <w:color w:val="000000"/>
          <w:sz w:val="22"/>
          <w:szCs w:val="22"/>
          <w:lang w:eastAsia="en-GB"/>
        </w:rPr>
        <w:t>,</w:t>
      </w:r>
      <w:r w:rsidR="007E04BF" w:rsidRPr="005B687C">
        <w:rPr>
          <w:rFonts w:ascii="Arial" w:hAnsi="Arial" w:cs="Arial"/>
          <w:color w:val="000000"/>
          <w:sz w:val="22"/>
          <w:szCs w:val="22"/>
          <w:lang w:eastAsia="en-GB"/>
        </w:rPr>
        <w:t xml:space="preserve"> smanjenje emisije CO</w:t>
      </w:r>
      <w:r w:rsidR="007E04BF" w:rsidRPr="005B687C">
        <w:rPr>
          <w:rFonts w:ascii="Arial" w:hAnsi="Arial" w:cs="Arial"/>
          <w:color w:val="000000"/>
          <w:sz w:val="22"/>
          <w:szCs w:val="22"/>
          <w:vertAlign w:val="subscript"/>
          <w:lang w:eastAsia="en-GB"/>
        </w:rPr>
        <w:t>2e</w:t>
      </w:r>
      <w:r w:rsidR="007E04BF" w:rsidRPr="009A1A78">
        <w:rPr>
          <w:rFonts w:ascii="Arial" w:hAnsi="Arial" w:cs="Arial"/>
          <w:color w:val="000000"/>
          <w:sz w:val="22"/>
          <w:szCs w:val="22"/>
          <w:lang w:eastAsia="en-GB"/>
        </w:rPr>
        <w:t xml:space="preserve"> te smanjenje emisija onečišćujućih tvari</w:t>
      </w:r>
      <w:r w:rsidR="007E04BF" w:rsidRPr="005B687C" w:rsidDel="007E04BF">
        <w:rPr>
          <w:rFonts w:ascii="Arial" w:hAnsi="Arial" w:cs="Arial"/>
          <w:color w:val="000000"/>
          <w:sz w:val="22"/>
          <w:szCs w:val="22"/>
          <w:lang w:eastAsia="en-GB"/>
        </w:rPr>
        <w:t xml:space="preserve"> </w:t>
      </w:r>
    </w:p>
    <w:p w14:paraId="786797AC" w14:textId="010CD4F9"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sidR="00DB0A3F">
        <w:rPr>
          <w:rFonts w:ascii="Arial" w:hAnsi="Arial" w:cs="Arial"/>
          <w:color w:val="000000"/>
          <w:sz w:val="22"/>
          <w:szCs w:val="22"/>
          <w:lang w:eastAsia="en-GB"/>
        </w:rPr>
        <w:t>Verificirana i</w:t>
      </w:r>
      <w:r w:rsidRPr="001B7AC7">
        <w:rPr>
          <w:rFonts w:ascii="Arial" w:hAnsi="Arial" w:cs="Arial"/>
          <w:color w:val="000000"/>
          <w:sz w:val="22"/>
          <w:szCs w:val="22"/>
          <w:lang w:eastAsia="en-GB"/>
        </w:rPr>
        <w:t>zvješća o emisijama stakleničkih plinova u životnom vijeku goriva</w:t>
      </w:r>
    </w:p>
    <w:p w14:paraId="39329E8A"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w:t>
      </w:r>
    </w:p>
    <w:p w14:paraId="65F8F41D"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1AB9F087" w14:textId="77777777" w:rsidR="0012721C" w:rsidRPr="00BE6952" w:rsidRDefault="0012721C" w:rsidP="0012721C">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w:t>
      </w:r>
    </w:p>
    <w:p w14:paraId="0CB1D7BB" w14:textId="77777777" w:rsidR="00E223DA" w:rsidRDefault="00E223DA" w:rsidP="00E223DA">
      <w:pPr>
        <w:pStyle w:val="NormalWeb"/>
        <w:spacing w:after="120" w:line="288" w:lineRule="auto"/>
        <w:jc w:val="both"/>
        <w:rPr>
          <w:rFonts w:ascii="Arial" w:hAnsi="Arial" w:cs="Arial"/>
          <w:b/>
          <w:bCs/>
          <w:color w:val="000000"/>
          <w:sz w:val="22"/>
          <w:szCs w:val="22"/>
        </w:rPr>
      </w:pPr>
    </w:p>
    <w:p w14:paraId="3B72C23E" w14:textId="1720D5A4" w:rsidR="0012721C"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w:t>
      </w:r>
      <w:r>
        <w:rPr>
          <w:rFonts w:ascii="Arial" w:hAnsi="Arial" w:cs="Arial"/>
          <w:b/>
          <w:bCs/>
          <w:color w:val="000000"/>
          <w:sz w:val="22"/>
          <w:szCs w:val="22"/>
        </w:rPr>
        <w:t>5</w:t>
      </w:r>
      <w:r w:rsidRPr="005B687C">
        <w:rPr>
          <w:rFonts w:ascii="Arial" w:hAnsi="Arial" w:cs="Arial"/>
          <w:b/>
          <w:bCs/>
          <w:color w:val="000000"/>
          <w:sz w:val="22"/>
          <w:szCs w:val="22"/>
        </w:rPr>
        <w:t>:</w:t>
      </w:r>
      <w:r w:rsidR="00E223DA">
        <w:rPr>
          <w:rFonts w:ascii="Arial" w:hAnsi="Arial" w:cs="Arial"/>
          <w:b/>
          <w:bCs/>
          <w:color w:val="000000"/>
          <w:sz w:val="22"/>
          <w:szCs w:val="22"/>
        </w:rPr>
        <w:t xml:space="preserve"> </w:t>
      </w:r>
      <w:r w:rsidRPr="0027620A">
        <w:rPr>
          <w:rFonts w:ascii="Arial" w:hAnsi="Arial" w:cs="Arial"/>
          <w:b/>
          <w:bCs/>
          <w:color w:val="000000"/>
          <w:sz w:val="22"/>
          <w:szCs w:val="22"/>
        </w:rPr>
        <w:t>Zakonodavne prilagodbe za čišći promet</w:t>
      </w:r>
    </w:p>
    <w:p w14:paraId="3C928EDA" w14:textId="77777777" w:rsidR="0012721C" w:rsidRPr="00ED5A38"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 xml:space="preserve">Regulatorna mjera; provedba </w:t>
      </w:r>
      <w:r>
        <w:rPr>
          <w:rFonts w:ascii="Arial" w:hAnsi="Arial" w:cs="Arial"/>
          <w:b/>
          <w:bCs/>
          <w:color w:val="000000"/>
          <w:sz w:val="22"/>
          <w:szCs w:val="22"/>
        </w:rPr>
        <w:t>2021</w:t>
      </w:r>
      <w:r w:rsidRPr="005B687C">
        <w:rPr>
          <w:rFonts w:ascii="Arial" w:hAnsi="Arial" w:cs="Arial"/>
          <w:b/>
          <w:bCs/>
          <w:color w:val="000000"/>
          <w:sz w:val="22"/>
          <w:szCs w:val="22"/>
        </w:rPr>
        <w:t xml:space="preserve">. – 2030. </w:t>
      </w:r>
    </w:p>
    <w:p w14:paraId="5D7F223A" w14:textId="77777777" w:rsidR="0012721C" w:rsidRDefault="0012721C" w:rsidP="0012721C">
      <w:pPr>
        <w:pStyle w:val="NormalWeb"/>
        <w:spacing w:before="0" w:after="0"/>
        <w:jc w:val="both"/>
        <w:rPr>
          <w:rFonts w:ascii="Arial" w:hAnsi="Arial" w:cs="Arial"/>
          <w:color w:val="000000"/>
          <w:sz w:val="22"/>
          <w:szCs w:val="22"/>
          <w:lang w:eastAsia="en-GB"/>
        </w:rPr>
      </w:pPr>
      <w:r w:rsidRPr="00BE6952">
        <w:rPr>
          <w:rFonts w:ascii="Arial" w:hAnsi="Arial" w:cs="Arial"/>
          <w:b/>
          <w:bCs/>
          <w:color w:val="000000"/>
          <w:sz w:val="22"/>
          <w:szCs w:val="22"/>
          <w:lang w:eastAsia="en-GB"/>
        </w:rPr>
        <w:t>Cilj i opis mjere:</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Kroz i</w:t>
      </w:r>
      <w:r w:rsidRPr="0027620A">
        <w:rPr>
          <w:rFonts w:ascii="Arial" w:hAnsi="Arial" w:cs="Arial"/>
          <w:color w:val="000000"/>
          <w:sz w:val="22"/>
          <w:szCs w:val="22"/>
          <w:lang w:eastAsia="en-GB"/>
        </w:rPr>
        <w:t xml:space="preserve">zmjene i dopune zakona i podzakonskih akata </w:t>
      </w:r>
      <w:r>
        <w:rPr>
          <w:rFonts w:ascii="Arial" w:hAnsi="Arial" w:cs="Arial"/>
          <w:color w:val="000000"/>
          <w:sz w:val="22"/>
          <w:szCs w:val="22"/>
          <w:lang w:eastAsia="en-GB"/>
        </w:rPr>
        <w:t xml:space="preserve">osigurati razvoj </w:t>
      </w:r>
      <w:r w:rsidRPr="0027620A">
        <w:rPr>
          <w:rFonts w:ascii="Arial" w:hAnsi="Arial" w:cs="Arial"/>
          <w:color w:val="000000"/>
          <w:sz w:val="22"/>
          <w:szCs w:val="22"/>
          <w:lang w:eastAsia="en-GB"/>
        </w:rPr>
        <w:t>infrastrukture za alternativna goriva</w:t>
      </w:r>
      <w:r>
        <w:rPr>
          <w:rFonts w:ascii="Arial" w:hAnsi="Arial" w:cs="Arial"/>
          <w:color w:val="000000"/>
          <w:sz w:val="22"/>
          <w:szCs w:val="22"/>
          <w:lang w:eastAsia="en-GB"/>
        </w:rPr>
        <w:t>, p</w:t>
      </w:r>
      <w:r w:rsidRPr="0027620A">
        <w:rPr>
          <w:rFonts w:ascii="Arial" w:hAnsi="Arial" w:cs="Arial"/>
          <w:color w:val="000000"/>
          <w:sz w:val="22"/>
          <w:szCs w:val="22"/>
          <w:lang w:eastAsia="en-GB"/>
        </w:rPr>
        <w:t>odizanje udjela obnovljivih izvora u neposrednoj potrošnji energije u prometu</w:t>
      </w:r>
      <w:r>
        <w:rPr>
          <w:rFonts w:ascii="Arial" w:hAnsi="Arial" w:cs="Arial"/>
          <w:color w:val="000000"/>
          <w:sz w:val="22"/>
          <w:szCs w:val="22"/>
          <w:lang w:eastAsia="en-GB"/>
        </w:rPr>
        <w:t xml:space="preserve"> te p</w:t>
      </w:r>
      <w:r w:rsidRPr="0027620A">
        <w:rPr>
          <w:rFonts w:ascii="Arial" w:hAnsi="Arial" w:cs="Arial"/>
          <w:color w:val="000000"/>
          <w:sz w:val="22"/>
          <w:szCs w:val="22"/>
          <w:lang w:eastAsia="en-GB"/>
        </w:rPr>
        <w:t>romicanje čistih i energetski učinkovitih vozila u cestovnom prijevozu</w:t>
      </w:r>
      <w:r>
        <w:rPr>
          <w:rFonts w:ascii="Arial" w:hAnsi="Arial" w:cs="Arial"/>
          <w:color w:val="000000"/>
          <w:sz w:val="22"/>
          <w:szCs w:val="22"/>
          <w:lang w:eastAsia="en-GB"/>
        </w:rPr>
        <w:t>. Ciljevi mjere su p</w:t>
      </w:r>
      <w:r w:rsidRPr="00E32735">
        <w:rPr>
          <w:rFonts w:ascii="Arial" w:hAnsi="Arial" w:cs="Arial"/>
          <w:color w:val="000000"/>
          <w:sz w:val="22"/>
          <w:szCs w:val="22"/>
          <w:lang w:eastAsia="en-GB"/>
        </w:rPr>
        <w:t>ovećanje udjela OIE u prometu do 2030</w:t>
      </w:r>
      <w:r>
        <w:rPr>
          <w:rFonts w:ascii="Arial" w:hAnsi="Arial" w:cs="Arial"/>
          <w:color w:val="000000"/>
          <w:sz w:val="22"/>
          <w:szCs w:val="22"/>
          <w:lang w:eastAsia="en-GB"/>
        </w:rPr>
        <w:t xml:space="preserve">., </w:t>
      </w:r>
      <w:r w:rsidRPr="00E32735">
        <w:rPr>
          <w:rFonts w:ascii="Arial" w:hAnsi="Arial" w:cs="Arial"/>
          <w:color w:val="000000"/>
          <w:sz w:val="22"/>
          <w:szCs w:val="22"/>
          <w:lang w:eastAsia="en-GB"/>
        </w:rPr>
        <w:t>37 % udjela lakih vozila koji zadovoljavaju zadane zahtjeve u ukupnoj javnoj nabavi lakih vozila na razini države do 2030</w:t>
      </w:r>
      <w:r>
        <w:rPr>
          <w:rFonts w:ascii="Arial" w:hAnsi="Arial" w:cs="Arial"/>
          <w:color w:val="000000"/>
          <w:sz w:val="22"/>
          <w:szCs w:val="22"/>
          <w:lang w:eastAsia="en-GB"/>
        </w:rPr>
        <w:t xml:space="preserve">., </w:t>
      </w:r>
      <w:r w:rsidRPr="00E32735">
        <w:rPr>
          <w:rFonts w:ascii="Arial" w:hAnsi="Arial" w:cs="Arial"/>
          <w:color w:val="000000"/>
          <w:sz w:val="22"/>
          <w:szCs w:val="22"/>
          <w:lang w:eastAsia="en-GB"/>
        </w:rPr>
        <w:t>13 % udjela kamiona koji zadovoljavaju zadane zahtjeve u ukupnoj javnoj nabavi teških vozila na razini države do 2030</w:t>
      </w:r>
      <w:r>
        <w:rPr>
          <w:rFonts w:ascii="Arial" w:hAnsi="Arial" w:cs="Arial"/>
          <w:color w:val="000000"/>
          <w:sz w:val="22"/>
          <w:szCs w:val="22"/>
          <w:lang w:eastAsia="en-GB"/>
        </w:rPr>
        <w:t xml:space="preserve">. i </w:t>
      </w:r>
      <w:r w:rsidRPr="00E32735">
        <w:rPr>
          <w:rFonts w:ascii="Arial" w:hAnsi="Arial" w:cs="Arial"/>
          <w:color w:val="000000"/>
          <w:sz w:val="22"/>
          <w:szCs w:val="22"/>
          <w:lang w:eastAsia="en-GB"/>
        </w:rPr>
        <w:t>65 % udjela autobusa koji zadovoljavaju zadane zahtjeve u ukupnoj javnoj nabavi autobusa na razini države do 2030</w:t>
      </w:r>
      <w:r>
        <w:rPr>
          <w:rFonts w:ascii="Arial" w:hAnsi="Arial" w:cs="Arial"/>
          <w:color w:val="000000"/>
          <w:sz w:val="22"/>
          <w:szCs w:val="22"/>
          <w:lang w:eastAsia="en-GB"/>
        </w:rPr>
        <w:t xml:space="preserve">. godine. </w:t>
      </w:r>
    </w:p>
    <w:p w14:paraId="7150ED86"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sljedeće aktivnosti: </w:t>
      </w:r>
    </w:p>
    <w:p w14:paraId="48B52172" w14:textId="77777777" w:rsidR="0012721C" w:rsidRPr="0027620A" w:rsidRDefault="0012721C" w:rsidP="00840E2E">
      <w:pPr>
        <w:pStyle w:val="NormalWeb"/>
        <w:numPr>
          <w:ilvl w:val="0"/>
          <w:numId w:val="90"/>
        </w:numPr>
        <w:spacing w:before="0" w:beforeAutospacing="0" w:after="0" w:afterAutospacing="0"/>
        <w:ind w:left="714" w:hanging="357"/>
        <w:jc w:val="both"/>
        <w:rPr>
          <w:rFonts w:ascii="Arial" w:hAnsi="Arial" w:cs="Arial"/>
          <w:color w:val="000000"/>
          <w:sz w:val="22"/>
          <w:szCs w:val="22"/>
          <w:lang w:eastAsia="en-GB"/>
        </w:rPr>
      </w:pPr>
      <w:r w:rsidRPr="0027620A">
        <w:rPr>
          <w:rFonts w:ascii="Arial" w:hAnsi="Arial" w:cs="Arial"/>
          <w:color w:val="000000"/>
          <w:sz w:val="22"/>
          <w:szCs w:val="22"/>
          <w:lang w:eastAsia="en-GB"/>
        </w:rPr>
        <w:t>Na nacionalnoj razini potrebno je donijeti zakonske i podzakonske akte kojima će se urediti određivanje uvjeta za izgradnju punionica za električna vozila (uključujući punionice s pripadajućim fotonaponskim sustavom), uvjete distribuiranja, naplate i jediničnu cijenu alternativnih energenata koji se koriste u prometu, određivanje uvjeta punionica za UPP i SPP/SBM te razmotriti zahtjeve nove Direktive o energetskom učinku zgrada. Potrebno je predvidjeti izmjene i dopune zakona tako da se propišu obaveze uspostave infrastrukture za alternativna goriva za subjekte koji upravljaju prometnom infrastrukturom, te dopune zakona koji reguliraju uvjete građenja parkirališnih prostora tako da se uvede obveza postojanja punionica alternativnim gorivima. Ispunjenje ove obaveze preduvjet je daljnjeg razvoja infrastrukture alternativnih goriva.</w:t>
      </w:r>
    </w:p>
    <w:p w14:paraId="67D0DE50" w14:textId="506E3B4B" w:rsidR="0012721C" w:rsidRPr="0027620A" w:rsidRDefault="0012721C" w:rsidP="00840E2E">
      <w:pPr>
        <w:pStyle w:val="NormalWeb"/>
        <w:numPr>
          <w:ilvl w:val="0"/>
          <w:numId w:val="90"/>
        </w:numPr>
        <w:spacing w:before="0" w:after="0"/>
        <w:jc w:val="both"/>
        <w:rPr>
          <w:rFonts w:ascii="Arial" w:hAnsi="Arial" w:cs="Arial"/>
          <w:color w:val="000000"/>
          <w:sz w:val="22"/>
          <w:szCs w:val="22"/>
          <w:lang w:eastAsia="en-GB"/>
        </w:rPr>
      </w:pPr>
      <w:r w:rsidRPr="0027620A">
        <w:rPr>
          <w:rFonts w:ascii="Arial" w:hAnsi="Arial" w:cs="Arial"/>
          <w:color w:val="000000"/>
          <w:sz w:val="22"/>
          <w:szCs w:val="22"/>
          <w:lang w:eastAsia="en-GB"/>
        </w:rPr>
        <w:t>Osnovna odredba koja regulira i promiče uporabu biogoriva je Zakon o biogorivima za prijevoz (</w:t>
      </w:r>
      <w:r w:rsidR="00880054">
        <w:rPr>
          <w:rFonts w:ascii="Arial" w:hAnsi="Arial" w:cs="Arial"/>
          <w:color w:val="000000"/>
          <w:sz w:val="22"/>
          <w:szCs w:val="22"/>
          <w:lang w:eastAsia="en-GB"/>
        </w:rPr>
        <w:t>NN</w:t>
      </w:r>
      <w:r w:rsidRPr="0027620A">
        <w:rPr>
          <w:rFonts w:ascii="Arial" w:hAnsi="Arial" w:cs="Arial"/>
          <w:color w:val="000000"/>
          <w:sz w:val="22"/>
          <w:szCs w:val="22"/>
          <w:lang w:eastAsia="en-GB"/>
        </w:rPr>
        <w:t xml:space="preserve"> 65/09, 145/10, 26/11, 144/12, 14/14, 94/18).</w:t>
      </w:r>
      <w:r w:rsidR="004424AB">
        <w:rPr>
          <w:rFonts w:ascii="Arial" w:hAnsi="Arial" w:cs="Arial"/>
          <w:color w:val="000000"/>
          <w:sz w:val="22"/>
          <w:szCs w:val="22"/>
          <w:lang w:eastAsia="en-GB"/>
        </w:rPr>
        <w:t xml:space="preserve"> Na temelju</w:t>
      </w:r>
      <w:r w:rsidR="004424AB" w:rsidRPr="0027620A">
        <w:rPr>
          <w:rFonts w:ascii="Arial" w:hAnsi="Arial" w:cs="Arial"/>
          <w:color w:val="000000"/>
          <w:sz w:val="22"/>
          <w:szCs w:val="22"/>
          <w:lang w:eastAsia="en-GB"/>
        </w:rPr>
        <w:t xml:space="preserve"> </w:t>
      </w:r>
      <w:r w:rsidRPr="0027620A">
        <w:rPr>
          <w:rFonts w:ascii="Arial" w:hAnsi="Arial" w:cs="Arial"/>
          <w:color w:val="000000"/>
          <w:sz w:val="22"/>
          <w:szCs w:val="22"/>
          <w:lang w:eastAsia="en-GB"/>
        </w:rPr>
        <w:t>ovog zakona, 2010. godine pripremljen je Nacionalni akcijski plan koji promovira proizvodnju i uporabu biogoriva u prijevozu za razdoblje od 2011. do 2020. godine. Planom se utvrđuje politika koja promiče povećanu proizvodnju i uporabu biogoriva u prijevozu u Republici Hrvatskoj. Plan sadrži pregled i procjenu stanja na tržištu goriva za transport i zaštitu zraka, usporedbenu analizu, dugoročne ciljeve, uključujući ciljano tržište biogoriva i mjere za promicanje povećane proizvodnje i korištenja biogoriva u transportu.</w:t>
      </w:r>
      <w:r>
        <w:rPr>
          <w:rFonts w:ascii="Arial" w:hAnsi="Arial" w:cs="Arial"/>
          <w:color w:val="000000"/>
          <w:sz w:val="22"/>
          <w:szCs w:val="22"/>
          <w:lang w:eastAsia="en-GB"/>
        </w:rPr>
        <w:t xml:space="preserve"> </w:t>
      </w:r>
      <w:r w:rsidRPr="0027620A">
        <w:rPr>
          <w:rFonts w:ascii="Arial" w:hAnsi="Arial" w:cs="Arial"/>
          <w:color w:val="000000"/>
          <w:sz w:val="22"/>
          <w:szCs w:val="22"/>
          <w:lang w:eastAsia="en-GB"/>
        </w:rPr>
        <w:t>Mjere propisane akcijskim planom uključuju mjere koje promiču proizvodnju sirovina za proizvodnju biogoriva, mjere koje promiču proizvodnju biogoriva s obzirom na naknadu za promociju proizvodnje, mjere koje promiču potrošnju biogoriva s obzirom na distributere tekućih naftnih derivata radi postavljanja biogoriva na tržište, administrativne mjere i aktivnosti istraživanja i razvoja. Nacionalni akcijski plan za obnovljive izvore energije iz 2013. godine utvrdio je ciljeve i politike vezane za povećanje udjela OIE u finalnoj potrošnji energije do 2020. godine te posebno procijenjeni doprinos energije biogoriva u prometu.</w:t>
      </w:r>
    </w:p>
    <w:p w14:paraId="52EDA357" w14:textId="77777777" w:rsidR="0012721C" w:rsidRPr="0027620A" w:rsidRDefault="0012721C" w:rsidP="00840E2E">
      <w:pPr>
        <w:pStyle w:val="NormalWeb"/>
        <w:numPr>
          <w:ilvl w:val="0"/>
          <w:numId w:val="90"/>
        </w:numPr>
        <w:spacing w:before="0" w:after="0"/>
        <w:jc w:val="both"/>
        <w:rPr>
          <w:rFonts w:ascii="Arial" w:hAnsi="Arial" w:cs="Arial"/>
          <w:color w:val="000000"/>
          <w:sz w:val="22"/>
          <w:szCs w:val="22"/>
          <w:lang w:eastAsia="en-GB"/>
        </w:rPr>
      </w:pPr>
      <w:r w:rsidRPr="0027620A">
        <w:rPr>
          <w:rFonts w:ascii="Arial" w:hAnsi="Arial" w:cs="Arial"/>
          <w:color w:val="000000"/>
          <w:sz w:val="22"/>
          <w:szCs w:val="22"/>
          <w:lang w:eastAsia="en-GB"/>
        </w:rPr>
        <w:t xml:space="preserve">U narednom razdoblju Hrvatska će transponirati obveze iz Direktive o promicanju uporabe energije iz obnovljivih izvora koja je usvojena u prosincu 2018. godine. Bit će potrebno ostvariti ambiciozni cilj u kontekstu obnovljivih izvora energije u sektoru prometa u 2030. godini te posebno stimulirati korištenje obnovljive električne energije u prometu. Kako bi se osiguralo da se očekivani porast potražnje za električnom energijom iznad trenutačne polazne vrijednosti u sektoru prometa osigura s pomoću dodatnih kapaciteta proizvodnje obnovljive energije, okvir o dodatnosti u sektoru prometa koji će izraditi Komisija transponirat će se u hrvatski regulatorni okvir. </w:t>
      </w:r>
    </w:p>
    <w:p w14:paraId="01A01940" w14:textId="20984652" w:rsidR="0012721C" w:rsidRPr="0027620A" w:rsidRDefault="0012721C" w:rsidP="00840E2E">
      <w:pPr>
        <w:pStyle w:val="NormalWeb"/>
        <w:numPr>
          <w:ilvl w:val="0"/>
          <w:numId w:val="90"/>
        </w:numPr>
        <w:spacing w:before="0" w:after="0"/>
        <w:jc w:val="both"/>
        <w:rPr>
          <w:rFonts w:ascii="Arial" w:hAnsi="Arial" w:cs="Arial"/>
          <w:color w:val="000000"/>
          <w:sz w:val="22"/>
          <w:szCs w:val="22"/>
          <w:lang w:eastAsia="en-GB"/>
        </w:rPr>
      </w:pPr>
      <w:r w:rsidRPr="0027620A">
        <w:rPr>
          <w:rFonts w:ascii="Arial" w:hAnsi="Arial" w:cs="Arial"/>
          <w:color w:val="000000"/>
          <w:sz w:val="22"/>
          <w:szCs w:val="22"/>
          <w:lang w:eastAsia="en-GB"/>
        </w:rPr>
        <w:t xml:space="preserve">U svrhu analize mogućnosti zadovoljenja cilja 3,5% naprednih goriva do 2030. godine (Članak 25, stavak 1 </w:t>
      </w:r>
      <w:r w:rsidR="00F27F04" w:rsidRPr="00F27F04">
        <w:rPr>
          <w:rFonts w:ascii="Arial" w:hAnsi="Arial" w:cs="Arial"/>
          <w:color w:val="000000"/>
          <w:sz w:val="22"/>
          <w:szCs w:val="22"/>
          <w:lang w:eastAsia="en-GB"/>
        </w:rPr>
        <w:t>Direktive (EU) 2018/2001 o promicanju uporabe energije iz obnovljivih izvora</w:t>
      </w:r>
      <w:r w:rsidRPr="0027620A">
        <w:rPr>
          <w:rFonts w:ascii="Arial" w:hAnsi="Arial" w:cs="Arial"/>
          <w:color w:val="000000"/>
          <w:sz w:val="22"/>
          <w:szCs w:val="22"/>
          <w:lang w:eastAsia="en-GB"/>
        </w:rPr>
        <w:t>) iz domaćih sirovina te razvoja domaćih tehnoloških kapaciteta, provest će se detaljno istraživanje i analiza mogućnosti proizvodnje naprednih biogoriva. Cilj spomenute analize je utvrditi moguće kapacitete za domaću proizvodnju na temelju dostupnosti sirovine i tehnoloških parametara. U okviru razrade regulatornog okvira ustanovit će se financijski mehanizmi potpore razvoju i korištenju povoljnih opcija prepoznatih u analizi.</w:t>
      </w:r>
      <w:r>
        <w:rPr>
          <w:rFonts w:ascii="Arial" w:hAnsi="Arial" w:cs="Arial"/>
          <w:color w:val="000000"/>
          <w:sz w:val="22"/>
          <w:szCs w:val="22"/>
          <w:lang w:eastAsia="en-GB"/>
        </w:rPr>
        <w:t xml:space="preserve"> </w:t>
      </w:r>
      <w:r w:rsidRPr="0027620A">
        <w:rPr>
          <w:rFonts w:ascii="Arial" w:hAnsi="Arial" w:cs="Arial"/>
          <w:color w:val="000000"/>
          <w:sz w:val="22"/>
          <w:szCs w:val="22"/>
          <w:lang w:eastAsia="en-GB"/>
        </w:rPr>
        <w:t>Uspostava regulatornog okvira i uvjeta za uspostavu praćenja kriterija održivosti i uštede stakleničkih plinova za biogoriva, tekuća biogoriva i goriva iz biomase predviđena je unutar mjere OIE-4.</w:t>
      </w:r>
    </w:p>
    <w:p w14:paraId="75F55B27" w14:textId="4B0BDAFB" w:rsidR="0012721C" w:rsidRPr="0027620A" w:rsidRDefault="0012721C" w:rsidP="00840E2E">
      <w:pPr>
        <w:pStyle w:val="NormalWeb"/>
        <w:numPr>
          <w:ilvl w:val="0"/>
          <w:numId w:val="90"/>
        </w:numPr>
        <w:spacing w:before="0" w:after="0"/>
        <w:jc w:val="both"/>
        <w:rPr>
          <w:rFonts w:ascii="Arial" w:hAnsi="Arial" w:cs="Arial"/>
          <w:color w:val="000000"/>
          <w:sz w:val="22"/>
          <w:szCs w:val="22"/>
          <w:lang w:eastAsia="en-GB"/>
        </w:rPr>
      </w:pPr>
      <w:r w:rsidRPr="0027620A">
        <w:rPr>
          <w:rFonts w:ascii="Arial" w:hAnsi="Arial" w:cs="Arial"/>
          <w:color w:val="000000"/>
          <w:sz w:val="22"/>
          <w:szCs w:val="22"/>
          <w:lang w:eastAsia="en-GB"/>
        </w:rPr>
        <w:t>Trenutno je u Hrvatskoj na snazi Zakon o promicanju čistih i energetski učinkovitih vozila u cestovnom prometu (</w:t>
      </w:r>
      <w:r w:rsidR="00880054">
        <w:rPr>
          <w:rFonts w:ascii="Arial" w:hAnsi="Arial" w:cs="Arial"/>
          <w:color w:val="000000"/>
          <w:sz w:val="22"/>
          <w:szCs w:val="22"/>
          <w:lang w:eastAsia="en-GB"/>
        </w:rPr>
        <w:t>NN</w:t>
      </w:r>
      <w:r w:rsidRPr="0027620A">
        <w:rPr>
          <w:rFonts w:ascii="Arial" w:hAnsi="Arial" w:cs="Arial"/>
          <w:color w:val="000000"/>
          <w:sz w:val="22"/>
          <w:szCs w:val="22"/>
          <w:lang w:eastAsia="en-GB"/>
        </w:rPr>
        <w:t xml:space="preserve"> 127/13), koji definira da svi naručitelji i prijevoznici koji obavljaju javni linijski prijevoz putnika na temelju ugovora o obavljanju javnih usluga, pri kupnji vozila za cestovni prijevoz moraju uzeti u obzir energetske učinke i učinke na okoliš istog tijekom razdoblja eksploatacije vozila.</w:t>
      </w:r>
      <w:r>
        <w:rPr>
          <w:rFonts w:ascii="Arial" w:hAnsi="Arial" w:cs="Arial"/>
          <w:color w:val="000000"/>
          <w:sz w:val="22"/>
          <w:szCs w:val="22"/>
          <w:lang w:eastAsia="en-GB"/>
        </w:rPr>
        <w:t xml:space="preserve"> </w:t>
      </w:r>
      <w:r w:rsidRPr="0027620A">
        <w:rPr>
          <w:rFonts w:ascii="Arial" w:hAnsi="Arial" w:cs="Arial"/>
          <w:color w:val="000000"/>
          <w:sz w:val="22"/>
          <w:szCs w:val="22"/>
          <w:lang w:eastAsia="en-GB"/>
        </w:rPr>
        <w:t xml:space="preserve">Potrebno je transponirati revidirane obveze iz Direktive o promicanju čistih vozila u cestovnom prijevozu </w:t>
      </w:r>
      <w:r w:rsidR="00794821">
        <w:rPr>
          <w:rFonts w:ascii="Arial" w:hAnsi="Arial" w:cs="Arial"/>
          <w:color w:val="000000"/>
          <w:sz w:val="22"/>
          <w:szCs w:val="22"/>
          <w:lang w:eastAsia="en-GB"/>
        </w:rPr>
        <w:t>(EU 2019/1161)</w:t>
      </w:r>
      <w:r w:rsidRPr="0027620A">
        <w:rPr>
          <w:rFonts w:ascii="Arial" w:hAnsi="Arial" w:cs="Arial"/>
          <w:color w:val="000000"/>
          <w:sz w:val="22"/>
          <w:szCs w:val="22"/>
          <w:lang w:eastAsia="en-GB"/>
        </w:rPr>
        <w:t xml:space="preserve"> u cilju podupiranja mobilnosti s niskom razinom emisija, u kontekstu kupnje, leasinga, unajmljivanja ili najma s pravom otkupa vozila za cestovni prijevoz koje sklapaju javni naručitelji ili naručitelji ako su obvezni primjenjivati postupke javne nabave i operateri za ispunjavanje obveza obavljanja javnih usluga na temelju ugovora o javnim uslugama.</w:t>
      </w:r>
    </w:p>
    <w:p w14:paraId="60B6DC21" w14:textId="13C8C67E" w:rsidR="0012721C" w:rsidRDefault="0012721C" w:rsidP="00840E2E">
      <w:pPr>
        <w:pStyle w:val="NormalWeb"/>
        <w:numPr>
          <w:ilvl w:val="0"/>
          <w:numId w:val="90"/>
        </w:numPr>
        <w:spacing w:before="0" w:beforeAutospacing="0" w:after="0" w:afterAutospacing="0"/>
        <w:jc w:val="both"/>
        <w:rPr>
          <w:rFonts w:ascii="Arial" w:hAnsi="Arial" w:cs="Arial"/>
          <w:color w:val="000000"/>
          <w:sz w:val="22"/>
          <w:szCs w:val="22"/>
          <w:lang w:eastAsia="en-GB"/>
        </w:rPr>
      </w:pPr>
      <w:r w:rsidRPr="0027620A">
        <w:rPr>
          <w:rFonts w:ascii="Arial" w:hAnsi="Arial" w:cs="Arial"/>
          <w:color w:val="000000"/>
          <w:sz w:val="22"/>
          <w:szCs w:val="22"/>
          <w:lang w:eastAsia="en-GB"/>
        </w:rPr>
        <w:t>Osim transpozicije obveza iz predmetnih direktiva u zakonodavstvo, Republika Hrvatska definirat će i akcijski plan te propisati vremensku dinamiku za postupno uvođenje niskougljičnih rješenja u kontekstu obavljanja javnih usluga. U dogledno vrijeme svi pružatelji javnih usluga imat će obvezu korištenja isključivo energetski učinkovitog</w:t>
      </w:r>
      <w:r w:rsidR="00E223DA">
        <w:rPr>
          <w:rFonts w:ascii="Arial" w:hAnsi="Arial" w:cs="Arial"/>
          <w:color w:val="000000"/>
          <w:sz w:val="22"/>
          <w:szCs w:val="22"/>
          <w:lang w:eastAsia="en-GB"/>
        </w:rPr>
        <w:t xml:space="preserve"> </w:t>
      </w:r>
      <w:r w:rsidRPr="0027620A">
        <w:rPr>
          <w:rFonts w:ascii="Arial" w:hAnsi="Arial" w:cs="Arial"/>
          <w:color w:val="000000"/>
          <w:sz w:val="22"/>
          <w:szCs w:val="22"/>
          <w:lang w:eastAsia="en-GB"/>
        </w:rPr>
        <w:t>voznog parka s niskim ili bez emisija.</w:t>
      </w:r>
    </w:p>
    <w:p w14:paraId="6227D832"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2D9DD9D2" w14:textId="77777777"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sidRPr="005B687C">
        <w:rPr>
          <w:rFonts w:ascii="Arial" w:hAnsi="Arial" w:cs="Arial"/>
          <w:color w:val="000000"/>
          <w:sz w:val="22"/>
          <w:szCs w:val="22"/>
          <w:lang w:eastAsia="en-GB"/>
        </w:rPr>
        <w:t>Financijska sredstva za provedbu ovih aktivnosti planira</w:t>
      </w:r>
      <w:r>
        <w:rPr>
          <w:rFonts w:ascii="Arial" w:hAnsi="Arial" w:cs="Arial"/>
          <w:color w:val="000000"/>
          <w:sz w:val="22"/>
          <w:szCs w:val="22"/>
          <w:lang w:eastAsia="en-GB"/>
        </w:rPr>
        <w:t>ju</w:t>
      </w:r>
      <w:r w:rsidRPr="005B687C">
        <w:rPr>
          <w:rFonts w:ascii="Arial" w:hAnsi="Arial" w:cs="Arial"/>
          <w:color w:val="000000"/>
          <w:sz w:val="22"/>
          <w:szCs w:val="22"/>
          <w:lang w:eastAsia="en-GB"/>
        </w:rPr>
        <w:t xml:space="preserve"> </w:t>
      </w:r>
      <w:r>
        <w:rPr>
          <w:rFonts w:ascii="Arial" w:hAnsi="Arial" w:cs="Arial"/>
          <w:color w:val="000000"/>
          <w:sz w:val="22"/>
          <w:szCs w:val="22"/>
          <w:lang w:eastAsia="en-GB"/>
        </w:rPr>
        <w:t>nadležna ministarstva (</w:t>
      </w:r>
      <w:r w:rsidRPr="00E32735">
        <w:rPr>
          <w:rFonts w:ascii="Arial" w:hAnsi="Arial" w:cs="Arial"/>
          <w:color w:val="000000"/>
          <w:sz w:val="22"/>
          <w:szCs w:val="22"/>
          <w:lang w:eastAsia="en-GB"/>
        </w:rPr>
        <w:t>za prometnu infrastrukturu, za energetiku, za unutarnje poslove, za graditeljstvo i prostorno uređenje i za zaštitu okoliša</w:t>
      </w:r>
      <w:r>
        <w:rPr>
          <w:rFonts w:ascii="Arial" w:hAnsi="Arial" w:cs="Arial"/>
          <w:color w:val="000000"/>
          <w:sz w:val="22"/>
          <w:szCs w:val="22"/>
          <w:lang w:eastAsia="en-GB"/>
        </w:rPr>
        <w:t xml:space="preserve">) </w:t>
      </w:r>
      <w:r w:rsidRPr="005B687C">
        <w:rPr>
          <w:rFonts w:ascii="Arial" w:hAnsi="Arial" w:cs="Arial"/>
          <w:color w:val="000000"/>
          <w:sz w:val="22"/>
          <w:szCs w:val="22"/>
          <w:lang w:eastAsia="en-GB"/>
        </w:rPr>
        <w:t>u okviru svojih godišnjih proračuna, kao sastavni dio svojih redovnih aktivnosti.</w:t>
      </w:r>
    </w:p>
    <w:p w14:paraId="1BBA1719"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Državni proračun (nadležna ministarstva)</w:t>
      </w:r>
    </w:p>
    <w:p w14:paraId="4D14CA56" w14:textId="18739DC7"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nadležna ministarstva</w:t>
      </w:r>
    </w:p>
    <w:p w14:paraId="31A31E2F"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r>
        <w:rPr>
          <w:rFonts w:ascii="Arial" w:hAnsi="Arial" w:cs="Arial"/>
          <w:color w:val="000000"/>
          <w:sz w:val="22"/>
          <w:szCs w:val="22"/>
          <w:lang w:eastAsia="en-GB"/>
        </w:rPr>
        <w:t xml:space="preserve"> te ostala nadležna ministarstva</w:t>
      </w:r>
    </w:p>
    <w:p w14:paraId="59C9BBDA" w14:textId="77777777" w:rsidR="0012721C" w:rsidRPr="00BE6952" w:rsidRDefault="0012721C" w:rsidP="0012721C">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 xml:space="preserve">Učinak: </w:t>
      </w:r>
      <w:r w:rsidRPr="00E32735">
        <w:rPr>
          <w:rFonts w:ascii="Arial" w:hAnsi="Arial" w:cs="Arial"/>
          <w:color w:val="000000"/>
          <w:sz w:val="22"/>
          <w:szCs w:val="22"/>
          <w:lang w:eastAsia="en-GB"/>
        </w:rPr>
        <w:t>Akceleracija razvoja tržišta alternativnih energenata</w:t>
      </w:r>
      <w:r>
        <w:rPr>
          <w:rFonts w:ascii="Arial" w:hAnsi="Arial" w:cs="Arial"/>
          <w:color w:val="000000"/>
          <w:sz w:val="22"/>
          <w:szCs w:val="22"/>
          <w:lang w:eastAsia="en-GB"/>
        </w:rPr>
        <w:t>, p</w:t>
      </w:r>
      <w:r w:rsidRPr="00E32735">
        <w:rPr>
          <w:rFonts w:ascii="Arial" w:hAnsi="Arial" w:cs="Arial"/>
          <w:color w:val="000000"/>
          <w:sz w:val="22"/>
          <w:szCs w:val="22"/>
          <w:lang w:eastAsia="en-GB"/>
        </w:rPr>
        <w:t>ovećanje udjela OIE u finalnoj potrošnji energije u prometu</w:t>
      </w:r>
      <w:r>
        <w:rPr>
          <w:rFonts w:ascii="Arial" w:hAnsi="Arial" w:cs="Arial"/>
          <w:color w:val="000000"/>
          <w:sz w:val="22"/>
          <w:szCs w:val="22"/>
          <w:lang w:eastAsia="en-GB"/>
        </w:rPr>
        <w:t>, p</w:t>
      </w:r>
      <w:r w:rsidRPr="00E32735">
        <w:rPr>
          <w:rFonts w:ascii="Arial" w:hAnsi="Arial" w:cs="Arial"/>
          <w:color w:val="000000"/>
          <w:sz w:val="22"/>
          <w:szCs w:val="22"/>
          <w:lang w:eastAsia="en-GB"/>
        </w:rPr>
        <w:t>ovećanje udjela čistih vozila u cestovnom prijevozu</w:t>
      </w:r>
    </w:p>
    <w:p w14:paraId="2B387EAD" w14:textId="6DE37B3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sidRPr="00E32735">
        <w:rPr>
          <w:rFonts w:ascii="Arial" w:hAnsi="Arial" w:cs="Arial"/>
          <w:color w:val="000000"/>
          <w:sz w:val="22"/>
          <w:szCs w:val="22"/>
          <w:lang w:eastAsia="en-GB"/>
        </w:rPr>
        <w:t>Izvješća o količini OIE stavljeno na tržište u prometnom sektoru</w:t>
      </w:r>
      <w:r w:rsidR="002C30A5">
        <w:rPr>
          <w:rFonts w:ascii="Arial" w:hAnsi="Arial" w:cs="Arial"/>
          <w:color w:val="000000"/>
          <w:sz w:val="22"/>
          <w:szCs w:val="22"/>
          <w:lang w:eastAsia="en-GB"/>
        </w:rPr>
        <w:t xml:space="preserve">, izvješća o </w:t>
      </w:r>
      <w:r w:rsidR="00F65FE0">
        <w:rPr>
          <w:rFonts w:ascii="Arial" w:hAnsi="Arial" w:cs="Arial"/>
          <w:color w:val="000000"/>
          <w:sz w:val="22"/>
          <w:szCs w:val="22"/>
          <w:lang w:eastAsia="en-GB"/>
        </w:rPr>
        <w:t>potrošnji energije u prometu</w:t>
      </w:r>
    </w:p>
    <w:p w14:paraId="31607C94"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w:t>
      </w:r>
    </w:p>
    <w:p w14:paraId="5D98096A"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2CAE0492" w14:textId="26789224" w:rsidR="0012721C" w:rsidRPr="00BE6952" w:rsidRDefault="0012721C" w:rsidP="0012721C">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Održiva mobilnost i alternativna goriva u prijevozu zahtijevaju razvoj novih tehnologija i to u domeni vozila, infrastrukture i naprednih sustava upravljanja temeljenim na informacijsko-komunikacijskim tehnologijama.</w:t>
      </w:r>
      <w:r w:rsidR="00E223DA">
        <w:rPr>
          <w:rFonts w:ascii="Arial" w:hAnsi="Arial" w:cs="Arial"/>
          <w:color w:val="000000"/>
          <w:sz w:val="22"/>
          <w:szCs w:val="22"/>
          <w:lang w:eastAsia="en-GB"/>
        </w:rPr>
        <w:t xml:space="preserve"> </w:t>
      </w:r>
    </w:p>
    <w:p w14:paraId="09BCF997" w14:textId="77777777" w:rsidR="00E223DA" w:rsidRDefault="00E223DA" w:rsidP="00E223DA">
      <w:pPr>
        <w:pStyle w:val="NormalWeb"/>
        <w:spacing w:after="120" w:line="288" w:lineRule="auto"/>
        <w:jc w:val="both"/>
        <w:rPr>
          <w:rFonts w:ascii="Arial" w:hAnsi="Arial" w:cs="Arial"/>
          <w:b/>
          <w:bCs/>
          <w:color w:val="000000"/>
          <w:sz w:val="22"/>
          <w:szCs w:val="22"/>
        </w:rPr>
      </w:pPr>
    </w:p>
    <w:p w14:paraId="646E64CB" w14:textId="3806F58A" w:rsidR="0012721C" w:rsidRDefault="00DC15AF" w:rsidP="00286B4C">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TR-6</w:t>
      </w:r>
      <w:r w:rsidR="0012721C" w:rsidRPr="005B687C">
        <w:rPr>
          <w:rFonts w:ascii="Arial" w:hAnsi="Arial" w:cs="Arial"/>
          <w:b/>
          <w:bCs/>
          <w:color w:val="000000"/>
          <w:sz w:val="22"/>
          <w:szCs w:val="22"/>
        </w:rPr>
        <w:t>:</w:t>
      </w:r>
      <w:r w:rsidR="00E223DA">
        <w:rPr>
          <w:rFonts w:ascii="Arial" w:hAnsi="Arial" w:cs="Arial"/>
          <w:b/>
          <w:bCs/>
          <w:color w:val="000000"/>
          <w:sz w:val="22"/>
          <w:szCs w:val="22"/>
        </w:rPr>
        <w:t xml:space="preserve"> </w:t>
      </w:r>
      <w:r w:rsidR="0012721C" w:rsidRPr="000C77AA">
        <w:rPr>
          <w:rFonts w:ascii="Arial" w:hAnsi="Arial" w:cs="Arial"/>
          <w:b/>
          <w:bCs/>
          <w:color w:val="000000"/>
          <w:sz w:val="22"/>
          <w:szCs w:val="22"/>
        </w:rPr>
        <w:t>Financijski poticaji za energetski učinkovita vozila</w:t>
      </w:r>
    </w:p>
    <w:p w14:paraId="7A1DA4F9" w14:textId="77777777" w:rsidR="0012721C" w:rsidRPr="00ED5A38" w:rsidRDefault="0012721C" w:rsidP="00286B4C">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Financijska</w:t>
      </w:r>
      <w:r w:rsidRPr="005B687C">
        <w:rPr>
          <w:rFonts w:ascii="Arial" w:hAnsi="Arial" w:cs="Arial"/>
          <w:b/>
          <w:bCs/>
          <w:color w:val="000000"/>
          <w:sz w:val="22"/>
          <w:szCs w:val="22"/>
        </w:rPr>
        <w:t xml:space="preserve"> mjera; provedba </w:t>
      </w:r>
      <w:r>
        <w:rPr>
          <w:rFonts w:ascii="Arial" w:hAnsi="Arial" w:cs="Arial"/>
          <w:b/>
          <w:bCs/>
          <w:color w:val="000000"/>
          <w:sz w:val="22"/>
          <w:szCs w:val="22"/>
        </w:rPr>
        <w:t>2014</w:t>
      </w:r>
      <w:r w:rsidRPr="005B687C">
        <w:rPr>
          <w:rFonts w:ascii="Arial" w:hAnsi="Arial" w:cs="Arial"/>
          <w:b/>
          <w:bCs/>
          <w:color w:val="000000"/>
          <w:sz w:val="22"/>
          <w:szCs w:val="22"/>
        </w:rPr>
        <w:t xml:space="preserve">. – 2030. </w:t>
      </w:r>
    </w:p>
    <w:p w14:paraId="5E4ECD81" w14:textId="4BA99BBC" w:rsidR="0012721C" w:rsidRDefault="0012721C" w:rsidP="0012721C">
      <w:pPr>
        <w:pStyle w:val="NormalWeb"/>
        <w:spacing w:before="0" w:after="0"/>
        <w:jc w:val="both"/>
        <w:rPr>
          <w:rFonts w:ascii="Arial" w:hAnsi="Arial" w:cs="Arial"/>
          <w:color w:val="000000"/>
          <w:sz w:val="22"/>
          <w:szCs w:val="22"/>
          <w:lang w:eastAsia="en-GB"/>
        </w:rPr>
      </w:pPr>
      <w:r w:rsidRPr="00BE6952">
        <w:rPr>
          <w:rFonts w:ascii="Arial" w:hAnsi="Arial" w:cs="Arial"/>
          <w:b/>
          <w:bCs/>
          <w:color w:val="000000"/>
          <w:sz w:val="22"/>
          <w:szCs w:val="22"/>
          <w:lang w:eastAsia="en-GB"/>
        </w:rPr>
        <w:t>Cilj i opis mjere:</w:t>
      </w:r>
      <w:r w:rsidRPr="00BE6952">
        <w:rPr>
          <w:rFonts w:ascii="Arial" w:hAnsi="Arial" w:cs="Arial"/>
          <w:color w:val="000000"/>
          <w:sz w:val="22"/>
          <w:szCs w:val="22"/>
          <w:lang w:eastAsia="en-GB"/>
        </w:rPr>
        <w:t xml:space="preserve"> </w:t>
      </w:r>
      <w:r w:rsidRPr="000C77AA">
        <w:rPr>
          <w:rFonts w:ascii="Arial" w:hAnsi="Arial" w:cs="Arial"/>
          <w:color w:val="000000"/>
          <w:sz w:val="22"/>
          <w:szCs w:val="22"/>
          <w:lang w:eastAsia="en-GB"/>
        </w:rPr>
        <w:t xml:space="preserve">U kontekstu sufinanciranja projekata čišćeg prometa, potrebno je definirati posebne linije sufinanciranja za specifične namjene i to za kupnju vozila </w:t>
      </w:r>
      <w:r w:rsidR="00BD5F02">
        <w:rPr>
          <w:rFonts w:ascii="Arial" w:hAnsi="Arial" w:cs="Arial"/>
          <w:color w:val="000000"/>
          <w:sz w:val="22"/>
          <w:szCs w:val="22"/>
          <w:lang w:eastAsia="en-GB"/>
        </w:rPr>
        <w:t>svih kategorija</w:t>
      </w:r>
      <w:r w:rsidRPr="000C77AA">
        <w:rPr>
          <w:rFonts w:ascii="Arial" w:hAnsi="Arial" w:cs="Arial"/>
          <w:color w:val="000000"/>
          <w:sz w:val="22"/>
          <w:szCs w:val="22"/>
          <w:lang w:eastAsia="en-GB"/>
        </w:rPr>
        <w:t xml:space="preserve"> s pogonom na električnu energiju, SPP</w:t>
      </w:r>
      <w:r w:rsidR="000B3986">
        <w:rPr>
          <w:rFonts w:ascii="Arial" w:hAnsi="Arial" w:cs="Arial"/>
          <w:color w:val="000000"/>
          <w:sz w:val="22"/>
          <w:szCs w:val="22"/>
          <w:lang w:eastAsia="en-GB"/>
        </w:rPr>
        <w:t>/</w:t>
      </w:r>
      <w:r w:rsidR="00F54839">
        <w:rPr>
          <w:rFonts w:ascii="Arial" w:hAnsi="Arial" w:cs="Arial"/>
          <w:color w:val="000000"/>
          <w:sz w:val="22"/>
          <w:szCs w:val="22"/>
          <w:lang w:eastAsia="en-GB"/>
        </w:rPr>
        <w:t>SBP,</w:t>
      </w:r>
      <w:r w:rsidR="000B3986">
        <w:rPr>
          <w:rFonts w:ascii="Arial" w:hAnsi="Arial" w:cs="Arial"/>
          <w:color w:val="000000"/>
          <w:sz w:val="22"/>
          <w:szCs w:val="22"/>
          <w:lang w:eastAsia="en-GB"/>
        </w:rPr>
        <w:t xml:space="preserve"> </w:t>
      </w:r>
      <w:r w:rsidRPr="000C77AA">
        <w:rPr>
          <w:rFonts w:ascii="Arial" w:hAnsi="Arial" w:cs="Arial"/>
          <w:color w:val="000000"/>
          <w:sz w:val="22"/>
          <w:szCs w:val="22"/>
          <w:lang w:eastAsia="en-GB"/>
        </w:rPr>
        <w:t>UPP</w:t>
      </w:r>
      <w:r w:rsidR="000B3986">
        <w:rPr>
          <w:rFonts w:ascii="Arial" w:hAnsi="Arial" w:cs="Arial"/>
          <w:color w:val="000000"/>
          <w:sz w:val="22"/>
          <w:szCs w:val="22"/>
          <w:lang w:eastAsia="en-GB"/>
        </w:rPr>
        <w:t>/UBP</w:t>
      </w:r>
      <w:r w:rsidRPr="000C77AA">
        <w:rPr>
          <w:rFonts w:ascii="Arial" w:hAnsi="Arial" w:cs="Arial"/>
          <w:color w:val="000000"/>
          <w:sz w:val="22"/>
          <w:szCs w:val="22"/>
          <w:lang w:eastAsia="en-GB"/>
        </w:rPr>
        <w:t xml:space="preserve"> i vodik. Poticajne mjere sufinanciranja nabave vozila trebaju se provoditi konzistentno</w:t>
      </w:r>
      <w:r w:rsidR="00CF2CF1">
        <w:rPr>
          <w:rFonts w:ascii="Arial" w:hAnsi="Arial" w:cs="Arial"/>
          <w:color w:val="000000"/>
          <w:sz w:val="22"/>
          <w:szCs w:val="22"/>
          <w:lang w:eastAsia="en-GB"/>
        </w:rPr>
        <w:t>, transparentno</w:t>
      </w:r>
      <w:r w:rsidRPr="000C77AA">
        <w:rPr>
          <w:rFonts w:ascii="Arial" w:hAnsi="Arial" w:cs="Arial"/>
          <w:color w:val="000000"/>
          <w:sz w:val="22"/>
          <w:szCs w:val="22"/>
          <w:lang w:eastAsia="en-GB"/>
        </w:rPr>
        <w:t xml:space="preserve"> i kontinuirano, a bit će prvenstveno orijentirane na alternativna goriva za koja je procjena postojećeg stanja pokazala neznatnu zastupljenost vozila u ukupnom broju vozila, te će biti vremenski ograničene do trenutka kad praćenje stanja pokaže minimalnu zastupljenost vozila. Minimalnim stupnjem pokrenutosti tržišta smatrat će se udio od 1 posto vozila na određeno alternativno gorivo u ukupnom broju vozila registriranih u državi.</w:t>
      </w:r>
      <w:r>
        <w:rPr>
          <w:rFonts w:ascii="Arial" w:hAnsi="Arial" w:cs="Arial"/>
          <w:color w:val="000000"/>
          <w:sz w:val="22"/>
          <w:szCs w:val="22"/>
          <w:lang w:eastAsia="en-GB"/>
        </w:rPr>
        <w:t xml:space="preserve"> </w:t>
      </w:r>
    </w:p>
    <w:p w14:paraId="102EC12E" w14:textId="070A9ABC"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aktivnosti</w:t>
      </w:r>
      <w:r>
        <w:rPr>
          <w:rFonts w:ascii="Arial" w:hAnsi="Arial" w:cs="Arial"/>
          <w:color w:val="000000"/>
          <w:sz w:val="22"/>
          <w:szCs w:val="22"/>
          <w:lang w:eastAsia="en-GB"/>
        </w:rPr>
        <w:t xml:space="preserve"> sufinanciranja energetski učinkovitih vozila putem javnih poziva FZOEU-a.</w:t>
      </w:r>
      <w:r w:rsidR="00E223DA">
        <w:rPr>
          <w:rFonts w:ascii="Arial" w:hAnsi="Arial" w:cs="Arial"/>
          <w:color w:val="000000"/>
          <w:sz w:val="22"/>
          <w:szCs w:val="22"/>
          <w:lang w:eastAsia="en-GB"/>
        </w:rPr>
        <w:t xml:space="preserve"> </w:t>
      </w:r>
    </w:p>
    <w:p w14:paraId="6CB5CA17"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1516C008" w14:textId="44C86851"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sidR="00B83139">
        <w:rPr>
          <w:rFonts w:ascii="Arial" w:hAnsi="Arial" w:cs="Arial"/>
          <w:sz w:val="22"/>
          <w:szCs w:val="22"/>
        </w:rPr>
        <w:t>900</w:t>
      </w:r>
      <w:r w:rsidRPr="00BD3F29">
        <w:rPr>
          <w:rFonts w:ascii="Arial" w:hAnsi="Arial" w:cs="Arial"/>
          <w:sz w:val="22"/>
          <w:szCs w:val="22"/>
        </w:rPr>
        <w:t xml:space="preserve"> milijuna kuna</w:t>
      </w:r>
    </w:p>
    <w:p w14:paraId="24D1A722" w14:textId="770782A8"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 xml:space="preserve">FZOEU iz </w:t>
      </w:r>
      <w:r w:rsidRPr="00BD3F29">
        <w:rPr>
          <w:rFonts w:ascii="Arial" w:hAnsi="Arial" w:cs="Arial"/>
          <w:color w:val="000000"/>
          <w:sz w:val="22"/>
          <w:szCs w:val="22"/>
          <w:lang w:eastAsia="en-GB"/>
        </w:rPr>
        <w:t>sredst</w:t>
      </w:r>
      <w:r>
        <w:rPr>
          <w:rFonts w:ascii="Arial" w:hAnsi="Arial" w:cs="Arial"/>
          <w:color w:val="000000"/>
          <w:sz w:val="22"/>
          <w:szCs w:val="22"/>
          <w:lang w:eastAsia="en-GB"/>
        </w:rPr>
        <w:t>a</w:t>
      </w:r>
      <w:r w:rsidRPr="00BD3F29">
        <w:rPr>
          <w:rFonts w:ascii="Arial" w:hAnsi="Arial" w:cs="Arial"/>
          <w:color w:val="000000"/>
          <w:sz w:val="22"/>
          <w:szCs w:val="22"/>
          <w:lang w:eastAsia="en-GB"/>
        </w:rPr>
        <w:t>va stečenim od prodaje emisijskih jedinica putem dražbe</w:t>
      </w:r>
      <w:r w:rsidR="005F6684">
        <w:rPr>
          <w:rFonts w:ascii="Arial" w:hAnsi="Arial" w:cs="Arial"/>
          <w:color w:val="000000"/>
          <w:sz w:val="22"/>
          <w:szCs w:val="22"/>
          <w:lang w:eastAsia="en-GB"/>
        </w:rPr>
        <w:t xml:space="preserve">, </w:t>
      </w:r>
      <w:r w:rsidR="005506C1">
        <w:rPr>
          <w:rFonts w:ascii="Arial" w:hAnsi="Arial" w:cs="Arial"/>
          <w:color w:val="000000"/>
          <w:sz w:val="22"/>
          <w:szCs w:val="22"/>
          <w:lang w:eastAsia="en-GB"/>
        </w:rPr>
        <w:t xml:space="preserve">iz sredstava </w:t>
      </w:r>
      <w:r w:rsidR="004255E3">
        <w:rPr>
          <w:rFonts w:ascii="Arial" w:hAnsi="Arial" w:cs="Arial"/>
          <w:color w:val="000000"/>
          <w:sz w:val="22"/>
          <w:szCs w:val="22"/>
          <w:lang w:eastAsia="en-GB"/>
        </w:rPr>
        <w:t>prikupljenih od posebne naknade za vozila</w:t>
      </w:r>
      <w:r w:rsidR="00D06CD3">
        <w:rPr>
          <w:rFonts w:ascii="Arial" w:hAnsi="Arial" w:cs="Arial"/>
          <w:color w:val="000000"/>
          <w:sz w:val="22"/>
          <w:szCs w:val="22"/>
          <w:lang w:eastAsia="en-GB"/>
        </w:rPr>
        <w:t xml:space="preserve"> te od </w:t>
      </w:r>
      <w:r w:rsidR="005F6684">
        <w:rPr>
          <w:rFonts w:ascii="Arial" w:hAnsi="Arial" w:cs="Arial"/>
          <w:color w:val="000000"/>
          <w:sz w:val="22"/>
          <w:szCs w:val="22"/>
          <w:lang w:eastAsia="en-GB"/>
        </w:rPr>
        <w:t>p</w:t>
      </w:r>
      <w:r w:rsidR="005F6684" w:rsidRPr="005F6684">
        <w:rPr>
          <w:rFonts w:ascii="Arial" w:hAnsi="Arial" w:cs="Arial"/>
          <w:color w:val="000000"/>
          <w:sz w:val="22"/>
          <w:szCs w:val="22"/>
          <w:lang w:eastAsia="en-GB"/>
        </w:rPr>
        <w:t>osebn</w:t>
      </w:r>
      <w:r w:rsidR="005F6684">
        <w:rPr>
          <w:rFonts w:ascii="Arial" w:hAnsi="Arial" w:cs="Arial"/>
          <w:color w:val="000000"/>
          <w:sz w:val="22"/>
          <w:szCs w:val="22"/>
          <w:lang w:eastAsia="en-GB"/>
        </w:rPr>
        <w:t>e</w:t>
      </w:r>
      <w:r w:rsidR="005F6684" w:rsidRPr="005F6684">
        <w:rPr>
          <w:rFonts w:ascii="Arial" w:hAnsi="Arial" w:cs="Arial"/>
          <w:color w:val="000000"/>
          <w:sz w:val="22"/>
          <w:szCs w:val="22"/>
          <w:lang w:eastAsia="en-GB"/>
        </w:rPr>
        <w:t xml:space="preserve"> naknad</w:t>
      </w:r>
      <w:r w:rsidR="005F6684">
        <w:rPr>
          <w:rFonts w:ascii="Arial" w:hAnsi="Arial" w:cs="Arial"/>
          <w:color w:val="000000"/>
          <w:sz w:val="22"/>
          <w:szCs w:val="22"/>
          <w:lang w:eastAsia="en-GB"/>
        </w:rPr>
        <w:t>e</w:t>
      </w:r>
      <w:r w:rsidR="005F6684" w:rsidRPr="005F6684">
        <w:rPr>
          <w:rFonts w:ascii="Arial" w:hAnsi="Arial" w:cs="Arial"/>
          <w:color w:val="000000"/>
          <w:sz w:val="22"/>
          <w:szCs w:val="22"/>
          <w:lang w:eastAsia="en-GB"/>
        </w:rPr>
        <w:t xml:space="preserve"> za okoliš radi nestavljanja biogoriva na tržište</w:t>
      </w:r>
      <w:r w:rsidR="00D32FC3">
        <w:rPr>
          <w:rFonts w:ascii="Arial" w:hAnsi="Arial" w:cs="Arial"/>
          <w:color w:val="000000"/>
          <w:sz w:val="22"/>
          <w:szCs w:val="22"/>
          <w:lang w:eastAsia="en-GB"/>
        </w:rPr>
        <w:t>, ESI fondov</w:t>
      </w:r>
      <w:r w:rsidR="00120C1A">
        <w:rPr>
          <w:rFonts w:ascii="Arial" w:hAnsi="Arial" w:cs="Arial"/>
          <w:color w:val="000000"/>
          <w:sz w:val="22"/>
          <w:szCs w:val="22"/>
          <w:lang w:eastAsia="en-GB"/>
        </w:rPr>
        <w:t>i</w:t>
      </w:r>
    </w:p>
    <w:p w14:paraId="1A058DFC" w14:textId="3CDEDF56"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FZOEU</w:t>
      </w:r>
    </w:p>
    <w:p w14:paraId="6224ACB9"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r>
        <w:rPr>
          <w:rFonts w:ascii="Arial" w:hAnsi="Arial" w:cs="Arial"/>
          <w:color w:val="000000"/>
          <w:sz w:val="22"/>
          <w:szCs w:val="22"/>
          <w:lang w:eastAsia="en-GB"/>
        </w:rPr>
        <w:t xml:space="preserve"> </w:t>
      </w:r>
    </w:p>
    <w:p w14:paraId="34032D8B" w14:textId="1D2E60D4" w:rsidR="0012721C" w:rsidRPr="00BD3F29" w:rsidRDefault="0012721C" w:rsidP="0012721C">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 xml:space="preserve">Učinak: </w:t>
      </w:r>
      <w:r w:rsidR="007E04BF" w:rsidRPr="005B687C">
        <w:rPr>
          <w:rFonts w:ascii="Arial" w:hAnsi="Arial" w:cs="Arial"/>
          <w:color w:val="000000"/>
          <w:sz w:val="22"/>
          <w:szCs w:val="22"/>
          <w:lang w:eastAsia="en-GB"/>
        </w:rPr>
        <w:t>Ušteda energije</w:t>
      </w:r>
      <w:r w:rsidR="007E04BF">
        <w:rPr>
          <w:rFonts w:ascii="Arial" w:hAnsi="Arial" w:cs="Arial"/>
          <w:color w:val="000000"/>
          <w:sz w:val="22"/>
          <w:szCs w:val="22"/>
          <w:lang w:eastAsia="en-GB"/>
        </w:rPr>
        <w:t>,</w:t>
      </w:r>
      <w:r w:rsidR="007E04BF" w:rsidRPr="005B687C">
        <w:rPr>
          <w:rFonts w:ascii="Arial" w:hAnsi="Arial" w:cs="Arial"/>
          <w:color w:val="000000"/>
          <w:sz w:val="22"/>
          <w:szCs w:val="22"/>
          <w:lang w:eastAsia="en-GB"/>
        </w:rPr>
        <w:t xml:space="preserve"> smanjenje emisije CO</w:t>
      </w:r>
      <w:r w:rsidR="007E04BF" w:rsidRPr="005B687C">
        <w:rPr>
          <w:rFonts w:ascii="Arial" w:hAnsi="Arial" w:cs="Arial"/>
          <w:color w:val="000000"/>
          <w:sz w:val="22"/>
          <w:szCs w:val="22"/>
          <w:vertAlign w:val="subscript"/>
          <w:lang w:eastAsia="en-GB"/>
        </w:rPr>
        <w:t>2e</w:t>
      </w:r>
      <w:r w:rsidR="007E04BF" w:rsidRPr="009A1A78">
        <w:rPr>
          <w:rFonts w:ascii="Arial" w:hAnsi="Arial" w:cs="Arial"/>
          <w:color w:val="000000"/>
          <w:sz w:val="22"/>
          <w:szCs w:val="22"/>
          <w:lang w:eastAsia="en-GB"/>
        </w:rPr>
        <w:t xml:space="preserve"> te smanjenje emisija onečišćujućih tvari</w:t>
      </w:r>
      <w:r w:rsidR="007E04BF" w:rsidRPr="000C77AA" w:rsidDel="007E04BF">
        <w:rPr>
          <w:rFonts w:ascii="Arial" w:hAnsi="Arial" w:cs="Arial"/>
          <w:color w:val="000000"/>
          <w:sz w:val="22"/>
          <w:szCs w:val="22"/>
          <w:lang w:eastAsia="en-GB"/>
        </w:rPr>
        <w:t xml:space="preserve"> </w:t>
      </w:r>
      <w:r>
        <w:rPr>
          <w:rFonts w:ascii="Arial" w:hAnsi="Arial" w:cs="Arial"/>
          <w:color w:val="000000"/>
          <w:sz w:val="22"/>
          <w:szCs w:val="22"/>
          <w:lang w:eastAsia="en-GB"/>
        </w:rPr>
        <w:t xml:space="preserve">; </w:t>
      </w:r>
      <w:r w:rsidRPr="00BD3F29">
        <w:rPr>
          <w:rFonts w:ascii="Arial" w:hAnsi="Arial" w:cs="Arial"/>
          <w:color w:val="000000"/>
          <w:sz w:val="22"/>
          <w:szCs w:val="22"/>
          <w:lang w:eastAsia="en-GB"/>
        </w:rPr>
        <w:t xml:space="preserve">procijenjene uštede u 2030. </w:t>
      </w:r>
      <w:r w:rsidRPr="0092419E">
        <w:rPr>
          <w:rFonts w:ascii="Arial" w:hAnsi="Arial" w:cs="Arial"/>
          <w:color w:val="000000"/>
          <w:sz w:val="22"/>
          <w:szCs w:val="22"/>
          <w:lang w:eastAsia="en-GB"/>
        </w:rPr>
        <w:t>0,25 PJ (smanjenje potrošnje motornog benzina i dizelskog goriva) i 0,1 PJ (povećanje potrošnje električne energije)</w:t>
      </w:r>
      <w:r w:rsidRPr="00BD3F29">
        <w:rPr>
          <w:rFonts w:ascii="Arial" w:hAnsi="Arial" w:cs="Arial"/>
          <w:color w:val="000000"/>
          <w:sz w:val="22"/>
          <w:szCs w:val="22"/>
          <w:lang w:eastAsia="en-GB"/>
        </w:rPr>
        <w:t>; procijenjeno smanjenje emisija CO</w:t>
      </w:r>
      <w:r w:rsidRPr="00BD3F29">
        <w:rPr>
          <w:rFonts w:ascii="Arial" w:hAnsi="Arial" w:cs="Arial"/>
          <w:color w:val="000000"/>
          <w:sz w:val="22"/>
          <w:szCs w:val="22"/>
          <w:vertAlign w:val="subscript"/>
          <w:lang w:eastAsia="en-GB"/>
        </w:rPr>
        <w:t>2</w:t>
      </w:r>
      <w:r w:rsidRPr="00BD3F29">
        <w:rPr>
          <w:rFonts w:ascii="Arial" w:hAnsi="Arial" w:cs="Arial"/>
          <w:color w:val="000000"/>
          <w:sz w:val="22"/>
          <w:szCs w:val="22"/>
          <w:lang w:eastAsia="en-GB"/>
        </w:rPr>
        <w:t xml:space="preserve"> u 2030. </w:t>
      </w:r>
      <w:r w:rsidRPr="0092419E">
        <w:rPr>
          <w:rFonts w:ascii="Arial" w:hAnsi="Arial" w:cs="Arial"/>
          <w:color w:val="000000"/>
          <w:sz w:val="22"/>
          <w:szCs w:val="22"/>
          <w:lang w:eastAsia="en-GB"/>
        </w:rPr>
        <w:t>18,3</w:t>
      </w:r>
      <w:r w:rsidR="00E223DA">
        <w:rPr>
          <w:rFonts w:ascii="Arial" w:hAnsi="Arial" w:cs="Arial"/>
          <w:color w:val="000000"/>
          <w:sz w:val="22"/>
          <w:szCs w:val="22"/>
          <w:lang w:eastAsia="en-GB"/>
        </w:rPr>
        <w:t xml:space="preserve"> </w:t>
      </w:r>
      <w:r w:rsidRPr="0092419E">
        <w:rPr>
          <w:rFonts w:ascii="Arial" w:hAnsi="Arial" w:cs="Arial"/>
          <w:color w:val="000000"/>
          <w:sz w:val="22"/>
          <w:szCs w:val="22"/>
          <w:lang w:eastAsia="en-GB"/>
        </w:rPr>
        <w:t>kt</w:t>
      </w:r>
      <w:r w:rsidRPr="00BD3F29">
        <w:rPr>
          <w:rFonts w:ascii="Arial" w:hAnsi="Arial" w:cs="Arial"/>
          <w:color w:val="000000"/>
          <w:sz w:val="22"/>
          <w:szCs w:val="22"/>
          <w:lang w:eastAsia="en-GB"/>
        </w:rPr>
        <w:t>CO</w:t>
      </w:r>
      <w:r w:rsidRPr="00BD3F29">
        <w:rPr>
          <w:rFonts w:ascii="Arial" w:hAnsi="Arial" w:cs="Arial"/>
          <w:color w:val="000000"/>
          <w:sz w:val="22"/>
          <w:szCs w:val="22"/>
          <w:vertAlign w:val="subscript"/>
          <w:lang w:eastAsia="en-GB"/>
        </w:rPr>
        <w:t>2e</w:t>
      </w:r>
      <w:r w:rsidRPr="00BD3F29">
        <w:rPr>
          <w:rFonts w:ascii="Arial" w:hAnsi="Arial" w:cs="Arial"/>
          <w:color w:val="000000"/>
          <w:sz w:val="22"/>
          <w:szCs w:val="22"/>
          <w:lang w:eastAsia="en-GB"/>
        </w:rPr>
        <w:t>; kumulativne uštede energije u razdoblju 2021.-2030.</w:t>
      </w:r>
      <w:r>
        <w:rPr>
          <w:rFonts w:ascii="Arial" w:hAnsi="Arial" w:cs="Arial"/>
          <w:color w:val="000000"/>
          <w:sz w:val="22"/>
          <w:szCs w:val="22"/>
          <w:lang w:eastAsia="en-GB"/>
        </w:rPr>
        <w:t xml:space="preserve"> </w:t>
      </w:r>
      <w:r w:rsidRPr="0092419E">
        <w:rPr>
          <w:rFonts w:ascii="Arial" w:hAnsi="Arial" w:cs="Arial"/>
          <w:color w:val="000000"/>
          <w:sz w:val="22"/>
          <w:szCs w:val="22"/>
          <w:lang w:eastAsia="en-GB"/>
        </w:rPr>
        <w:t>1,39 PJ</w:t>
      </w:r>
      <w:r w:rsidRPr="00BD3F29">
        <w:rPr>
          <w:rFonts w:ascii="Arial" w:hAnsi="Arial" w:cs="Arial"/>
          <w:color w:val="000000"/>
          <w:sz w:val="22"/>
          <w:szCs w:val="22"/>
          <w:lang w:eastAsia="en-GB"/>
        </w:rPr>
        <w:t>; kumulativno smanjenje emisija CO</w:t>
      </w:r>
      <w:r w:rsidRPr="00BD3F29">
        <w:rPr>
          <w:rFonts w:ascii="Arial" w:hAnsi="Arial" w:cs="Arial"/>
          <w:color w:val="000000"/>
          <w:sz w:val="22"/>
          <w:szCs w:val="22"/>
          <w:vertAlign w:val="subscript"/>
          <w:lang w:eastAsia="en-GB"/>
        </w:rPr>
        <w:t>2</w:t>
      </w:r>
      <w:r w:rsidRPr="00BD3F29">
        <w:rPr>
          <w:rFonts w:ascii="Arial" w:hAnsi="Arial" w:cs="Arial"/>
          <w:color w:val="000000"/>
          <w:sz w:val="22"/>
          <w:szCs w:val="22"/>
          <w:lang w:eastAsia="en-GB"/>
        </w:rPr>
        <w:t xml:space="preserve"> u razdoblju 2021.-2030. </w:t>
      </w:r>
      <w:r w:rsidRPr="0092419E">
        <w:rPr>
          <w:rFonts w:ascii="Arial" w:hAnsi="Arial" w:cs="Arial"/>
          <w:color w:val="000000"/>
          <w:sz w:val="22"/>
          <w:szCs w:val="22"/>
          <w:lang w:eastAsia="en-GB"/>
        </w:rPr>
        <w:t xml:space="preserve">101,8 </w:t>
      </w:r>
      <w:r w:rsidRPr="00BD3F29">
        <w:rPr>
          <w:rFonts w:ascii="Arial" w:hAnsi="Arial" w:cs="Arial"/>
          <w:color w:val="000000"/>
          <w:sz w:val="22"/>
          <w:szCs w:val="22"/>
          <w:lang w:eastAsia="en-GB"/>
        </w:rPr>
        <w:t>ktCO</w:t>
      </w:r>
      <w:r w:rsidRPr="00BD3F29">
        <w:rPr>
          <w:rFonts w:ascii="Arial" w:hAnsi="Arial" w:cs="Arial"/>
          <w:color w:val="000000"/>
          <w:sz w:val="22"/>
          <w:szCs w:val="22"/>
          <w:vertAlign w:val="subscript"/>
          <w:lang w:eastAsia="en-GB"/>
        </w:rPr>
        <w:t>2e</w:t>
      </w:r>
    </w:p>
    <w:p w14:paraId="78F6FC64"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sidRPr="00BD3F29">
        <w:rPr>
          <w:rFonts w:ascii="Arial" w:hAnsi="Arial" w:cs="Arial"/>
          <w:color w:val="000000"/>
          <w:sz w:val="22"/>
          <w:szCs w:val="22"/>
          <w:lang w:eastAsia="en-GB"/>
        </w:rPr>
        <w:t>Ova mjera će se pratiti metodom procijene pomoću Sustava za praćenje, mjerenje i verifikaciju ušteda energije (SMIV).</w:t>
      </w:r>
    </w:p>
    <w:p w14:paraId="363D92CC"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w:t>
      </w:r>
    </w:p>
    <w:p w14:paraId="7335695C"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6317D2AD" w14:textId="0EF6EBFB" w:rsidR="0012721C" w:rsidRPr="00BE6952" w:rsidRDefault="0012721C" w:rsidP="0012721C">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Održiva mobilnost i alternativna goriva u prijevozu zahtijevaju razvoj novih tehnologija i to u domeni vozila, infrastrukture i naprednih sustava upravljanja temeljenim na informacijsko-komunikacijskim tehnologijama.</w:t>
      </w:r>
      <w:r w:rsidR="00622DB1">
        <w:rPr>
          <w:rFonts w:ascii="Arial" w:hAnsi="Arial" w:cs="Arial"/>
          <w:color w:val="000000"/>
          <w:sz w:val="22"/>
          <w:szCs w:val="22"/>
          <w:lang w:eastAsia="en-GB"/>
        </w:rPr>
        <w:t xml:space="preserve"> </w:t>
      </w:r>
    </w:p>
    <w:p w14:paraId="4B987F06" w14:textId="77777777" w:rsidR="0012721C" w:rsidRDefault="0012721C" w:rsidP="00286B4C">
      <w:pPr>
        <w:pStyle w:val="NormalWeb"/>
        <w:spacing w:after="120" w:line="288" w:lineRule="auto"/>
        <w:jc w:val="both"/>
        <w:rPr>
          <w:rFonts w:ascii="Arial" w:hAnsi="Arial" w:cs="Arial"/>
          <w:b/>
          <w:bCs/>
          <w:color w:val="000000"/>
          <w:sz w:val="22"/>
          <w:szCs w:val="22"/>
        </w:rPr>
      </w:pPr>
    </w:p>
    <w:p w14:paraId="344DDCE0" w14:textId="5A32AD83" w:rsidR="0012721C" w:rsidRDefault="00DC15AF" w:rsidP="00286B4C">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TR-7</w:t>
      </w:r>
      <w:r w:rsidR="0012721C" w:rsidRPr="005B687C">
        <w:rPr>
          <w:rFonts w:ascii="Arial" w:hAnsi="Arial" w:cs="Arial"/>
          <w:b/>
          <w:bCs/>
          <w:color w:val="000000"/>
          <w:sz w:val="22"/>
          <w:szCs w:val="22"/>
        </w:rPr>
        <w:t xml:space="preserve">: </w:t>
      </w:r>
      <w:r w:rsidR="0012721C" w:rsidRPr="00106EE3">
        <w:rPr>
          <w:rFonts w:ascii="Arial" w:hAnsi="Arial" w:cs="Arial"/>
          <w:b/>
          <w:bCs/>
          <w:color w:val="000000"/>
          <w:sz w:val="22"/>
          <w:szCs w:val="22"/>
        </w:rPr>
        <w:t>Razvoj infrastrukture za alternativna goriva</w:t>
      </w:r>
    </w:p>
    <w:p w14:paraId="2A1F5318" w14:textId="77777777" w:rsidR="0012721C" w:rsidRPr="00ED5A38" w:rsidRDefault="0012721C" w:rsidP="00286B4C">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Financijska</w:t>
      </w:r>
      <w:r w:rsidRPr="005B687C">
        <w:rPr>
          <w:rFonts w:ascii="Arial" w:hAnsi="Arial" w:cs="Arial"/>
          <w:b/>
          <w:bCs/>
          <w:color w:val="000000"/>
          <w:sz w:val="22"/>
          <w:szCs w:val="22"/>
        </w:rPr>
        <w:t xml:space="preserve"> mjera; provedba </w:t>
      </w:r>
      <w:r>
        <w:rPr>
          <w:rFonts w:ascii="Arial" w:hAnsi="Arial" w:cs="Arial"/>
          <w:b/>
          <w:bCs/>
          <w:color w:val="000000"/>
          <w:sz w:val="22"/>
          <w:szCs w:val="22"/>
        </w:rPr>
        <w:t>2019</w:t>
      </w:r>
      <w:r w:rsidRPr="005B687C">
        <w:rPr>
          <w:rFonts w:ascii="Arial" w:hAnsi="Arial" w:cs="Arial"/>
          <w:b/>
          <w:bCs/>
          <w:color w:val="000000"/>
          <w:sz w:val="22"/>
          <w:szCs w:val="22"/>
        </w:rPr>
        <w:t xml:space="preserve">. – 2030. </w:t>
      </w:r>
    </w:p>
    <w:p w14:paraId="7FBBE211" w14:textId="243A2A0F" w:rsidR="0012721C" w:rsidRPr="00106EE3" w:rsidRDefault="0012721C" w:rsidP="0012721C">
      <w:pPr>
        <w:pStyle w:val="Tabletext"/>
        <w:tabs>
          <w:tab w:val="left" w:pos="1440"/>
          <w:tab w:val="left" w:pos="5040"/>
        </w:tabs>
        <w:spacing w:before="0" w:after="0" w:line="240" w:lineRule="auto"/>
        <w:rPr>
          <w:rFonts w:cs="Arial"/>
          <w:color w:val="000000"/>
          <w:sz w:val="22"/>
          <w:szCs w:val="22"/>
          <w:lang w:val="hr-HR" w:eastAsia="en-GB"/>
        </w:rPr>
      </w:pPr>
      <w:r w:rsidRPr="00106EE3">
        <w:rPr>
          <w:rFonts w:cs="Arial"/>
          <w:b/>
          <w:bCs/>
          <w:color w:val="000000"/>
          <w:sz w:val="22"/>
          <w:szCs w:val="22"/>
          <w:lang w:val="hr-HR" w:eastAsia="en-GB"/>
        </w:rPr>
        <w:t>Cilj i opis mjere:</w:t>
      </w:r>
      <w:r w:rsidRPr="00106EE3">
        <w:rPr>
          <w:rFonts w:cs="Arial"/>
          <w:color w:val="000000"/>
          <w:sz w:val="22"/>
          <w:szCs w:val="22"/>
          <w:lang w:val="hr-HR" w:eastAsia="en-GB"/>
        </w:rPr>
        <w:t xml:space="preserve"> Cilj ove mjere je olakšati prihvaćanje alternativnih goriva od strane korisnika/potrošača jačanjem infrastrukture za distribuciju alternativnih goriva i provedbom zajedničkih tehničkih specifikacija za ovu infrastrukturu. Ovom infrastrukturnom mjerom se neće direktno utjecati na smanjenje potrošnje goriva u prometu, no svakako je razvoj infrastrukture nužan preduvjet razvoju tržišta vozila i plovila koja koriste električnu energiju, SPP</w:t>
      </w:r>
      <w:r w:rsidR="00842862">
        <w:rPr>
          <w:rFonts w:cs="Arial"/>
          <w:color w:val="000000"/>
          <w:sz w:val="22"/>
          <w:szCs w:val="22"/>
          <w:lang w:val="hr-HR" w:eastAsia="en-GB"/>
        </w:rPr>
        <w:t>/</w:t>
      </w:r>
      <w:r w:rsidR="0078183E">
        <w:rPr>
          <w:rFonts w:cs="Arial"/>
          <w:color w:val="000000"/>
          <w:sz w:val="22"/>
          <w:szCs w:val="22"/>
          <w:lang w:val="hr-HR" w:eastAsia="en-GB"/>
        </w:rPr>
        <w:t>SBP</w:t>
      </w:r>
      <w:r w:rsidR="00842862">
        <w:rPr>
          <w:rFonts w:cs="Arial"/>
          <w:color w:val="000000"/>
          <w:sz w:val="22"/>
          <w:szCs w:val="22"/>
          <w:lang w:val="hr-HR" w:eastAsia="en-GB"/>
        </w:rPr>
        <w:t>,</w:t>
      </w:r>
      <w:r w:rsidR="001B3580">
        <w:rPr>
          <w:rFonts w:cs="Arial"/>
          <w:color w:val="000000"/>
          <w:sz w:val="22"/>
          <w:szCs w:val="22"/>
          <w:lang w:val="hr-HR" w:eastAsia="en-GB"/>
        </w:rPr>
        <w:t xml:space="preserve"> </w:t>
      </w:r>
      <w:r w:rsidRPr="00106EE3">
        <w:rPr>
          <w:rFonts w:cs="Arial"/>
          <w:color w:val="000000"/>
          <w:sz w:val="22"/>
          <w:szCs w:val="22"/>
          <w:lang w:val="hr-HR" w:eastAsia="en-GB"/>
        </w:rPr>
        <w:t>UPP</w:t>
      </w:r>
      <w:r w:rsidR="00FF480E">
        <w:rPr>
          <w:rFonts w:cs="Arial"/>
          <w:color w:val="000000"/>
          <w:sz w:val="22"/>
          <w:szCs w:val="22"/>
          <w:lang w:val="hr-HR" w:eastAsia="en-GB"/>
        </w:rPr>
        <w:t>/</w:t>
      </w:r>
      <w:r w:rsidR="00723597">
        <w:rPr>
          <w:rFonts w:cs="Arial"/>
          <w:color w:val="000000"/>
          <w:sz w:val="22"/>
          <w:szCs w:val="22"/>
          <w:lang w:val="hr-HR" w:eastAsia="en-GB"/>
        </w:rPr>
        <w:t>UBP</w:t>
      </w:r>
      <w:r w:rsidRPr="00106EE3">
        <w:rPr>
          <w:rFonts w:cs="Arial"/>
          <w:color w:val="000000"/>
          <w:sz w:val="22"/>
          <w:szCs w:val="22"/>
          <w:lang w:val="hr-HR" w:eastAsia="en-GB"/>
        </w:rPr>
        <w:t xml:space="preserve"> te vodik u Hrvatskoj.</w:t>
      </w:r>
    </w:p>
    <w:p w14:paraId="65DCAC85" w14:textId="2016E1FF" w:rsidR="0012721C" w:rsidRPr="00106EE3" w:rsidRDefault="0012721C" w:rsidP="0012721C">
      <w:pPr>
        <w:pStyle w:val="Tabletext"/>
        <w:tabs>
          <w:tab w:val="left" w:pos="1440"/>
          <w:tab w:val="left" w:pos="5040"/>
        </w:tabs>
        <w:spacing w:before="0" w:after="0" w:line="240" w:lineRule="auto"/>
        <w:rPr>
          <w:rFonts w:cs="Arial"/>
          <w:color w:val="000000"/>
          <w:sz w:val="22"/>
          <w:szCs w:val="22"/>
          <w:lang w:val="hr-HR" w:eastAsia="en-GB"/>
        </w:rPr>
      </w:pPr>
      <w:r w:rsidRPr="00106EE3">
        <w:rPr>
          <w:rFonts w:cs="Arial"/>
          <w:color w:val="000000"/>
          <w:sz w:val="22"/>
          <w:szCs w:val="22"/>
          <w:lang w:val="hr-HR" w:eastAsia="en-GB"/>
        </w:rPr>
        <w:t xml:space="preserve">Poticajne mjere sufinanciranja infrastrukture bit će prvenstveno orijentirane na alternativna goriva za koja je procjena postojećeg stanja pokazala nedovoljnu razvijenost infrastrukture te će biti vremenski ograničene do trenutka kad praćenje stanja pokaže minimalnu pokrivenost infrastrukturom. Minimalnom pokrivenosti infrastrukture smatrat će se ona koja odgovara ciljevima minimalne infrastrukture iz NOP-a. </w:t>
      </w:r>
    </w:p>
    <w:p w14:paraId="100DB481" w14:textId="6DF348F4" w:rsidR="00FA7820" w:rsidRPr="00154150" w:rsidRDefault="00FA7820" w:rsidP="0012721C">
      <w:pPr>
        <w:pStyle w:val="Tabletext"/>
        <w:tabs>
          <w:tab w:val="left" w:pos="1440"/>
          <w:tab w:val="left" w:pos="5040"/>
        </w:tabs>
        <w:spacing w:before="0" w:after="0" w:line="240" w:lineRule="auto"/>
        <w:rPr>
          <w:rFonts w:cs="Arial"/>
          <w:color w:val="000000"/>
          <w:sz w:val="22"/>
          <w:szCs w:val="22"/>
          <w:lang w:eastAsia="en-GB"/>
        </w:rPr>
      </w:pPr>
      <w:r w:rsidRPr="00CD20D2">
        <w:rPr>
          <w:rFonts w:cs="Arial"/>
          <w:color w:val="000000"/>
          <w:sz w:val="22"/>
          <w:szCs w:val="22"/>
          <w:lang w:eastAsia="en-GB"/>
        </w:rPr>
        <w:t xml:space="preserve">Osim navedenog, mjera predviđa uspostavu centralnog registra infrastrukture za alternativna goriva koji će olakšati korisničko iskustvo vozačima te u konačnici omogućiti realan </w:t>
      </w:r>
      <w:r w:rsidRPr="00154150">
        <w:rPr>
          <w:rFonts w:cs="Arial"/>
          <w:color w:val="000000"/>
          <w:sz w:val="22"/>
          <w:szCs w:val="22"/>
          <w:lang w:eastAsia="en-GB"/>
        </w:rPr>
        <w:t>uvid u potrošnju energije za analitičke potrebe</w:t>
      </w:r>
      <w:r w:rsidRPr="00CD20D2">
        <w:rPr>
          <w:rFonts w:cs="Arial"/>
          <w:color w:val="000000"/>
          <w:sz w:val="22"/>
          <w:szCs w:val="22"/>
          <w:lang w:eastAsia="en-GB"/>
        </w:rPr>
        <w:t xml:space="preserve">. </w:t>
      </w:r>
    </w:p>
    <w:p w14:paraId="5DD35E61" w14:textId="77777777" w:rsidR="0012721C" w:rsidRPr="00154150" w:rsidRDefault="0012721C" w:rsidP="0012721C">
      <w:pPr>
        <w:pStyle w:val="NormalWeb"/>
        <w:spacing w:before="0" w:beforeAutospacing="0" w:after="0" w:afterAutospacing="0"/>
        <w:jc w:val="both"/>
        <w:rPr>
          <w:rFonts w:ascii="Arial" w:hAnsi="Arial" w:cs="Arial"/>
          <w:color w:val="000000"/>
          <w:sz w:val="22"/>
          <w:szCs w:val="22"/>
          <w:lang w:val="de-DE" w:eastAsia="en-GB"/>
        </w:rPr>
      </w:pPr>
    </w:p>
    <w:p w14:paraId="10D896F1" w14:textId="1B87E252"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aktivnosti</w:t>
      </w:r>
      <w:r>
        <w:rPr>
          <w:rFonts w:ascii="Arial" w:hAnsi="Arial" w:cs="Arial"/>
          <w:color w:val="000000"/>
          <w:sz w:val="22"/>
          <w:szCs w:val="22"/>
          <w:lang w:eastAsia="en-GB"/>
        </w:rPr>
        <w:t xml:space="preserve"> sufinanciranja </w:t>
      </w:r>
      <w:r w:rsidRPr="00106EE3">
        <w:rPr>
          <w:rFonts w:ascii="Arial" w:hAnsi="Arial" w:cs="Arial"/>
          <w:color w:val="000000"/>
          <w:sz w:val="22"/>
          <w:szCs w:val="22"/>
          <w:lang w:eastAsia="en-GB"/>
        </w:rPr>
        <w:t xml:space="preserve">infrastrukture za distribuciju alternativnih goriva </w:t>
      </w:r>
      <w:r>
        <w:rPr>
          <w:rFonts w:ascii="Arial" w:hAnsi="Arial" w:cs="Arial"/>
          <w:color w:val="000000"/>
          <w:sz w:val="22"/>
          <w:szCs w:val="22"/>
          <w:lang w:eastAsia="en-GB"/>
        </w:rPr>
        <w:t>putem javnih poziva FZOEU-a.</w:t>
      </w:r>
      <w:r w:rsidR="00E223DA">
        <w:rPr>
          <w:rFonts w:ascii="Arial" w:hAnsi="Arial" w:cs="Arial"/>
          <w:color w:val="000000"/>
          <w:sz w:val="22"/>
          <w:szCs w:val="22"/>
          <w:lang w:eastAsia="en-GB"/>
        </w:rPr>
        <w:t xml:space="preserve"> </w:t>
      </w:r>
    </w:p>
    <w:p w14:paraId="60235E03"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47DA7759" w14:textId="4B810B72"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sidR="006D0469">
        <w:rPr>
          <w:rFonts w:ascii="Arial" w:hAnsi="Arial" w:cs="Arial"/>
          <w:sz w:val="22"/>
          <w:szCs w:val="22"/>
        </w:rPr>
        <w:t>370</w:t>
      </w:r>
      <w:r w:rsidR="006D0469" w:rsidRPr="00106EE3">
        <w:rPr>
          <w:rFonts w:ascii="Arial" w:hAnsi="Arial" w:cs="Arial"/>
          <w:sz w:val="22"/>
          <w:szCs w:val="22"/>
        </w:rPr>
        <w:t xml:space="preserve"> </w:t>
      </w:r>
      <w:r w:rsidRPr="00106EE3">
        <w:rPr>
          <w:rFonts w:ascii="Arial" w:hAnsi="Arial" w:cs="Arial"/>
          <w:sz w:val="22"/>
          <w:szCs w:val="22"/>
        </w:rPr>
        <w:t>milijuna kuna</w:t>
      </w:r>
    </w:p>
    <w:p w14:paraId="23217E81" w14:textId="15BB7195"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 xml:space="preserve">FZOEU iz </w:t>
      </w:r>
      <w:r w:rsidRPr="00BD3F29">
        <w:rPr>
          <w:rFonts w:ascii="Arial" w:hAnsi="Arial" w:cs="Arial"/>
          <w:color w:val="000000"/>
          <w:sz w:val="22"/>
          <w:szCs w:val="22"/>
          <w:lang w:eastAsia="en-GB"/>
        </w:rPr>
        <w:t>sredst</w:t>
      </w:r>
      <w:r>
        <w:rPr>
          <w:rFonts w:ascii="Arial" w:hAnsi="Arial" w:cs="Arial"/>
          <w:color w:val="000000"/>
          <w:sz w:val="22"/>
          <w:szCs w:val="22"/>
          <w:lang w:eastAsia="en-GB"/>
        </w:rPr>
        <w:t>a</w:t>
      </w:r>
      <w:r w:rsidRPr="00BD3F29">
        <w:rPr>
          <w:rFonts w:ascii="Arial" w:hAnsi="Arial" w:cs="Arial"/>
          <w:color w:val="000000"/>
          <w:sz w:val="22"/>
          <w:szCs w:val="22"/>
          <w:lang w:eastAsia="en-GB"/>
        </w:rPr>
        <w:t>va stečenim od prodaje emisijskih jedinica putem dražbe</w:t>
      </w:r>
      <w:r w:rsidR="002F048A">
        <w:rPr>
          <w:rFonts w:ascii="Arial" w:hAnsi="Arial" w:cs="Arial"/>
          <w:color w:val="000000"/>
          <w:sz w:val="22"/>
          <w:szCs w:val="22"/>
          <w:lang w:eastAsia="en-GB"/>
        </w:rPr>
        <w:t>, iz sredstava prikupljenih od posebne naknade za vozila te od p</w:t>
      </w:r>
      <w:r w:rsidR="002F048A" w:rsidRPr="005F6684">
        <w:rPr>
          <w:rFonts w:ascii="Arial" w:hAnsi="Arial" w:cs="Arial"/>
          <w:color w:val="000000"/>
          <w:sz w:val="22"/>
          <w:szCs w:val="22"/>
          <w:lang w:eastAsia="en-GB"/>
        </w:rPr>
        <w:t>osebn</w:t>
      </w:r>
      <w:r w:rsidR="002F048A">
        <w:rPr>
          <w:rFonts w:ascii="Arial" w:hAnsi="Arial" w:cs="Arial"/>
          <w:color w:val="000000"/>
          <w:sz w:val="22"/>
          <w:szCs w:val="22"/>
          <w:lang w:eastAsia="en-GB"/>
        </w:rPr>
        <w:t>e</w:t>
      </w:r>
      <w:r w:rsidR="002F048A" w:rsidRPr="005F6684">
        <w:rPr>
          <w:rFonts w:ascii="Arial" w:hAnsi="Arial" w:cs="Arial"/>
          <w:color w:val="000000"/>
          <w:sz w:val="22"/>
          <w:szCs w:val="22"/>
          <w:lang w:eastAsia="en-GB"/>
        </w:rPr>
        <w:t xml:space="preserve"> naknad</w:t>
      </w:r>
      <w:r w:rsidR="002F048A">
        <w:rPr>
          <w:rFonts w:ascii="Arial" w:hAnsi="Arial" w:cs="Arial"/>
          <w:color w:val="000000"/>
          <w:sz w:val="22"/>
          <w:szCs w:val="22"/>
          <w:lang w:eastAsia="en-GB"/>
        </w:rPr>
        <w:t>e</w:t>
      </w:r>
      <w:r w:rsidR="002F048A" w:rsidRPr="005F6684">
        <w:rPr>
          <w:rFonts w:ascii="Arial" w:hAnsi="Arial" w:cs="Arial"/>
          <w:color w:val="000000"/>
          <w:sz w:val="22"/>
          <w:szCs w:val="22"/>
          <w:lang w:eastAsia="en-GB"/>
        </w:rPr>
        <w:t xml:space="preserve"> za okoliš radi nestavljanja biogoriva na tržište</w:t>
      </w:r>
      <w:r w:rsidR="004B46E6">
        <w:rPr>
          <w:rFonts w:ascii="Arial" w:hAnsi="Arial" w:cs="Arial"/>
          <w:color w:val="000000"/>
          <w:sz w:val="22"/>
          <w:szCs w:val="22"/>
          <w:lang w:eastAsia="en-GB"/>
        </w:rPr>
        <w:t>, Modernizacijskog fonda, ESI fondova</w:t>
      </w:r>
      <w:r>
        <w:rPr>
          <w:rFonts w:ascii="Arial" w:hAnsi="Arial" w:cs="Arial"/>
          <w:color w:val="000000"/>
          <w:sz w:val="22"/>
          <w:szCs w:val="22"/>
          <w:lang w:eastAsia="en-GB"/>
        </w:rPr>
        <w:t xml:space="preserve"> i drugih izvora </w:t>
      </w:r>
    </w:p>
    <w:p w14:paraId="56FEE74A" w14:textId="26A4FF06"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FZOEU</w:t>
      </w:r>
      <w:r w:rsidR="00976C0D">
        <w:rPr>
          <w:rFonts w:ascii="Arial" w:hAnsi="Arial" w:cs="Arial"/>
          <w:color w:val="000000"/>
          <w:sz w:val="22"/>
          <w:szCs w:val="22"/>
          <w:lang w:eastAsia="en-GB"/>
        </w:rPr>
        <w:t xml:space="preserve"> </w:t>
      </w:r>
      <w:r w:rsidR="006A49D8">
        <w:rPr>
          <w:rFonts w:ascii="Arial" w:hAnsi="Arial" w:cs="Arial"/>
          <w:color w:val="000000"/>
          <w:sz w:val="22"/>
          <w:szCs w:val="22"/>
          <w:lang w:eastAsia="en-GB"/>
        </w:rPr>
        <w:t>(</w:t>
      </w:r>
      <w:r w:rsidR="005333E9">
        <w:rPr>
          <w:rFonts w:ascii="Arial" w:hAnsi="Arial" w:cs="Arial"/>
          <w:color w:val="000000"/>
          <w:sz w:val="22"/>
          <w:szCs w:val="22"/>
          <w:lang w:eastAsia="en-GB"/>
        </w:rPr>
        <w:t>sufinanciranje)</w:t>
      </w:r>
      <w:r w:rsidR="00976C0D">
        <w:rPr>
          <w:rFonts w:ascii="Arial" w:hAnsi="Arial" w:cs="Arial"/>
          <w:color w:val="000000"/>
          <w:sz w:val="22"/>
          <w:szCs w:val="22"/>
          <w:lang w:eastAsia="en-GB"/>
        </w:rPr>
        <w:t xml:space="preserve">, </w:t>
      </w:r>
      <w:r w:rsidR="00976C0D" w:rsidRPr="00902E2A">
        <w:rPr>
          <w:rFonts w:ascii="Arial" w:hAnsi="Arial" w:cs="Arial"/>
          <w:color w:val="000000"/>
          <w:sz w:val="22"/>
          <w:lang w:eastAsia="en-GB"/>
        </w:rPr>
        <w:t>MMPI</w:t>
      </w:r>
      <w:r w:rsidR="005333E9">
        <w:rPr>
          <w:rFonts w:ascii="Arial" w:hAnsi="Arial" w:cs="Arial"/>
          <w:color w:val="000000"/>
          <w:sz w:val="22"/>
          <w:lang w:eastAsia="en-GB"/>
        </w:rPr>
        <w:t xml:space="preserve"> (centralni </w:t>
      </w:r>
      <w:r w:rsidR="005D38E2">
        <w:rPr>
          <w:rFonts w:ascii="Arial" w:hAnsi="Arial" w:cs="Arial"/>
          <w:color w:val="000000"/>
          <w:sz w:val="22"/>
          <w:lang w:eastAsia="en-GB"/>
        </w:rPr>
        <w:t>registar</w:t>
      </w:r>
      <w:r w:rsidR="003E317D">
        <w:rPr>
          <w:rFonts w:ascii="Arial" w:hAnsi="Arial" w:cs="Arial"/>
          <w:color w:val="000000"/>
          <w:sz w:val="22"/>
          <w:lang w:eastAsia="en-GB"/>
        </w:rPr>
        <w:t xml:space="preserve"> infrastrukture)</w:t>
      </w:r>
    </w:p>
    <w:p w14:paraId="0BFBE637" w14:textId="6408DAC1"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r>
        <w:rPr>
          <w:rFonts w:ascii="Arial" w:hAnsi="Arial" w:cs="Arial"/>
          <w:color w:val="000000"/>
          <w:sz w:val="22"/>
          <w:szCs w:val="22"/>
          <w:lang w:eastAsia="en-GB"/>
        </w:rPr>
        <w:t xml:space="preserve"> </w:t>
      </w:r>
    </w:p>
    <w:p w14:paraId="59BB87C6" w14:textId="77777777" w:rsidR="0012721C" w:rsidRDefault="0012721C" w:rsidP="0012721C">
      <w:pPr>
        <w:pStyle w:val="NormalWeb"/>
        <w:spacing w:before="0" w:beforeAutospacing="0" w:after="0" w:afterAutospacing="0"/>
        <w:rPr>
          <w:rFonts w:ascii="Arial" w:hAnsi="Arial" w:cs="Arial"/>
          <w:color w:val="000000"/>
          <w:sz w:val="22"/>
          <w:szCs w:val="22"/>
          <w:lang w:eastAsia="en-GB"/>
        </w:rPr>
      </w:pPr>
      <w:r w:rsidRPr="00BE6952">
        <w:rPr>
          <w:rFonts w:ascii="Arial" w:hAnsi="Arial" w:cs="Arial"/>
          <w:b/>
          <w:bCs/>
          <w:color w:val="000000"/>
          <w:sz w:val="22"/>
          <w:szCs w:val="22"/>
          <w:lang w:eastAsia="en-GB"/>
        </w:rPr>
        <w:t xml:space="preserve">Učinak: </w:t>
      </w:r>
      <w:r w:rsidRPr="00106EE3">
        <w:rPr>
          <w:rFonts w:ascii="Arial" w:hAnsi="Arial" w:cs="Arial"/>
          <w:color w:val="000000"/>
          <w:sz w:val="22"/>
          <w:szCs w:val="22"/>
          <w:lang w:eastAsia="en-GB"/>
        </w:rPr>
        <w:t xml:space="preserve">Akceleracija razvoja tržišta alternativnih energenata </w:t>
      </w:r>
    </w:p>
    <w:p w14:paraId="0A548ED3" w14:textId="77777777" w:rsidR="0012721C" w:rsidRPr="00BE6952" w:rsidRDefault="0012721C" w:rsidP="0012721C">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w:t>
      </w:r>
    </w:p>
    <w:p w14:paraId="68F7EA99"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w:t>
      </w:r>
    </w:p>
    <w:p w14:paraId="09EFE765"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538CD22D" w14:textId="54A21874" w:rsidR="00832895" w:rsidRDefault="0012721C" w:rsidP="00832895">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Održiva mobilnost i alternativna goriva u prijevozu zahtijevaju razvoj novih tehnologija i to u domeni vozila, infrastrukture i naprednih sustava upravljanja temeljenim na informacijsko-komunikacijskim tehnologijama.</w:t>
      </w:r>
      <w:r w:rsidR="00622DB1">
        <w:rPr>
          <w:rFonts w:ascii="Arial" w:hAnsi="Arial" w:cs="Arial"/>
          <w:color w:val="000000"/>
          <w:sz w:val="22"/>
          <w:szCs w:val="22"/>
          <w:lang w:eastAsia="en-GB"/>
        </w:rPr>
        <w:t xml:space="preserve"> </w:t>
      </w:r>
    </w:p>
    <w:p w14:paraId="3A9E0DA8" w14:textId="77777777" w:rsidR="00DC15AF" w:rsidRPr="00832895" w:rsidRDefault="00DC15AF" w:rsidP="00832895">
      <w:pPr>
        <w:pStyle w:val="NormalWeb"/>
        <w:spacing w:before="0" w:beforeAutospacing="0" w:after="0" w:afterAutospacing="0"/>
        <w:jc w:val="both"/>
        <w:rPr>
          <w:rFonts w:ascii="Arial" w:hAnsi="Arial" w:cs="Arial"/>
          <w:color w:val="000000"/>
          <w:sz w:val="22"/>
          <w:szCs w:val="22"/>
          <w:lang w:eastAsia="en-GB"/>
        </w:rPr>
      </w:pPr>
    </w:p>
    <w:p w14:paraId="25DB9961" w14:textId="4558704E" w:rsidR="00DC15AF" w:rsidRDefault="00DC15AF" w:rsidP="00DC15AF">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TR-8</w:t>
      </w:r>
      <w:r w:rsidRPr="005B687C">
        <w:rPr>
          <w:rFonts w:ascii="Arial" w:hAnsi="Arial" w:cs="Arial"/>
          <w:b/>
          <w:bCs/>
          <w:color w:val="000000"/>
          <w:sz w:val="22"/>
          <w:szCs w:val="22"/>
        </w:rPr>
        <w:t>:</w:t>
      </w:r>
      <w:r>
        <w:rPr>
          <w:rFonts w:ascii="Arial" w:hAnsi="Arial" w:cs="Arial"/>
          <w:b/>
          <w:bCs/>
          <w:color w:val="000000"/>
          <w:sz w:val="22"/>
          <w:szCs w:val="22"/>
        </w:rPr>
        <w:t xml:space="preserve"> </w:t>
      </w:r>
      <w:r w:rsidRPr="000C77AA">
        <w:rPr>
          <w:rFonts w:ascii="Arial" w:hAnsi="Arial" w:cs="Arial"/>
          <w:b/>
          <w:bCs/>
          <w:color w:val="000000"/>
          <w:sz w:val="22"/>
          <w:szCs w:val="22"/>
        </w:rPr>
        <w:t xml:space="preserve">Poticanje </w:t>
      </w:r>
      <w:r>
        <w:rPr>
          <w:rFonts w:ascii="Arial" w:hAnsi="Arial" w:cs="Arial"/>
          <w:b/>
          <w:bCs/>
          <w:color w:val="000000"/>
          <w:sz w:val="22"/>
          <w:szCs w:val="22"/>
        </w:rPr>
        <w:t>integriran</w:t>
      </w:r>
      <w:r w:rsidRPr="000C77AA">
        <w:rPr>
          <w:rFonts w:ascii="Arial" w:hAnsi="Arial" w:cs="Arial"/>
          <w:b/>
          <w:bCs/>
          <w:color w:val="000000"/>
          <w:sz w:val="22"/>
          <w:szCs w:val="22"/>
        </w:rPr>
        <w:t xml:space="preserve">og </w:t>
      </w:r>
      <w:r>
        <w:rPr>
          <w:rFonts w:ascii="Arial" w:hAnsi="Arial" w:cs="Arial"/>
          <w:b/>
          <w:bCs/>
          <w:color w:val="000000"/>
          <w:sz w:val="22"/>
          <w:szCs w:val="22"/>
        </w:rPr>
        <w:t>teret</w:t>
      </w:r>
      <w:r w:rsidR="00733C2F">
        <w:rPr>
          <w:rFonts w:ascii="Arial" w:hAnsi="Arial" w:cs="Arial"/>
          <w:b/>
          <w:bCs/>
          <w:color w:val="000000"/>
          <w:sz w:val="22"/>
          <w:szCs w:val="22"/>
        </w:rPr>
        <w:t>nog prometa</w:t>
      </w:r>
    </w:p>
    <w:p w14:paraId="7497E5CB" w14:textId="77777777" w:rsidR="00DC15AF" w:rsidRPr="00ED5A38" w:rsidRDefault="00DC15AF" w:rsidP="00DC15AF">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 xml:space="preserve">Regulatorna mjera; provedba </w:t>
      </w:r>
      <w:r>
        <w:rPr>
          <w:rFonts w:ascii="Arial" w:hAnsi="Arial" w:cs="Arial"/>
          <w:b/>
          <w:bCs/>
          <w:color w:val="000000"/>
          <w:sz w:val="22"/>
          <w:szCs w:val="22"/>
        </w:rPr>
        <w:t>2016</w:t>
      </w:r>
      <w:r w:rsidRPr="005B687C">
        <w:rPr>
          <w:rFonts w:ascii="Arial" w:hAnsi="Arial" w:cs="Arial"/>
          <w:b/>
          <w:bCs/>
          <w:color w:val="000000"/>
          <w:sz w:val="22"/>
          <w:szCs w:val="22"/>
        </w:rPr>
        <w:t xml:space="preserve">. – 2030. </w:t>
      </w:r>
    </w:p>
    <w:p w14:paraId="0257887F" w14:textId="77777777" w:rsidR="00DC15AF" w:rsidRDefault="00DC15AF" w:rsidP="00DC15AF">
      <w:pPr>
        <w:pStyle w:val="NormalWeb"/>
        <w:spacing w:before="0" w:after="0"/>
        <w:jc w:val="both"/>
        <w:rPr>
          <w:rFonts w:ascii="Arial" w:hAnsi="Arial" w:cs="Arial"/>
          <w:color w:val="000000"/>
          <w:sz w:val="22"/>
          <w:szCs w:val="22"/>
          <w:lang w:eastAsia="en-GB"/>
        </w:rPr>
      </w:pPr>
      <w:r w:rsidRPr="00BE6952">
        <w:rPr>
          <w:rFonts w:ascii="Arial" w:hAnsi="Arial" w:cs="Arial"/>
          <w:b/>
          <w:bCs/>
          <w:color w:val="000000"/>
          <w:sz w:val="22"/>
          <w:szCs w:val="22"/>
          <w:lang w:eastAsia="en-GB"/>
        </w:rPr>
        <w:t>Cilj i opis mjere:</w:t>
      </w:r>
      <w:r w:rsidRPr="00BE6952">
        <w:rPr>
          <w:rFonts w:ascii="Arial" w:hAnsi="Arial" w:cs="Arial"/>
          <w:color w:val="000000"/>
          <w:sz w:val="22"/>
          <w:szCs w:val="22"/>
          <w:lang w:eastAsia="en-GB"/>
        </w:rPr>
        <w:t xml:space="preserve"> </w:t>
      </w:r>
      <w:r w:rsidRPr="000C77AA">
        <w:rPr>
          <w:rFonts w:ascii="Arial" w:hAnsi="Arial" w:cs="Arial"/>
          <w:color w:val="000000"/>
          <w:sz w:val="22"/>
          <w:szCs w:val="22"/>
          <w:lang w:eastAsia="en-GB"/>
        </w:rPr>
        <w:t xml:space="preserve">Mjera </w:t>
      </w:r>
      <w:r>
        <w:rPr>
          <w:rFonts w:ascii="Arial" w:hAnsi="Arial" w:cs="Arial"/>
          <w:color w:val="000000"/>
          <w:sz w:val="22"/>
          <w:szCs w:val="22"/>
          <w:lang w:eastAsia="en-GB"/>
        </w:rPr>
        <w:t xml:space="preserve">je </w:t>
      </w:r>
      <w:r w:rsidRPr="000C77AA">
        <w:rPr>
          <w:rFonts w:ascii="Arial" w:hAnsi="Arial" w:cs="Arial"/>
          <w:color w:val="000000"/>
          <w:sz w:val="22"/>
          <w:szCs w:val="22"/>
          <w:lang w:eastAsia="en-GB"/>
        </w:rPr>
        <w:t>uređena Zakonom o kombiniranom prijevozu tereta (</w:t>
      </w:r>
      <w:r>
        <w:rPr>
          <w:rFonts w:ascii="Arial" w:hAnsi="Arial" w:cs="Arial"/>
          <w:color w:val="000000"/>
          <w:sz w:val="22"/>
          <w:szCs w:val="22"/>
          <w:lang w:eastAsia="en-GB"/>
        </w:rPr>
        <w:t>NN</w:t>
      </w:r>
      <w:r w:rsidRPr="000C77AA">
        <w:rPr>
          <w:rFonts w:ascii="Arial" w:hAnsi="Arial" w:cs="Arial"/>
          <w:color w:val="000000"/>
          <w:sz w:val="22"/>
          <w:szCs w:val="22"/>
          <w:lang w:eastAsia="en-GB"/>
        </w:rPr>
        <w:t xml:space="preserve"> 120/16), odnosno Pravilnikom o poticajima u kombiniranom prijevozu tereta (</w:t>
      </w:r>
      <w:r>
        <w:rPr>
          <w:rFonts w:ascii="Arial" w:hAnsi="Arial" w:cs="Arial"/>
          <w:color w:val="000000"/>
          <w:sz w:val="22"/>
          <w:szCs w:val="22"/>
          <w:lang w:eastAsia="en-GB"/>
        </w:rPr>
        <w:t>NN</w:t>
      </w:r>
      <w:r w:rsidRPr="000C77AA">
        <w:rPr>
          <w:rFonts w:ascii="Arial" w:hAnsi="Arial" w:cs="Arial"/>
          <w:color w:val="000000"/>
          <w:sz w:val="22"/>
          <w:szCs w:val="22"/>
          <w:lang w:eastAsia="en-GB"/>
        </w:rPr>
        <w:t xml:space="preserve"> 5/18), kojim su propisani poticaji u kombiniranom prijevozu tereta željeznicom, unutarnjim vodama ili morem, te poticaji u kombiniranom prijevozu tereta cestovnom dionicom.</w:t>
      </w:r>
    </w:p>
    <w:p w14:paraId="731C2B67"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Nastavit će se provedba u skladu sa Zakonom.</w:t>
      </w:r>
      <w:r w:rsidRPr="00BE6952">
        <w:rPr>
          <w:rFonts w:ascii="Arial" w:hAnsi="Arial" w:cs="Arial"/>
          <w:color w:val="000000"/>
          <w:sz w:val="22"/>
          <w:szCs w:val="22"/>
          <w:lang w:eastAsia="en-GB"/>
        </w:rPr>
        <w:t xml:space="preserve"> </w:t>
      </w:r>
      <w:r w:rsidRPr="00531A03">
        <w:rPr>
          <w:rFonts w:ascii="Arial" w:hAnsi="Arial" w:cs="Arial"/>
          <w:color w:val="000000"/>
          <w:sz w:val="22"/>
          <w:szCs w:val="22"/>
          <w:lang w:eastAsia="en-GB"/>
        </w:rPr>
        <w:t>Izradit će se analiza kako bi se ustvrdila potreba za izmjenama i unaprjeđenjem postojećeg sustava. Pri tome će se analizirati mogućnost uključivanja ostalih prijevoznih cestovnih sredstava (osim kamiona) u sustav poticanja.</w:t>
      </w:r>
    </w:p>
    <w:p w14:paraId="1ABA0243" w14:textId="77777777" w:rsidR="00DC15AF" w:rsidRDefault="00DC15AF" w:rsidP="00DC15AF">
      <w:pPr>
        <w:pStyle w:val="NormalWeb"/>
        <w:spacing w:before="0" w:beforeAutospacing="0" w:after="0" w:afterAutospacing="0"/>
        <w:jc w:val="both"/>
        <w:rPr>
          <w:rFonts w:ascii="Arial" w:hAnsi="Arial" w:cs="Arial"/>
          <w:b/>
          <w:bCs/>
          <w:color w:val="000000"/>
          <w:sz w:val="22"/>
          <w:szCs w:val="22"/>
          <w:lang w:eastAsia="en-GB"/>
        </w:rPr>
      </w:pPr>
    </w:p>
    <w:p w14:paraId="6CF587D9" w14:textId="77777777" w:rsidR="00DC15AF" w:rsidRPr="005B687C" w:rsidRDefault="00DC15AF" w:rsidP="00DC15AF">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sidRPr="000C77AA">
        <w:rPr>
          <w:rFonts w:ascii="Arial" w:hAnsi="Arial" w:cs="Arial"/>
          <w:color w:val="000000"/>
          <w:sz w:val="22"/>
          <w:szCs w:val="22"/>
          <w:lang w:eastAsia="en-GB"/>
        </w:rPr>
        <w:t xml:space="preserve">Naknade </w:t>
      </w:r>
      <w:r>
        <w:rPr>
          <w:rFonts w:ascii="Arial" w:hAnsi="Arial" w:cs="Arial"/>
          <w:color w:val="000000"/>
          <w:sz w:val="22"/>
          <w:szCs w:val="22"/>
          <w:lang w:eastAsia="en-GB"/>
        </w:rPr>
        <w:t xml:space="preserve">su </w:t>
      </w:r>
      <w:r w:rsidRPr="000C77AA">
        <w:rPr>
          <w:rFonts w:ascii="Arial" w:hAnsi="Arial" w:cs="Arial"/>
          <w:color w:val="000000"/>
          <w:sz w:val="22"/>
          <w:szCs w:val="22"/>
          <w:lang w:eastAsia="en-GB"/>
        </w:rPr>
        <w:t>predviđene Pravilnikom o poticajima u kombiniranom prijevozu tereta</w:t>
      </w:r>
      <w:r>
        <w:rPr>
          <w:rFonts w:ascii="Arial" w:hAnsi="Arial" w:cs="Arial"/>
          <w:color w:val="000000"/>
          <w:sz w:val="22"/>
          <w:szCs w:val="22"/>
          <w:lang w:eastAsia="en-GB"/>
        </w:rPr>
        <w:t>, a</w:t>
      </w:r>
      <w:r w:rsidRPr="000C77AA">
        <w:rPr>
          <w:rFonts w:ascii="Arial" w:hAnsi="Arial" w:cs="Arial"/>
          <w:color w:val="000000"/>
          <w:sz w:val="22"/>
          <w:szCs w:val="22"/>
          <w:lang w:eastAsia="en-GB"/>
        </w:rPr>
        <w:t xml:space="preserve"> osiguravaju se iz državnog proračuna</w:t>
      </w:r>
      <w:r w:rsidRPr="005B687C">
        <w:rPr>
          <w:rFonts w:ascii="Arial" w:hAnsi="Arial" w:cs="Arial"/>
          <w:color w:val="000000"/>
          <w:sz w:val="22"/>
          <w:szCs w:val="22"/>
          <w:lang w:eastAsia="en-GB"/>
        </w:rPr>
        <w:t>.</w:t>
      </w:r>
    </w:p>
    <w:p w14:paraId="226982ED"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 xml:space="preserve">Državni proračun </w:t>
      </w:r>
    </w:p>
    <w:p w14:paraId="44D07193"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sidRPr="000C77AA">
        <w:rPr>
          <w:rFonts w:ascii="Arial" w:hAnsi="Arial" w:cs="Arial"/>
          <w:color w:val="000000"/>
          <w:sz w:val="22"/>
          <w:szCs w:val="22"/>
          <w:lang w:eastAsia="en-GB"/>
        </w:rPr>
        <w:t xml:space="preserve">Ministarstvo </w:t>
      </w:r>
      <w:r>
        <w:rPr>
          <w:rFonts w:ascii="Arial" w:hAnsi="Arial" w:cs="Arial"/>
          <w:color w:val="000000"/>
          <w:sz w:val="22"/>
          <w:szCs w:val="22"/>
          <w:lang w:eastAsia="en-GB"/>
        </w:rPr>
        <w:t>mora</w:t>
      </w:r>
      <w:r w:rsidRPr="000C77AA">
        <w:rPr>
          <w:rFonts w:ascii="Arial" w:hAnsi="Arial" w:cs="Arial"/>
          <w:color w:val="000000"/>
          <w:sz w:val="22"/>
          <w:szCs w:val="22"/>
          <w:lang w:eastAsia="en-GB"/>
        </w:rPr>
        <w:t>, prometa i infrastrukture</w:t>
      </w:r>
    </w:p>
    <w:p w14:paraId="0BA1E614"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MZOE-NKT</w:t>
      </w:r>
      <w:r>
        <w:rPr>
          <w:rFonts w:ascii="Arial" w:hAnsi="Arial" w:cs="Arial"/>
          <w:color w:val="000000"/>
          <w:sz w:val="22"/>
          <w:szCs w:val="22"/>
          <w:lang w:eastAsia="en-GB"/>
        </w:rPr>
        <w:t xml:space="preserve"> </w:t>
      </w:r>
    </w:p>
    <w:p w14:paraId="5D04404A" w14:textId="77777777" w:rsidR="00DC15AF" w:rsidRPr="00BE6952" w:rsidRDefault="00DC15AF" w:rsidP="00DC15AF">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 xml:space="preserve">Učinak: </w:t>
      </w:r>
      <w:r w:rsidRPr="005B687C">
        <w:rPr>
          <w:rFonts w:ascii="Arial" w:hAnsi="Arial" w:cs="Arial"/>
          <w:color w:val="000000"/>
          <w:sz w:val="22"/>
          <w:szCs w:val="22"/>
          <w:lang w:eastAsia="en-GB"/>
        </w:rPr>
        <w:t>Ušteda energije</w:t>
      </w:r>
      <w:r>
        <w:rPr>
          <w:rFonts w:ascii="Arial" w:hAnsi="Arial" w:cs="Arial"/>
          <w:color w:val="000000"/>
          <w:sz w:val="22"/>
          <w:szCs w:val="22"/>
          <w:lang w:eastAsia="en-GB"/>
        </w:rPr>
        <w:t>,</w:t>
      </w:r>
      <w:r w:rsidRPr="005B687C">
        <w:rPr>
          <w:rFonts w:ascii="Arial" w:hAnsi="Arial" w:cs="Arial"/>
          <w:color w:val="000000"/>
          <w:sz w:val="22"/>
          <w:szCs w:val="22"/>
          <w:lang w:eastAsia="en-GB"/>
        </w:rPr>
        <w:t xml:space="preserve"> smanjenje emisije CO</w:t>
      </w:r>
      <w:r w:rsidRPr="005B687C">
        <w:rPr>
          <w:rFonts w:ascii="Arial" w:hAnsi="Arial" w:cs="Arial"/>
          <w:color w:val="000000"/>
          <w:sz w:val="22"/>
          <w:szCs w:val="22"/>
          <w:vertAlign w:val="subscript"/>
          <w:lang w:eastAsia="en-GB"/>
        </w:rPr>
        <w:t>2e</w:t>
      </w:r>
      <w:r w:rsidRPr="009A1A78">
        <w:rPr>
          <w:rFonts w:ascii="Arial" w:hAnsi="Arial" w:cs="Arial"/>
          <w:color w:val="000000"/>
          <w:sz w:val="22"/>
          <w:szCs w:val="22"/>
          <w:lang w:eastAsia="en-GB"/>
        </w:rPr>
        <w:t xml:space="preserve"> te smanjenje emisija onečišćujućih tvari</w:t>
      </w:r>
      <w:r w:rsidRPr="000C77AA" w:rsidDel="007E04BF">
        <w:rPr>
          <w:rFonts w:ascii="Arial" w:hAnsi="Arial" w:cs="Arial"/>
          <w:color w:val="000000"/>
          <w:sz w:val="22"/>
          <w:szCs w:val="22"/>
          <w:lang w:eastAsia="en-GB"/>
        </w:rPr>
        <w:t xml:space="preserve"> </w:t>
      </w:r>
    </w:p>
    <w:p w14:paraId="07234B7A"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Metoda praćenja:</w:t>
      </w:r>
      <w:r w:rsidRPr="00BE6952">
        <w:rPr>
          <w:rFonts w:ascii="Arial" w:hAnsi="Arial" w:cs="Arial"/>
          <w:color w:val="000000"/>
          <w:sz w:val="22"/>
          <w:szCs w:val="22"/>
          <w:lang w:eastAsia="en-GB"/>
        </w:rPr>
        <w:t xml:space="preserve"> </w:t>
      </w:r>
      <w:r w:rsidRPr="00E32735">
        <w:rPr>
          <w:rFonts w:ascii="Arial" w:hAnsi="Arial" w:cs="Arial"/>
          <w:color w:val="000000"/>
          <w:sz w:val="22"/>
          <w:szCs w:val="22"/>
          <w:lang w:eastAsia="en-GB"/>
        </w:rPr>
        <w:t xml:space="preserve">Izvješća o </w:t>
      </w:r>
      <w:r>
        <w:rPr>
          <w:rFonts w:ascii="Arial" w:hAnsi="Arial" w:cs="Arial"/>
          <w:color w:val="000000"/>
          <w:sz w:val="22"/>
          <w:szCs w:val="22"/>
          <w:lang w:eastAsia="en-GB"/>
        </w:rPr>
        <w:t>dodijeljenim poticajima</w:t>
      </w:r>
    </w:p>
    <w:p w14:paraId="70132CB5"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w:t>
      </w:r>
    </w:p>
    <w:p w14:paraId="2AA70E19"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65D48FC0" w14:textId="77777777" w:rsidR="00DC15AF" w:rsidRPr="00BE6952" w:rsidRDefault="00DC15AF" w:rsidP="00DC15AF">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 xml:space="preserve">/ </w:t>
      </w:r>
    </w:p>
    <w:p w14:paraId="2B421DDF" w14:textId="6DDA55E8" w:rsidR="00A6545A" w:rsidRDefault="00A6545A" w:rsidP="00347A17">
      <w:pPr>
        <w:pStyle w:val="NormalWeb"/>
        <w:spacing w:after="120" w:line="288" w:lineRule="auto"/>
        <w:jc w:val="both"/>
        <w:rPr>
          <w:rFonts w:ascii="Arial" w:hAnsi="Arial" w:cs="Arial"/>
          <w:b/>
          <w:bCs/>
          <w:color w:val="000000"/>
          <w:sz w:val="22"/>
          <w:szCs w:val="22"/>
        </w:rPr>
      </w:pPr>
    </w:p>
    <w:p w14:paraId="6B7DBD4C" w14:textId="77777777" w:rsidR="00DC15AF" w:rsidRDefault="00DC15AF" w:rsidP="00DC15AF">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TR-9</w:t>
      </w:r>
      <w:r w:rsidRPr="005B687C">
        <w:rPr>
          <w:rFonts w:ascii="Arial" w:hAnsi="Arial" w:cs="Arial"/>
          <w:b/>
          <w:bCs/>
          <w:color w:val="000000"/>
          <w:sz w:val="22"/>
          <w:szCs w:val="22"/>
        </w:rPr>
        <w:t xml:space="preserve">: </w:t>
      </w:r>
      <w:r w:rsidRPr="00F805C6">
        <w:rPr>
          <w:rFonts w:ascii="Arial" w:hAnsi="Arial" w:cs="Arial"/>
          <w:b/>
          <w:bCs/>
          <w:color w:val="000000"/>
          <w:sz w:val="22"/>
          <w:szCs w:val="22"/>
        </w:rPr>
        <w:t xml:space="preserve">Poticanje razvoja održivog integriranog prometa na nacionalnoj razini </w:t>
      </w:r>
    </w:p>
    <w:p w14:paraId="51D3F2E3" w14:textId="77777777" w:rsidR="00DC15AF" w:rsidRPr="00ED5A38" w:rsidRDefault="00DC15AF" w:rsidP="00DC15AF">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Informacijska i organizacijska</w:t>
      </w:r>
      <w:r w:rsidRPr="005B687C">
        <w:rPr>
          <w:rFonts w:ascii="Arial" w:hAnsi="Arial" w:cs="Arial"/>
          <w:b/>
          <w:bCs/>
          <w:color w:val="000000"/>
          <w:sz w:val="22"/>
          <w:szCs w:val="22"/>
        </w:rPr>
        <w:t xml:space="preserve"> mjera; provedba </w:t>
      </w:r>
      <w:r>
        <w:rPr>
          <w:rFonts w:ascii="Arial" w:hAnsi="Arial" w:cs="Arial"/>
          <w:b/>
          <w:bCs/>
          <w:color w:val="000000"/>
          <w:sz w:val="22"/>
          <w:szCs w:val="22"/>
        </w:rPr>
        <w:t>2019</w:t>
      </w:r>
      <w:r w:rsidRPr="005B687C">
        <w:rPr>
          <w:rFonts w:ascii="Arial" w:hAnsi="Arial" w:cs="Arial"/>
          <w:b/>
          <w:bCs/>
          <w:color w:val="000000"/>
          <w:sz w:val="22"/>
          <w:szCs w:val="22"/>
        </w:rPr>
        <w:t xml:space="preserve">. – 2030. </w:t>
      </w:r>
    </w:p>
    <w:p w14:paraId="4B19C60E" w14:textId="77777777" w:rsidR="00DC15AF" w:rsidRDefault="00DC15AF" w:rsidP="00DC15AF">
      <w:pPr>
        <w:pStyle w:val="Tabletext"/>
        <w:tabs>
          <w:tab w:val="left" w:pos="1440"/>
          <w:tab w:val="left" w:pos="5040"/>
        </w:tabs>
        <w:spacing w:before="0" w:after="0" w:line="240" w:lineRule="auto"/>
        <w:rPr>
          <w:rFonts w:cs="Arial"/>
          <w:b/>
          <w:bCs/>
          <w:color w:val="000000"/>
          <w:sz w:val="22"/>
          <w:szCs w:val="22"/>
          <w:lang w:eastAsia="en-GB"/>
        </w:rPr>
      </w:pPr>
      <w:r w:rsidRPr="00106EE3">
        <w:rPr>
          <w:rFonts w:cs="Arial"/>
          <w:b/>
          <w:bCs/>
          <w:color w:val="000000"/>
          <w:sz w:val="22"/>
          <w:szCs w:val="22"/>
          <w:lang w:val="hr-HR" w:eastAsia="en-GB"/>
        </w:rPr>
        <w:t>Cilj i opis mjere:</w:t>
      </w:r>
      <w:r w:rsidRPr="00106EE3">
        <w:rPr>
          <w:rFonts w:cs="Arial"/>
          <w:color w:val="000000"/>
          <w:sz w:val="22"/>
          <w:szCs w:val="22"/>
          <w:lang w:val="hr-HR" w:eastAsia="en-GB"/>
        </w:rPr>
        <w:t xml:space="preserve"> </w:t>
      </w:r>
      <w:r w:rsidRPr="0002070C">
        <w:rPr>
          <w:rFonts w:cs="Arial"/>
          <w:color w:val="000000"/>
          <w:sz w:val="22"/>
          <w:szCs w:val="22"/>
          <w:lang w:val="hr-HR" w:eastAsia="en-GB"/>
        </w:rPr>
        <w:t>Mjera prati opće i specifične ciljeve definirane u Strategiji prometnog razvoja Republike Hrvatske (2017. – 2030.) u kontekstu energetske učinkovitosti/</w:t>
      </w:r>
      <w:r>
        <w:rPr>
          <w:rFonts w:cs="Arial"/>
          <w:color w:val="000000"/>
          <w:sz w:val="22"/>
          <w:szCs w:val="22"/>
          <w:lang w:val="hr-HR" w:eastAsia="en-GB"/>
        </w:rPr>
        <w:t>integriran</w:t>
      </w:r>
      <w:r w:rsidRPr="0002070C">
        <w:rPr>
          <w:rFonts w:cs="Arial"/>
          <w:color w:val="000000"/>
          <w:sz w:val="22"/>
          <w:szCs w:val="22"/>
          <w:lang w:val="hr-HR" w:eastAsia="en-GB"/>
        </w:rPr>
        <w:t xml:space="preserve">osti za željeznički, cestovni, pomorski promet, promet unutarnjim plovnim putovima i gradski, prigradski i regionalni promet (modernizacija pruga, sustava signalizacije, obnova fonda lokomotiva, vagona, flota plovila, logističke </w:t>
      </w:r>
      <w:r>
        <w:rPr>
          <w:rFonts w:cs="Arial"/>
          <w:color w:val="000000"/>
          <w:sz w:val="22"/>
          <w:szCs w:val="22"/>
          <w:lang w:val="hr-HR" w:eastAsia="en-GB"/>
        </w:rPr>
        <w:t>integriran</w:t>
      </w:r>
      <w:r w:rsidRPr="0002070C">
        <w:rPr>
          <w:rFonts w:cs="Arial"/>
          <w:color w:val="000000"/>
          <w:sz w:val="22"/>
          <w:szCs w:val="22"/>
          <w:lang w:val="hr-HR" w:eastAsia="en-GB"/>
        </w:rPr>
        <w:t>e platforme, integrirani javni prijevoz putnika, itd.).</w:t>
      </w:r>
      <w:r>
        <w:rPr>
          <w:rFonts w:cs="Arial"/>
          <w:color w:val="000000"/>
          <w:sz w:val="22"/>
          <w:szCs w:val="22"/>
          <w:lang w:val="hr-HR" w:eastAsia="en-GB"/>
        </w:rPr>
        <w:t xml:space="preserve"> </w:t>
      </w:r>
      <w:r w:rsidRPr="0002070C">
        <w:rPr>
          <w:rFonts w:cs="Arial"/>
          <w:color w:val="000000"/>
          <w:sz w:val="22"/>
          <w:szCs w:val="22"/>
          <w:lang w:val="hr-HR" w:eastAsia="en-GB"/>
        </w:rPr>
        <w:t xml:space="preserve">Željeznička i generalno multimodalna infrastruktura zaostaju u razvoju u usporedbi s infrastrukturom autocesta kad je riječ o kvaliteti i povezanosti. Planiraju se ulaganja u cilju razvoja održive, </w:t>
      </w:r>
      <w:r>
        <w:rPr>
          <w:rFonts w:cs="Arial"/>
          <w:color w:val="000000"/>
          <w:sz w:val="22"/>
          <w:szCs w:val="22"/>
          <w:lang w:val="hr-HR" w:eastAsia="en-GB"/>
        </w:rPr>
        <w:t>integriran</w:t>
      </w:r>
      <w:r w:rsidRPr="0002070C">
        <w:rPr>
          <w:rFonts w:cs="Arial"/>
          <w:color w:val="000000"/>
          <w:sz w:val="22"/>
          <w:szCs w:val="22"/>
          <w:lang w:val="hr-HR" w:eastAsia="en-GB"/>
        </w:rPr>
        <w:t>e transeuropske prometne mreže koja je otporna na klimatske promjene.</w:t>
      </w:r>
      <w:r>
        <w:rPr>
          <w:rFonts w:cs="Arial"/>
          <w:color w:val="000000"/>
          <w:sz w:val="22"/>
          <w:szCs w:val="22"/>
          <w:lang w:val="hr-HR" w:eastAsia="en-GB"/>
        </w:rPr>
        <w:t xml:space="preserve"> </w:t>
      </w:r>
      <w:r w:rsidRPr="0002070C">
        <w:rPr>
          <w:rFonts w:cs="Arial"/>
          <w:color w:val="000000"/>
          <w:sz w:val="22"/>
          <w:szCs w:val="22"/>
          <w:lang w:val="hr-HR" w:eastAsia="en-GB"/>
        </w:rPr>
        <w:t>U pomorskom prometu i prometu unutarnjim plovnim putovima, Republika Hrvatska će uz savjetovanje s ostalim Državama Članicama, analizirati mogućnosti uvođenja odgovarajućih mehanizama kako bi se osigurala tranzicija prema niskougljičnim rješenjima</w:t>
      </w:r>
      <w:r>
        <w:rPr>
          <w:rFonts w:cs="Arial"/>
          <w:color w:val="000000"/>
          <w:sz w:val="22"/>
          <w:szCs w:val="22"/>
          <w:lang w:val="hr-HR" w:eastAsia="en-GB"/>
        </w:rPr>
        <w:t>, naročito u smislu aplikacije alternativnih izvora energije za plovidbu</w:t>
      </w:r>
      <w:r w:rsidRPr="0002070C">
        <w:rPr>
          <w:rFonts w:cs="Arial"/>
          <w:color w:val="000000"/>
          <w:sz w:val="22"/>
          <w:szCs w:val="22"/>
          <w:lang w:val="hr-HR" w:eastAsia="en-GB"/>
        </w:rPr>
        <w:t>. U tom kontekstu definirat će se akcijski plan za brodarstvo koji će između ostaloga definirati i odgovarajuće emisijske standarde za nadolazeće razdoblje.</w:t>
      </w:r>
      <w:r>
        <w:rPr>
          <w:rFonts w:cs="Arial"/>
          <w:color w:val="000000"/>
          <w:sz w:val="22"/>
          <w:szCs w:val="22"/>
          <w:lang w:val="hr-HR" w:eastAsia="en-GB"/>
        </w:rPr>
        <w:t xml:space="preserve"> </w:t>
      </w:r>
      <w:r w:rsidRPr="0002070C">
        <w:rPr>
          <w:rFonts w:cs="Arial"/>
          <w:color w:val="000000"/>
          <w:sz w:val="22"/>
          <w:szCs w:val="22"/>
          <w:lang w:val="hr-HR" w:eastAsia="en-GB"/>
        </w:rPr>
        <w:t>Isto tako, u zračnom prometu, Republika Hrvatska će definirati plan i razraditi detaljne smjernice za postizanje značajnog smanjenja emisija stakleničkih plinova.</w:t>
      </w:r>
      <w:r>
        <w:rPr>
          <w:rFonts w:cs="Arial"/>
          <w:color w:val="000000"/>
          <w:sz w:val="22"/>
          <w:szCs w:val="22"/>
          <w:lang w:val="hr-HR" w:eastAsia="en-GB"/>
        </w:rPr>
        <w:t xml:space="preserve"> Sve aktivnosti vezane za definiranje plana i smjernica će se razvijati zajednički na razini EU, uvažavajući stajališta koja će se zauzeti na razini Organizacije međunarodnog civilnog zrakoplovstva (ICAO).</w:t>
      </w:r>
    </w:p>
    <w:p w14:paraId="36CFEDE3" w14:textId="77777777" w:rsidR="00DC15AF" w:rsidRDefault="00DC15AF" w:rsidP="00DC15AF">
      <w:pPr>
        <w:pStyle w:val="NormalWeb"/>
        <w:spacing w:before="0" w:beforeAutospacing="0" w:after="0" w:afterAutospacing="0"/>
        <w:jc w:val="both"/>
        <w:rPr>
          <w:rFonts w:ascii="Arial" w:hAnsi="Arial" w:cs="Arial"/>
          <w:b/>
          <w:bCs/>
          <w:color w:val="000000"/>
          <w:sz w:val="22"/>
          <w:szCs w:val="22"/>
          <w:lang w:eastAsia="en-GB"/>
        </w:rPr>
      </w:pPr>
    </w:p>
    <w:p w14:paraId="61E5FF65"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w:t>
      </w:r>
      <w:r>
        <w:rPr>
          <w:rFonts w:ascii="Arial" w:hAnsi="Arial" w:cs="Arial"/>
          <w:color w:val="000000"/>
          <w:sz w:val="22"/>
          <w:szCs w:val="22"/>
          <w:lang w:eastAsia="en-GB"/>
        </w:rPr>
        <w:t xml:space="preserve">razradit će se i </w:t>
      </w:r>
      <w:r w:rsidRPr="00BE6952">
        <w:rPr>
          <w:rFonts w:ascii="Arial" w:hAnsi="Arial" w:cs="Arial"/>
          <w:color w:val="000000"/>
          <w:sz w:val="22"/>
          <w:szCs w:val="22"/>
          <w:lang w:eastAsia="en-GB"/>
        </w:rPr>
        <w:t>provest</w:t>
      </w:r>
      <w:r>
        <w:rPr>
          <w:rFonts w:ascii="Arial" w:hAnsi="Arial" w:cs="Arial"/>
          <w:color w:val="000000"/>
          <w:sz w:val="22"/>
          <w:szCs w:val="22"/>
          <w:lang w:eastAsia="en-GB"/>
        </w:rPr>
        <w:t>i</w:t>
      </w:r>
      <w:r w:rsidRPr="00BE6952">
        <w:rPr>
          <w:rFonts w:ascii="Arial" w:hAnsi="Arial" w:cs="Arial"/>
          <w:color w:val="000000"/>
          <w:sz w:val="22"/>
          <w:szCs w:val="22"/>
          <w:lang w:eastAsia="en-GB"/>
        </w:rPr>
        <w:t xml:space="preserve"> aktivnosti</w:t>
      </w:r>
      <w:r>
        <w:rPr>
          <w:rFonts w:ascii="Arial" w:hAnsi="Arial" w:cs="Arial"/>
          <w:color w:val="000000"/>
          <w:sz w:val="22"/>
          <w:szCs w:val="22"/>
          <w:lang w:eastAsia="en-GB"/>
        </w:rPr>
        <w:t xml:space="preserve"> predviđene Strategijom. </w:t>
      </w:r>
    </w:p>
    <w:p w14:paraId="4F83AF0A" w14:textId="77777777" w:rsidR="00DC15AF" w:rsidRDefault="00DC15AF" w:rsidP="00DC15AF">
      <w:pPr>
        <w:pStyle w:val="NormalWeb"/>
        <w:spacing w:before="0" w:beforeAutospacing="0" w:after="0" w:afterAutospacing="0"/>
        <w:jc w:val="both"/>
        <w:rPr>
          <w:rFonts w:ascii="Arial" w:hAnsi="Arial" w:cs="Arial"/>
          <w:b/>
          <w:bCs/>
          <w:color w:val="000000"/>
          <w:sz w:val="22"/>
          <w:szCs w:val="22"/>
          <w:lang w:eastAsia="en-GB"/>
        </w:rPr>
      </w:pPr>
    </w:p>
    <w:p w14:paraId="09DEFB50" w14:textId="77777777" w:rsidR="00DC15AF" w:rsidRPr="005B687C" w:rsidRDefault="00DC15AF" w:rsidP="00DC15AF">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Pr>
          <w:rFonts w:ascii="Arial" w:hAnsi="Arial" w:cs="Arial"/>
          <w:sz w:val="22"/>
          <w:szCs w:val="22"/>
        </w:rPr>
        <w:t>Nije procijenjeno</w:t>
      </w:r>
    </w:p>
    <w:p w14:paraId="4A5BD606" w14:textId="77777777" w:rsidR="00DC15AF" w:rsidRDefault="00DC15AF" w:rsidP="00DC15AF">
      <w:pPr>
        <w:pStyle w:val="NormalWeb"/>
        <w:spacing w:before="0" w:beforeAutospacing="0" w:after="0" w:afterAutospacing="0"/>
        <w:rPr>
          <w:rFonts w:ascii="Arial" w:hAnsi="Arial" w:cs="Arial"/>
          <w:color w:val="000000"/>
          <w:sz w:val="22"/>
          <w:szCs w:val="22"/>
          <w:lang w:eastAsia="en-GB"/>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ESI</w:t>
      </w:r>
      <w:r w:rsidRPr="0002070C">
        <w:rPr>
          <w:rFonts w:ascii="Arial" w:hAnsi="Arial" w:cs="Arial"/>
          <w:color w:val="000000"/>
          <w:sz w:val="22"/>
          <w:szCs w:val="22"/>
          <w:lang w:eastAsia="en-GB"/>
        </w:rPr>
        <w:t xml:space="preserve"> fondovi – ovisno o planovima i projektima</w:t>
      </w:r>
      <w:r>
        <w:rPr>
          <w:rFonts w:ascii="Arial" w:hAnsi="Arial" w:cs="Arial"/>
          <w:color w:val="000000"/>
          <w:sz w:val="22"/>
          <w:szCs w:val="22"/>
          <w:lang w:eastAsia="en-GB"/>
        </w:rPr>
        <w:t xml:space="preserve">; </w:t>
      </w:r>
      <w:r w:rsidRPr="0002070C">
        <w:rPr>
          <w:rFonts w:ascii="Arial" w:hAnsi="Arial" w:cs="Arial"/>
          <w:color w:val="000000"/>
          <w:sz w:val="22"/>
          <w:szCs w:val="22"/>
          <w:lang w:eastAsia="en-GB"/>
        </w:rPr>
        <w:t xml:space="preserve">Ministarstvo </w:t>
      </w:r>
      <w:r>
        <w:rPr>
          <w:rFonts w:ascii="Arial" w:hAnsi="Arial" w:cs="Arial"/>
          <w:color w:val="000000"/>
          <w:sz w:val="22"/>
          <w:szCs w:val="22"/>
          <w:lang w:eastAsia="en-GB"/>
        </w:rPr>
        <w:t>mora</w:t>
      </w:r>
      <w:r w:rsidRPr="0002070C">
        <w:rPr>
          <w:rFonts w:ascii="Arial" w:hAnsi="Arial" w:cs="Arial"/>
          <w:color w:val="000000"/>
          <w:sz w:val="22"/>
          <w:szCs w:val="22"/>
          <w:lang w:eastAsia="en-GB"/>
        </w:rPr>
        <w:t>, prometa i infrastrukture</w:t>
      </w:r>
    </w:p>
    <w:p w14:paraId="402E733B" w14:textId="77777777" w:rsidR="00DC15AF" w:rsidRPr="00BE6952" w:rsidRDefault="00DC15AF" w:rsidP="00DC15AF">
      <w:pPr>
        <w:pStyle w:val="NormalWeb"/>
        <w:spacing w:before="0" w:beforeAutospacing="0" w:after="0" w:afterAutospacing="0"/>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sidRPr="0002070C">
        <w:rPr>
          <w:rFonts w:ascii="Arial" w:hAnsi="Arial" w:cs="Arial"/>
          <w:color w:val="000000"/>
          <w:sz w:val="22"/>
          <w:szCs w:val="22"/>
          <w:lang w:eastAsia="en-GB"/>
        </w:rPr>
        <w:t xml:space="preserve">Ministarstvo </w:t>
      </w:r>
      <w:r>
        <w:rPr>
          <w:rFonts w:ascii="Arial" w:hAnsi="Arial" w:cs="Arial"/>
          <w:color w:val="000000"/>
          <w:sz w:val="22"/>
          <w:szCs w:val="22"/>
          <w:lang w:eastAsia="en-GB"/>
        </w:rPr>
        <w:t>mora</w:t>
      </w:r>
      <w:r w:rsidRPr="0002070C">
        <w:rPr>
          <w:rFonts w:ascii="Arial" w:hAnsi="Arial" w:cs="Arial"/>
          <w:color w:val="000000"/>
          <w:sz w:val="22"/>
          <w:szCs w:val="22"/>
          <w:lang w:eastAsia="en-GB"/>
        </w:rPr>
        <w:t>, prometa i infrastrukture</w:t>
      </w:r>
    </w:p>
    <w:p w14:paraId="51076A1C"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w:t>
      </w:r>
      <w:r w:rsidRPr="00EE0E98">
        <w:rPr>
          <w:rFonts w:ascii="Arial" w:hAnsi="Arial" w:cs="Arial"/>
          <w:color w:val="000000"/>
          <w:sz w:val="22"/>
          <w:szCs w:val="22"/>
          <w:lang w:eastAsia="en-GB"/>
        </w:rPr>
        <w:t>MZOE – NKT u koordinaciji s MMPI</w:t>
      </w:r>
    </w:p>
    <w:p w14:paraId="247E9F8C" w14:textId="77777777" w:rsidR="00DC15AF" w:rsidRPr="00F805C6" w:rsidRDefault="00DC15AF" w:rsidP="00DC15AF">
      <w:pPr>
        <w:pStyle w:val="NormalWeb"/>
        <w:spacing w:before="0" w:beforeAutospacing="0" w:after="0" w:afterAutospacing="0"/>
        <w:rPr>
          <w:rFonts w:ascii="Arial" w:hAnsi="Arial" w:cs="Arial"/>
          <w:color w:val="000000"/>
          <w:sz w:val="22"/>
          <w:szCs w:val="22"/>
          <w:lang w:eastAsia="en-GB"/>
        </w:rPr>
      </w:pPr>
      <w:r w:rsidRPr="00BE6952">
        <w:rPr>
          <w:rFonts w:ascii="Arial" w:hAnsi="Arial" w:cs="Arial"/>
          <w:b/>
          <w:bCs/>
          <w:color w:val="000000"/>
          <w:sz w:val="22"/>
          <w:szCs w:val="22"/>
          <w:lang w:eastAsia="en-GB"/>
        </w:rPr>
        <w:t xml:space="preserve">Učinak: </w:t>
      </w:r>
      <w:r w:rsidRPr="00EE0E98">
        <w:rPr>
          <w:rFonts w:ascii="Arial" w:hAnsi="Arial" w:cs="Arial"/>
          <w:color w:val="000000"/>
          <w:sz w:val="22"/>
          <w:szCs w:val="22"/>
          <w:lang w:eastAsia="en-GB"/>
        </w:rPr>
        <w:t>Ušteda energije i smanjenje emisije CO</w:t>
      </w:r>
      <w:r w:rsidRPr="00EE0E98">
        <w:rPr>
          <w:rFonts w:ascii="Arial" w:hAnsi="Arial" w:cs="Arial"/>
          <w:color w:val="000000"/>
          <w:sz w:val="22"/>
          <w:szCs w:val="22"/>
          <w:vertAlign w:val="subscript"/>
          <w:lang w:eastAsia="en-GB"/>
        </w:rPr>
        <w:t>2e</w:t>
      </w:r>
      <w:r>
        <w:rPr>
          <w:rFonts w:ascii="Arial" w:hAnsi="Arial" w:cs="Arial"/>
          <w:color w:val="000000"/>
          <w:sz w:val="22"/>
          <w:szCs w:val="22"/>
          <w:vertAlign w:val="subscript"/>
          <w:lang w:eastAsia="en-GB"/>
        </w:rPr>
        <w:t xml:space="preserve"> </w:t>
      </w:r>
      <w:r w:rsidRPr="009A1A78">
        <w:rPr>
          <w:rFonts w:ascii="Arial" w:hAnsi="Arial" w:cs="Arial"/>
          <w:color w:val="000000"/>
          <w:sz w:val="22"/>
          <w:szCs w:val="22"/>
          <w:lang w:eastAsia="en-GB"/>
        </w:rPr>
        <w:t>te smanjenje emisija onečišćujućih tvari</w:t>
      </w:r>
    </w:p>
    <w:p w14:paraId="28BB7C80" w14:textId="77777777" w:rsidR="00DC15AF" w:rsidRPr="00BE6952" w:rsidRDefault="00DC15AF" w:rsidP="00DC15AF">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Metoda praćenja:</w:t>
      </w:r>
      <w:r w:rsidRPr="00F805C6">
        <w:t xml:space="preserve"> </w:t>
      </w:r>
      <w:r w:rsidRPr="00F805C6">
        <w:rPr>
          <w:rFonts w:ascii="Arial" w:hAnsi="Arial" w:cs="Arial"/>
          <w:color w:val="000000"/>
          <w:sz w:val="22"/>
          <w:szCs w:val="22"/>
          <w:lang w:eastAsia="en-GB"/>
        </w:rPr>
        <w:t>Učinci ove mjere evidentirat će se zasebno po projektima, propisanom TD metodologijom, uz eventualnu nadopunu/razradu nove BU metodologije</w:t>
      </w:r>
    </w:p>
    <w:p w14:paraId="3BA40EA5"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w:t>
      </w:r>
    </w:p>
    <w:p w14:paraId="1FD2A91C" w14:textId="77777777" w:rsidR="00DC15AF" w:rsidRPr="00BE6952" w:rsidRDefault="00DC15AF" w:rsidP="00DC15AF">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6FAE507D" w14:textId="7AB5C14A" w:rsidR="00DC15AF" w:rsidRDefault="00DC15AF" w:rsidP="00DC15AF">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Održiva mobilnost i alternativna goriva u prijevozu zahtijevaju razvoj novih tehnologija i to u domeni vozila, infrastrukture i naprednih sustava upravljanja temeljenim na informacijsko-komunikacijskim tehnologijama.</w:t>
      </w:r>
      <w:r w:rsidR="00622DB1">
        <w:rPr>
          <w:rFonts w:ascii="Arial" w:hAnsi="Arial" w:cs="Arial"/>
          <w:color w:val="000000"/>
          <w:sz w:val="22"/>
          <w:szCs w:val="22"/>
          <w:lang w:eastAsia="en-GB"/>
        </w:rPr>
        <w:t xml:space="preserve"> </w:t>
      </w:r>
    </w:p>
    <w:p w14:paraId="6C1E8FC1" w14:textId="77777777" w:rsidR="00DC15AF" w:rsidRDefault="00DC15AF" w:rsidP="00347A17">
      <w:pPr>
        <w:pStyle w:val="NormalWeb"/>
        <w:spacing w:after="120" w:line="288" w:lineRule="auto"/>
        <w:jc w:val="both"/>
        <w:rPr>
          <w:rFonts w:ascii="Arial" w:hAnsi="Arial" w:cs="Arial"/>
          <w:b/>
          <w:bCs/>
          <w:color w:val="000000"/>
          <w:sz w:val="22"/>
          <w:szCs w:val="22"/>
        </w:rPr>
      </w:pPr>
    </w:p>
    <w:p w14:paraId="1B754891" w14:textId="4BCA084B" w:rsidR="0012721C"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w:t>
      </w:r>
      <w:r w:rsidR="00E14C45">
        <w:rPr>
          <w:rFonts w:ascii="Arial" w:hAnsi="Arial" w:cs="Arial"/>
          <w:b/>
          <w:bCs/>
          <w:color w:val="000000"/>
          <w:sz w:val="22"/>
          <w:szCs w:val="22"/>
        </w:rPr>
        <w:t>10</w:t>
      </w:r>
      <w:r w:rsidRPr="005B687C">
        <w:rPr>
          <w:rFonts w:ascii="Arial" w:hAnsi="Arial" w:cs="Arial"/>
          <w:b/>
          <w:bCs/>
          <w:color w:val="000000"/>
          <w:sz w:val="22"/>
          <w:szCs w:val="22"/>
        </w:rPr>
        <w:t xml:space="preserve">: </w:t>
      </w:r>
      <w:r w:rsidRPr="00106EE3">
        <w:rPr>
          <w:rFonts w:ascii="Arial" w:hAnsi="Arial" w:cs="Arial"/>
          <w:b/>
          <w:bCs/>
          <w:color w:val="000000"/>
          <w:sz w:val="22"/>
          <w:szCs w:val="22"/>
        </w:rPr>
        <w:t>Promicanje integriranog i inteligentnog prometa i razvoj infrastrukture za alternativna goriva na lokalnoj i područnoj razini</w:t>
      </w:r>
    </w:p>
    <w:p w14:paraId="7D6DB192" w14:textId="77777777" w:rsidR="0012721C" w:rsidRPr="00ED5A38" w:rsidRDefault="0012721C" w:rsidP="00286B4C">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Informacijska i organizacijska</w:t>
      </w:r>
      <w:r w:rsidRPr="005B687C">
        <w:rPr>
          <w:rFonts w:ascii="Arial" w:hAnsi="Arial" w:cs="Arial"/>
          <w:b/>
          <w:bCs/>
          <w:color w:val="000000"/>
          <w:sz w:val="22"/>
          <w:szCs w:val="22"/>
        </w:rPr>
        <w:t xml:space="preserve"> mjera; provedba </w:t>
      </w:r>
      <w:r>
        <w:rPr>
          <w:rFonts w:ascii="Arial" w:hAnsi="Arial" w:cs="Arial"/>
          <w:b/>
          <w:bCs/>
          <w:color w:val="000000"/>
          <w:sz w:val="22"/>
          <w:szCs w:val="22"/>
        </w:rPr>
        <w:t>2019</w:t>
      </w:r>
      <w:r w:rsidRPr="005B687C">
        <w:rPr>
          <w:rFonts w:ascii="Arial" w:hAnsi="Arial" w:cs="Arial"/>
          <w:b/>
          <w:bCs/>
          <w:color w:val="000000"/>
          <w:sz w:val="22"/>
          <w:szCs w:val="22"/>
        </w:rPr>
        <w:t xml:space="preserve">. – 2030. </w:t>
      </w:r>
    </w:p>
    <w:p w14:paraId="2B7EA07B" w14:textId="266A3CF7" w:rsidR="0012721C" w:rsidRDefault="0012721C" w:rsidP="0012721C">
      <w:pPr>
        <w:pStyle w:val="Tabletext"/>
        <w:tabs>
          <w:tab w:val="left" w:pos="1440"/>
          <w:tab w:val="left" w:pos="5040"/>
        </w:tabs>
        <w:spacing w:before="0" w:after="0" w:line="240" w:lineRule="auto"/>
        <w:rPr>
          <w:rFonts w:cs="Arial"/>
          <w:b/>
          <w:bCs/>
          <w:color w:val="000000"/>
          <w:sz w:val="22"/>
          <w:szCs w:val="22"/>
          <w:lang w:eastAsia="en-GB"/>
        </w:rPr>
      </w:pPr>
      <w:r w:rsidRPr="00106EE3">
        <w:rPr>
          <w:rFonts w:cs="Arial"/>
          <w:b/>
          <w:bCs/>
          <w:color w:val="000000"/>
          <w:sz w:val="22"/>
          <w:szCs w:val="22"/>
          <w:lang w:val="hr-HR" w:eastAsia="en-GB"/>
        </w:rPr>
        <w:t>Cilj i opis mjere:</w:t>
      </w:r>
      <w:r w:rsidRPr="00106EE3">
        <w:rPr>
          <w:rFonts w:cs="Arial"/>
          <w:color w:val="000000"/>
          <w:sz w:val="22"/>
          <w:szCs w:val="22"/>
          <w:lang w:val="hr-HR" w:eastAsia="en-GB"/>
        </w:rPr>
        <w:t xml:space="preserve"> </w:t>
      </w:r>
      <w:r w:rsidRPr="00EE0E98">
        <w:rPr>
          <w:rFonts w:cs="Arial"/>
          <w:color w:val="000000"/>
          <w:sz w:val="22"/>
          <w:szCs w:val="22"/>
          <w:lang w:val="hr-HR" w:eastAsia="en-GB"/>
        </w:rPr>
        <w:t xml:space="preserve">Potrebno je promovirati održivi razvoj gradskih prometnih sustava i to kroz optimiranje logistike prijevoza tereta te inteligentno upravljanje javnim parkirnim površinama (ICT tehnologije), uvođenje integriranog prijevoza putnika, uvođenje car-sharing sheme u gradovima, uvođenje nisko-emisijskih zona u gradovima, uvođenje sustava javnih gradskih bicikala </w:t>
      </w:r>
      <w:r w:rsidR="00CB54F7">
        <w:rPr>
          <w:rFonts w:cs="Arial"/>
          <w:color w:val="000000"/>
          <w:sz w:val="22"/>
          <w:szCs w:val="22"/>
          <w:lang w:val="hr-HR" w:eastAsia="en-GB"/>
        </w:rPr>
        <w:t>(</w:t>
      </w:r>
      <w:r w:rsidR="0058124C">
        <w:rPr>
          <w:rFonts w:cs="Arial"/>
          <w:color w:val="000000"/>
          <w:sz w:val="22"/>
          <w:szCs w:val="22"/>
          <w:lang w:val="hr-HR" w:eastAsia="en-GB"/>
        </w:rPr>
        <w:t xml:space="preserve">sa i bez </w:t>
      </w:r>
      <w:r w:rsidR="00966300">
        <w:rPr>
          <w:rFonts w:cs="Arial"/>
          <w:color w:val="000000"/>
          <w:sz w:val="22"/>
          <w:szCs w:val="22"/>
          <w:lang w:val="hr-HR" w:eastAsia="en-GB"/>
        </w:rPr>
        <w:t>električnog pogona)</w:t>
      </w:r>
      <w:r w:rsidRPr="00EE0E98">
        <w:rPr>
          <w:rFonts w:cs="Arial"/>
          <w:color w:val="000000"/>
          <w:sz w:val="22"/>
          <w:szCs w:val="22"/>
          <w:lang w:val="hr-HR" w:eastAsia="en-GB"/>
        </w:rPr>
        <w:t xml:space="preserve"> i izgradnje pripadajuće biciklističke infrastrukture, inteligentno upravljanje u prometu (nadogradnja, prilagodba i zamjena zastarjelih signalnih uređaja i opreme, ugradnja napredne prometne opreme i inteligentnih semafora opremljenih autonomnim sustavom napajanja iz obnovljivih izvora, izgradnja i opremanje središnjih operativnih centara za nadzor i upravljanje raskrižjima s postavljenim semaforima). Na lokalnim razinama, nužna je kontinuirana izrada i provedba Planova održive mobilnosti u gradovima, odnosno strateških planova koji se nadovezuju na postojeću praksu u planiranju, a uzimaju u obzir integracijske, participacijske i evaluacijske principe kako bi se zadovoljile potrebe stanovnika gradova za mobilnošću, sada i u budućnosti, te osigurala bolja kvaliteta života u gradovima i njihovoj okolini. Aktivnosti će pratiti odgovarajuće informativno-edukativne kampanje.</w:t>
      </w:r>
      <w:r>
        <w:rPr>
          <w:rFonts w:cs="Arial"/>
          <w:color w:val="000000"/>
          <w:sz w:val="22"/>
          <w:szCs w:val="22"/>
          <w:lang w:val="hr-HR" w:eastAsia="en-GB"/>
        </w:rPr>
        <w:t xml:space="preserve"> </w:t>
      </w:r>
      <w:r w:rsidR="009966A1" w:rsidRPr="009966A1">
        <w:rPr>
          <w:rFonts w:cs="Arial"/>
          <w:color w:val="000000"/>
          <w:sz w:val="22"/>
          <w:szCs w:val="22"/>
          <w:lang w:val="hr-HR" w:eastAsia="en-GB"/>
        </w:rPr>
        <w:t xml:space="preserve">Cilj je ovim mjerama obuhvatiti sve županije, velike gradove (s više od 35.000 stanovnika) te općine i gradove koje zajednički čine geografsku cjelinu s više od 35.000 stanovnika. </w:t>
      </w:r>
    </w:p>
    <w:p w14:paraId="33DF4CA6"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188C5E77" w14:textId="24FD4664"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aktivnosti</w:t>
      </w:r>
      <w:r>
        <w:rPr>
          <w:rFonts w:ascii="Arial" w:hAnsi="Arial" w:cs="Arial"/>
          <w:color w:val="000000"/>
          <w:sz w:val="22"/>
          <w:szCs w:val="22"/>
          <w:lang w:eastAsia="en-GB"/>
        </w:rPr>
        <w:t xml:space="preserve"> sufinanciranja putem javnih poziva FZOEU-a kao i aktivnosti koje </w:t>
      </w:r>
      <w:r w:rsidRPr="00EE0E98">
        <w:rPr>
          <w:rFonts w:ascii="Arial" w:hAnsi="Arial" w:cs="Arial"/>
          <w:color w:val="000000"/>
          <w:sz w:val="22"/>
          <w:szCs w:val="22"/>
          <w:lang w:eastAsia="en-GB"/>
        </w:rPr>
        <w:t>JLP(R)S</w:t>
      </w:r>
      <w:r>
        <w:rPr>
          <w:rFonts w:ascii="Arial" w:hAnsi="Arial" w:cs="Arial"/>
          <w:color w:val="000000"/>
          <w:sz w:val="22"/>
          <w:szCs w:val="22"/>
          <w:lang w:eastAsia="en-GB"/>
        </w:rPr>
        <w:t>-e samostalno poduzimaju u skladu sa svojim planovima održivog razvoja prometnih sustava.</w:t>
      </w:r>
      <w:r w:rsidR="00E223DA">
        <w:rPr>
          <w:rFonts w:ascii="Arial" w:hAnsi="Arial" w:cs="Arial"/>
          <w:color w:val="000000"/>
          <w:sz w:val="22"/>
          <w:szCs w:val="22"/>
          <w:lang w:eastAsia="en-GB"/>
        </w:rPr>
        <w:t xml:space="preserve"> </w:t>
      </w:r>
    </w:p>
    <w:p w14:paraId="5C10ACC2"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06C06ACB" w14:textId="77777777"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Pr>
          <w:rFonts w:ascii="Arial" w:hAnsi="Arial" w:cs="Arial"/>
          <w:sz w:val="22"/>
          <w:szCs w:val="22"/>
        </w:rPr>
        <w:t>85</w:t>
      </w:r>
      <w:r w:rsidRPr="00106EE3">
        <w:rPr>
          <w:rFonts w:ascii="Arial" w:hAnsi="Arial" w:cs="Arial"/>
          <w:sz w:val="22"/>
          <w:szCs w:val="22"/>
        </w:rPr>
        <w:t xml:space="preserve"> milijuna kuna</w:t>
      </w:r>
    </w:p>
    <w:p w14:paraId="1ECD98D5" w14:textId="53010B8A" w:rsidR="0012721C" w:rsidRPr="00EE0E98" w:rsidRDefault="0012721C" w:rsidP="0012721C">
      <w:pPr>
        <w:pStyle w:val="NormalWeb"/>
        <w:spacing w:before="0" w:beforeAutospacing="0" w:after="0" w:afterAutospacing="0"/>
        <w:rPr>
          <w:rFonts w:ascii="Arial" w:hAnsi="Arial" w:cs="Arial"/>
          <w:color w:val="000000"/>
          <w:sz w:val="22"/>
          <w:szCs w:val="22"/>
          <w:lang w:eastAsia="en-GB"/>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 xml:space="preserve">FZOEU iz </w:t>
      </w:r>
      <w:r w:rsidRPr="00BD3F29">
        <w:rPr>
          <w:rFonts w:ascii="Arial" w:hAnsi="Arial" w:cs="Arial"/>
          <w:color w:val="000000"/>
          <w:sz w:val="22"/>
          <w:szCs w:val="22"/>
          <w:lang w:eastAsia="en-GB"/>
        </w:rPr>
        <w:t>sredst</w:t>
      </w:r>
      <w:r>
        <w:rPr>
          <w:rFonts w:ascii="Arial" w:hAnsi="Arial" w:cs="Arial"/>
          <w:color w:val="000000"/>
          <w:sz w:val="22"/>
          <w:szCs w:val="22"/>
          <w:lang w:eastAsia="en-GB"/>
        </w:rPr>
        <w:t>a</w:t>
      </w:r>
      <w:r w:rsidRPr="00BD3F29">
        <w:rPr>
          <w:rFonts w:ascii="Arial" w:hAnsi="Arial" w:cs="Arial"/>
          <w:color w:val="000000"/>
          <w:sz w:val="22"/>
          <w:szCs w:val="22"/>
          <w:lang w:eastAsia="en-GB"/>
        </w:rPr>
        <w:t>va stečenim od prodaje emisijskih jedinica putem dražbe</w:t>
      </w:r>
      <w:r w:rsidR="002F048A">
        <w:rPr>
          <w:rFonts w:ascii="Arial" w:hAnsi="Arial" w:cs="Arial"/>
          <w:color w:val="000000"/>
          <w:sz w:val="22"/>
          <w:szCs w:val="22"/>
          <w:lang w:eastAsia="en-GB"/>
        </w:rPr>
        <w:t>, iz sredstava prikupljenih od posebne naknade za vozila te od p</w:t>
      </w:r>
      <w:r w:rsidR="002F048A" w:rsidRPr="005F6684">
        <w:rPr>
          <w:rFonts w:ascii="Arial" w:hAnsi="Arial" w:cs="Arial"/>
          <w:color w:val="000000"/>
          <w:sz w:val="22"/>
          <w:szCs w:val="22"/>
          <w:lang w:eastAsia="en-GB"/>
        </w:rPr>
        <w:t>osebn</w:t>
      </w:r>
      <w:r w:rsidR="002F048A">
        <w:rPr>
          <w:rFonts w:ascii="Arial" w:hAnsi="Arial" w:cs="Arial"/>
          <w:color w:val="000000"/>
          <w:sz w:val="22"/>
          <w:szCs w:val="22"/>
          <w:lang w:eastAsia="en-GB"/>
        </w:rPr>
        <w:t>e</w:t>
      </w:r>
      <w:r w:rsidR="002F048A" w:rsidRPr="005F6684">
        <w:rPr>
          <w:rFonts w:ascii="Arial" w:hAnsi="Arial" w:cs="Arial"/>
          <w:color w:val="000000"/>
          <w:sz w:val="22"/>
          <w:szCs w:val="22"/>
          <w:lang w:eastAsia="en-GB"/>
        </w:rPr>
        <w:t xml:space="preserve"> naknad</w:t>
      </w:r>
      <w:r w:rsidR="002F048A">
        <w:rPr>
          <w:rFonts w:ascii="Arial" w:hAnsi="Arial" w:cs="Arial"/>
          <w:color w:val="000000"/>
          <w:sz w:val="22"/>
          <w:szCs w:val="22"/>
          <w:lang w:eastAsia="en-GB"/>
        </w:rPr>
        <w:t>e</w:t>
      </w:r>
      <w:r w:rsidR="002F048A" w:rsidRPr="005F6684">
        <w:rPr>
          <w:rFonts w:ascii="Arial" w:hAnsi="Arial" w:cs="Arial"/>
          <w:color w:val="000000"/>
          <w:sz w:val="22"/>
          <w:szCs w:val="22"/>
          <w:lang w:eastAsia="en-GB"/>
        </w:rPr>
        <w:t xml:space="preserve"> za okoliš radi nestavljanja biogoriva na tržište</w:t>
      </w:r>
      <w:r>
        <w:rPr>
          <w:rFonts w:ascii="Arial" w:hAnsi="Arial" w:cs="Arial"/>
          <w:color w:val="000000"/>
          <w:sz w:val="22"/>
          <w:szCs w:val="22"/>
          <w:lang w:eastAsia="en-GB"/>
        </w:rPr>
        <w:t xml:space="preserve">, </w:t>
      </w:r>
      <w:r w:rsidR="008319C0">
        <w:rPr>
          <w:rFonts w:ascii="Arial" w:hAnsi="Arial" w:cs="Arial"/>
          <w:color w:val="000000"/>
          <w:sz w:val="22"/>
          <w:szCs w:val="22"/>
          <w:lang w:eastAsia="en-GB"/>
        </w:rPr>
        <w:t xml:space="preserve">Modernizacijski fond, ESI fondovi, </w:t>
      </w:r>
      <w:r>
        <w:rPr>
          <w:rFonts w:ascii="Arial" w:hAnsi="Arial" w:cs="Arial"/>
          <w:color w:val="000000"/>
          <w:sz w:val="22"/>
          <w:szCs w:val="22"/>
          <w:lang w:eastAsia="en-GB"/>
        </w:rPr>
        <w:t>p</w:t>
      </w:r>
      <w:r w:rsidRPr="00EE0E98">
        <w:rPr>
          <w:rFonts w:ascii="Arial" w:hAnsi="Arial" w:cs="Arial"/>
          <w:color w:val="000000"/>
          <w:sz w:val="22"/>
          <w:szCs w:val="22"/>
          <w:lang w:eastAsia="en-GB"/>
        </w:rPr>
        <w:t>roračuni JLP(R)S, EU fondovi – ovisno o planovima i projektima JLP(R)S-a</w:t>
      </w:r>
    </w:p>
    <w:p w14:paraId="506CE7DD" w14:textId="23824358"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sidRPr="00EE0E98">
        <w:rPr>
          <w:rFonts w:ascii="Arial" w:hAnsi="Arial" w:cs="Arial"/>
          <w:color w:val="000000"/>
          <w:sz w:val="22"/>
          <w:szCs w:val="22"/>
          <w:lang w:eastAsia="en-GB"/>
        </w:rPr>
        <w:t>FZOEU (sufinanciranje i raspisivanje natječaja), JLP(R)S – planiranje kroz godišnje i akcijske planove i provedba</w:t>
      </w:r>
    </w:p>
    <w:p w14:paraId="7D07E3DF"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w:t>
      </w:r>
      <w:r w:rsidRPr="00EE0E98">
        <w:rPr>
          <w:rFonts w:ascii="Arial" w:hAnsi="Arial" w:cs="Arial"/>
          <w:color w:val="000000"/>
          <w:sz w:val="22"/>
          <w:szCs w:val="22"/>
          <w:lang w:eastAsia="en-GB"/>
        </w:rPr>
        <w:t>MZOE – NKT u koordinaciji s MMPI</w:t>
      </w:r>
    </w:p>
    <w:p w14:paraId="32BDD301" w14:textId="064CBFB2" w:rsidR="0012721C" w:rsidRPr="00F805C6" w:rsidRDefault="0012721C" w:rsidP="0012721C">
      <w:pPr>
        <w:pStyle w:val="NormalWeb"/>
        <w:spacing w:before="0" w:beforeAutospacing="0" w:after="0" w:afterAutospacing="0"/>
        <w:rPr>
          <w:rFonts w:ascii="Arial" w:hAnsi="Arial" w:cs="Arial"/>
          <w:color w:val="000000"/>
          <w:sz w:val="22"/>
          <w:szCs w:val="22"/>
          <w:lang w:eastAsia="en-GB"/>
        </w:rPr>
      </w:pPr>
      <w:r w:rsidRPr="00BE6952">
        <w:rPr>
          <w:rFonts w:ascii="Arial" w:hAnsi="Arial" w:cs="Arial"/>
          <w:b/>
          <w:bCs/>
          <w:color w:val="000000"/>
          <w:sz w:val="22"/>
          <w:szCs w:val="22"/>
          <w:lang w:eastAsia="en-GB"/>
        </w:rPr>
        <w:t xml:space="preserve">Učinak: </w:t>
      </w:r>
      <w:r w:rsidRPr="00EE0E98">
        <w:rPr>
          <w:rFonts w:ascii="Arial" w:hAnsi="Arial" w:cs="Arial"/>
          <w:color w:val="000000"/>
          <w:sz w:val="22"/>
          <w:szCs w:val="22"/>
          <w:lang w:eastAsia="en-GB"/>
        </w:rPr>
        <w:t>Ušteda energije i smanjenje emisije CO</w:t>
      </w:r>
      <w:r w:rsidRPr="00EE0E98">
        <w:rPr>
          <w:rFonts w:ascii="Arial" w:hAnsi="Arial" w:cs="Arial"/>
          <w:color w:val="000000"/>
          <w:sz w:val="22"/>
          <w:szCs w:val="22"/>
          <w:vertAlign w:val="subscript"/>
          <w:lang w:eastAsia="en-GB"/>
        </w:rPr>
        <w:t>2e</w:t>
      </w:r>
      <w:r w:rsidR="007E04BF">
        <w:rPr>
          <w:rFonts w:ascii="Arial" w:hAnsi="Arial" w:cs="Arial"/>
          <w:color w:val="000000"/>
          <w:sz w:val="22"/>
          <w:szCs w:val="22"/>
          <w:vertAlign w:val="subscript"/>
          <w:lang w:eastAsia="en-GB"/>
        </w:rPr>
        <w:t xml:space="preserve"> </w:t>
      </w:r>
      <w:r w:rsidR="007E04BF" w:rsidRPr="009A1A78">
        <w:rPr>
          <w:rFonts w:ascii="Arial" w:hAnsi="Arial" w:cs="Arial"/>
          <w:color w:val="000000"/>
          <w:sz w:val="22"/>
          <w:szCs w:val="22"/>
          <w:lang w:eastAsia="en-GB"/>
        </w:rPr>
        <w:t>te smanjenje emisija onečišćujućih tvari</w:t>
      </w:r>
      <w:r>
        <w:rPr>
          <w:rFonts w:ascii="Arial" w:hAnsi="Arial" w:cs="Arial"/>
          <w:color w:val="000000"/>
          <w:sz w:val="22"/>
          <w:szCs w:val="22"/>
          <w:lang w:eastAsia="en-GB"/>
        </w:rPr>
        <w:t xml:space="preserve">; </w:t>
      </w:r>
      <w:r w:rsidRPr="00BD3F29">
        <w:rPr>
          <w:rFonts w:ascii="Arial" w:hAnsi="Arial" w:cs="Arial"/>
          <w:color w:val="000000"/>
          <w:sz w:val="22"/>
          <w:szCs w:val="22"/>
          <w:lang w:eastAsia="en-GB"/>
        </w:rPr>
        <w:t xml:space="preserve">procijenjene uštede u 2030. </w:t>
      </w:r>
      <w:r w:rsidRPr="00F805C6">
        <w:rPr>
          <w:rFonts w:ascii="Arial" w:hAnsi="Arial" w:cs="Arial"/>
          <w:color w:val="000000"/>
          <w:sz w:val="22"/>
          <w:szCs w:val="22"/>
          <w:lang w:eastAsia="en-GB"/>
        </w:rPr>
        <w:t xml:space="preserve">0,15 </w:t>
      </w:r>
      <w:r w:rsidRPr="0092419E">
        <w:rPr>
          <w:rFonts w:ascii="Arial" w:hAnsi="Arial" w:cs="Arial"/>
          <w:color w:val="000000"/>
          <w:sz w:val="22"/>
          <w:szCs w:val="22"/>
          <w:lang w:eastAsia="en-GB"/>
        </w:rPr>
        <w:t>PJ</w:t>
      </w:r>
      <w:r w:rsidRPr="00BD3F29">
        <w:rPr>
          <w:rFonts w:ascii="Arial" w:hAnsi="Arial" w:cs="Arial"/>
          <w:color w:val="000000"/>
          <w:sz w:val="22"/>
          <w:szCs w:val="22"/>
          <w:lang w:eastAsia="en-GB"/>
        </w:rPr>
        <w:t>; procijenjeno smanjenje emisija CO</w:t>
      </w:r>
      <w:r w:rsidRPr="00BD3F29">
        <w:rPr>
          <w:rFonts w:ascii="Arial" w:hAnsi="Arial" w:cs="Arial"/>
          <w:color w:val="000000"/>
          <w:sz w:val="22"/>
          <w:szCs w:val="22"/>
          <w:vertAlign w:val="subscript"/>
          <w:lang w:eastAsia="en-GB"/>
        </w:rPr>
        <w:t>2</w:t>
      </w:r>
      <w:r w:rsidRPr="00BD3F29">
        <w:rPr>
          <w:rFonts w:ascii="Arial" w:hAnsi="Arial" w:cs="Arial"/>
          <w:color w:val="000000"/>
          <w:sz w:val="22"/>
          <w:szCs w:val="22"/>
          <w:lang w:eastAsia="en-GB"/>
        </w:rPr>
        <w:t xml:space="preserve"> u 2030. </w:t>
      </w:r>
      <w:r w:rsidRPr="00F805C6">
        <w:rPr>
          <w:rFonts w:ascii="Arial" w:hAnsi="Arial" w:cs="Arial"/>
          <w:color w:val="000000"/>
          <w:sz w:val="22"/>
          <w:szCs w:val="22"/>
          <w:lang w:eastAsia="en-GB"/>
        </w:rPr>
        <w:t xml:space="preserve">11,0 </w:t>
      </w:r>
      <w:r w:rsidRPr="0092419E">
        <w:rPr>
          <w:rFonts w:ascii="Arial" w:hAnsi="Arial" w:cs="Arial"/>
          <w:color w:val="000000"/>
          <w:sz w:val="22"/>
          <w:szCs w:val="22"/>
          <w:lang w:eastAsia="en-GB"/>
        </w:rPr>
        <w:t>kt</w:t>
      </w:r>
      <w:r w:rsidRPr="00BD3F29">
        <w:rPr>
          <w:rFonts w:ascii="Arial" w:hAnsi="Arial" w:cs="Arial"/>
          <w:color w:val="000000"/>
          <w:sz w:val="22"/>
          <w:szCs w:val="22"/>
          <w:lang w:eastAsia="en-GB"/>
        </w:rPr>
        <w:t>CO</w:t>
      </w:r>
      <w:r w:rsidRPr="00BD3F29">
        <w:rPr>
          <w:rFonts w:ascii="Arial" w:hAnsi="Arial" w:cs="Arial"/>
          <w:color w:val="000000"/>
          <w:sz w:val="22"/>
          <w:szCs w:val="22"/>
          <w:vertAlign w:val="subscript"/>
          <w:lang w:eastAsia="en-GB"/>
        </w:rPr>
        <w:t>2e</w:t>
      </w:r>
      <w:r w:rsidRPr="00BD3F29">
        <w:rPr>
          <w:rFonts w:ascii="Arial" w:hAnsi="Arial" w:cs="Arial"/>
          <w:color w:val="000000"/>
          <w:sz w:val="22"/>
          <w:szCs w:val="22"/>
          <w:lang w:eastAsia="en-GB"/>
        </w:rPr>
        <w:t>; kumulativne uštede energije u razdoblju 2021.-2030.</w:t>
      </w:r>
      <w:r>
        <w:rPr>
          <w:rFonts w:ascii="Arial" w:hAnsi="Arial" w:cs="Arial"/>
          <w:color w:val="000000"/>
          <w:sz w:val="22"/>
          <w:szCs w:val="22"/>
          <w:lang w:eastAsia="en-GB"/>
        </w:rPr>
        <w:t xml:space="preserve"> </w:t>
      </w:r>
      <w:r w:rsidRPr="00F805C6">
        <w:rPr>
          <w:rFonts w:ascii="Arial" w:hAnsi="Arial" w:cs="Arial"/>
          <w:color w:val="000000"/>
          <w:sz w:val="22"/>
          <w:szCs w:val="22"/>
          <w:lang w:eastAsia="en-GB"/>
        </w:rPr>
        <w:t xml:space="preserve">1,19 </w:t>
      </w:r>
      <w:r w:rsidRPr="0092419E">
        <w:rPr>
          <w:rFonts w:ascii="Arial" w:hAnsi="Arial" w:cs="Arial"/>
          <w:color w:val="000000"/>
          <w:sz w:val="22"/>
          <w:szCs w:val="22"/>
          <w:lang w:eastAsia="en-GB"/>
        </w:rPr>
        <w:t>PJ</w:t>
      </w:r>
      <w:r w:rsidRPr="00BD3F29">
        <w:rPr>
          <w:rFonts w:ascii="Arial" w:hAnsi="Arial" w:cs="Arial"/>
          <w:color w:val="000000"/>
          <w:sz w:val="22"/>
          <w:szCs w:val="22"/>
          <w:lang w:eastAsia="en-GB"/>
        </w:rPr>
        <w:t>; kumulativno smanjenje emisija CO</w:t>
      </w:r>
      <w:r w:rsidRPr="00BD3F29">
        <w:rPr>
          <w:rFonts w:ascii="Arial" w:hAnsi="Arial" w:cs="Arial"/>
          <w:color w:val="000000"/>
          <w:sz w:val="22"/>
          <w:szCs w:val="22"/>
          <w:vertAlign w:val="subscript"/>
          <w:lang w:eastAsia="en-GB"/>
        </w:rPr>
        <w:t>2</w:t>
      </w:r>
      <w:r w:rsidRPr="00BD3F29">
        <w:rPr>
          <w:rFonts w:ascii="Arial" w:hAnsi="Arial" w:cs="Arial"/>
          <w:color w:val="000000"/>
          <w:sz w:val="22"/>
          <w:szCs w:val="22"/>
          <w:lang w:eastAsia="en-GB"/>
        </w:rPr>
        <w:t xml:space="preserve"> u razdoblju 2021.-2030. </w:t>
      </w:r>
      <w:r w:rsidRPr="00F805C6">
        <w:rPr>
          <w:rFonts w:ascii="Arial" w:hAnsi="Arial" w:cs="Arial"/>
          <w:color w:val="000000"/>
          <w:sz w:val="22"/>
          <w:szCs w:val="22"/>
          <w:lang w:eastAsia="en-GB"/>
        </w:rPr>
        <w:t xml:space="preserve">87,1 </w:t>
      </w:r>
      <w:r w:rsidRPr="00BD3F29">
        <w:rPr>
          <w:rFonts w:ascii="Arial" w:hAnsi="Arial" w:cs="Arial"/>
          <w:color w:val="000000"/>
          <w:sz w:val="22"/>
          <w:szCs w:val="22"/>
          <w:lang w:eastAsia="en-GB"/>
        </w:rPr>
        <w:t>ktCO</w:t>
      </w:r>
      <w:r w:rsidRPr="00BD3F29">
        <w:rPr>
          <w:rFonts w:ascii="Arial" w:hAnsi="Arial" w:cs="Arial"/>
          <w:color w:val="000000"/>
          <w:sz w:val="22"/>
          <w:szCs w:val="22"/>
          <w:vertAlign w:val="subscript"/>
          <w:lang w:eastAsia="en-GB"/>
        </w:rPr>
        <w:t>2e</w:t>
      </w:r>
    </w:p>
    <w:p w14:paraId="3754A3E8" w14:textId="77777777" w:rsidR="0012721C" w:rsidRPr="00BE6952" w:rsidRDefault="0012721C" w:rsidP="0012721C">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Metoda praćenja:</w:t>
      </w:r>
      <w:r w:rsidRPr="00F805C6">
        <w:t xml:space="preserve"> </w:t>
      </w:r>
      <w:r w:rsidRPr="00F805C6">
        <w:rPr>
          <w:rFonts w:ascii="Arial" w:hAnsi="Arial" w:cs="Arial"/>
          <w:color w:val="000000"/>
          <w:sz w:val="22"/>
          <w:szCs w:val="22"/>
          <w:lang w:eastAsia="en-GB"/>
        </w:rPr>
        <w:t>Učinci ove mjere evidentirat će se zasebno po projektima, propisanom TD metodologijom, uz eventualnu nadopunu/razradu nove BU metodologije</w:t>
      </w:r>
    </w:p>
    <w:p w14:paraId="4520CD41"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w:t>
      </w:r>
    </w:p>
    <w:p w14:paraId="166F0584"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3C3356B2" w14:textId="0CE4E7BF" w:rsidR="0012721C" w:rsidRPr="00BE6952" w:rsidRDefault="0012721C" w:rsidP="0012721C">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Održiva mobilnost i alternativna goriva u prijevozu zahtijevaju razvoj novih tehnologija i to u domeni vozila, infrastrukture i naprednih sustava upravljanja temeljenim na informacijsko-komunikacijskim tehnologijama.</w:t>
      </w:r>
      <w:r w:rsidR="00622DB1">
        <w:rPr>
          <w:rFonts w:ascii="Arial" w:hAnsi="Arial" w:cs="Arial"/>
          <w:color w:val="000000"/>
          <w:sz w:val="22"/>
          <w:szCs w:val="22"/>
          <w:lang w:eastAsia="en-GB"/>
        </w:rPr>
        <w:t xml:space="preserve"> </w:t>
      </w:r>
    </w:p>
    <w:p w14:paraId="1891B7EB" w14:textId="77777777" w:rsidR="0012721C" w:rsidRPr="00286B4C" w:rsidRDefault="0012721C" w:rsidP="00286B4C">
      <w:pPr>
        <w:pStyle w:val="NormalWeb"/>
        <w:spacing w:after="120" w:line="288" w:lineRule="auto"/>
        <w:jc w:val="both"/>
        <w:rPr>
          <w:rFonts w:cs="Arial"/>
          <w:b/>
          <w:bCs/>
          <w:color w:val="000000"/>
        </w:rPr>
      </w:pPr>
    </w:p>
    <w:p w14:paraId="29497043" w14:textId="611201BE" w:rsidR="0012721C" w:rsidRDefault="0012721C"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w:t>
      </w:r>
      <w:r>
        <w:rPr>
          <w:rFonts w:ascii="Arial" w:hAnsi="Arial" w:cs="Arial"/>
          <w:b/>
          <w:bCs/>
          <w:color w:val="000000"/>
          <w:sz w:val="22"/>
          <w:szCs w:val="22"/>
        </w:rPr>
        <w:t>1</w:t>
      </w:r>
      <w:r w:rsidR="00E14C45">
        <w:rPr>
          <w:rFonts w:ascii="Arial" w:hAnsi="Arial" w:cs="Arial"/>
          <w:b/>
          <w:bCs/>
          <w:color w:val="000000"/>
          <w:sz w:val="22"/>
          <w:szCs w:val="22"/>
        </w:rPr>
        <w:t>1</w:t>
      </w:r>
      <w:r w:rsidRPr="005B687C">
        <w:rPr>
          <w:rFonts w:ascii="Arial" w:hAnsi="Arial" w:cs="Arial"/>
          <w:b/>
          <w:bCs/>
          <w:color w:val="000000"/>
          <w:sz w:val="22"/>
          <w:szCs w:val="22"/>
        </w:rPr>
        <w:t xml:space="preserve">: </w:t>
      </w:r>
      <w:r w:rsidRPr="00F805C6">
        <w:rPr>
          <w:rFonts w:ascii="Arial" w:hAnsi="Arial" w:cs="Arial"/>
          <w:b/>
          <w:bCs/>
          <w:color w:val="000000"/>
          <w:sz w:val="22"/>
          <w:szCs w:val="22"/>
        </w:rPr>
        <w:t xml:space="preserve">Obuka vozača cestovnih vozila za eko vožnju </w:t>
      </w:r>
    </w:p>
    <w:p w14:paraId="01649588" w14:textId="77777777" w:rsidR="0012721C" w:rsidRPr="00ED5A38" w:rsidRDefault="0012721C" w:rsidP="00286B4C">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 xml:space="preserve">Informacijska </w:t>
      </w:r>
      <w:r w:rsidRPr="005B687C">
        <w:rPr>
          <w:rFonts w:ascii="Arial" w:hAnsi="Arial" w:cs="Arial"/>
          <w:b/>
          <w:bCs/>
          <w:color w:val="000000"/>
          <w:sz w:val="22"/>
          <w:szCs w:val="22"/>
        </w:rPr>
        <w:t xml:space="preserve">mjera; provedba </w:t>
      </w:r>
      <w:r>
        <w:rPr>
          <w:rFonts w:ascii="Arial" w:hAnsi="Arial" w:cs="Arial"/>
          <w:b/>
          <w:bCs/>
          <w:color w:val="000000"/>
          <w:sz w:val="22"/>
          <w:szCs w:val="22"/>
        </w:rPr>
        <w:t>2011</w:t>
      </w:r>
      <w:r w:rsidRPr="005B687C">
        <w:rPr>
          <w:rFonts w:ascii="Arial" w:hAnsi="Arial" w:cs="Arial"/>
          <w:b/>
          <w:bCs/>
          <w:color w:val="000000"/>
          <w:sz w:val="22"/>
          <w:szCs w:val="22"/>
        </w:rPr>
        <w:t xml:space="preserve">. – 2030. </w:t>
      </w:r>
    </w:p>
    <w:p w14:paraId="64784D06" w14:textId="3BAD54EF" w:rsidR="0012721C" w:rsidRDefault="0012721C" w:rsidP="0012721C">
      <w:pPr>
        <w:pStyle w:val="Tabletext"/>
        <w:tabs>
          <w:tab w:val="left" w:pos="1440"/>
          <w:tab w:val="left" w:pos="5040"/>
        </w:tabs>
        <w:spacing w:before="0" w:after="0" w:line="240" w:lineRule="auto"/>
        <w:rPr>
          <w:rFonts w:cs="Arial"/>
          <w:b/>
          <w:bCs/>
          <w:color w:val="000000"/>
          <w:sz w:val="22"/>
          <w:szCs w:val="22"/>
          <w:lang w:eastAsia="en-GB"/>
        </w:rPr>
      </w:pPr>
      <w:r w:rsidRPr="00106EE3">
        <w:rPr>
          <w:rFonts w:cs="Arial"/>
          <w:b/>
          <w:bCs/>
          <w:color w:val="000000"/>
          <w:sz w:val="22"/>
          <w:szCs w:val="22"/>
          <w:lang w:val="hr-HR" w:eastAsia="en-GB"/>
        </w:rPr>
        <w:t>Cilj i opis mjere:</w:t>
      </w:r>
      <w:r w:rsidRPr="00106EE3">
        <w:rPr>
          <w:rFonts w:cs="Arial"/>
          <w:color w:val="000000"/>
          <w:sz w:val="22"/>
          <w:szCs w:val="22"/>
          <w:lang w:val="hr-HR" w:eastAsia="en-GB"/>
        </w:rPr>
        <w:t xml:space="preserve"> </w:t>
      </w:r>
      <w:r>
        <w:rPr>
          <w:rFonts w:cs="Arial"/>
          <w:color w:val="000000"/>
          <w:sz w:val="22"/>
          <w:szCs w:val="22"/>
          <w:lang w:val="hr-HR" w:eastAsia="en-GB"/>
        </w:rPr>
        <w:t>Cilj mjere je p</w:t>
      </w:r>
      <w:r w:rsidRPr="00F805C6">
        <w:rPr>
          <w:rFonts w:cs="Arial"/>
          <w:color w:val="000000"/>
          <w:sz w:val="22"/>
          <w:szCs w:val="22"/>
          <w:lang w:val="hr-HR" w:eastAsia="en-GB"/>
        </w:rPr>
        <w:t xml:space="preserve">odizanje razine osviještenosti o prednostima </w:t>
      </w:r>
      <w:r w:rsidR="005278CD" w:rsidRPr="00F805C6">
        <w:rPr>
          <w:rFonts w:cs="Arial"/>
          <w:color w:val="000000"/>
          <w:sz w:val="22"/>
          <w:szCs w:val="22"/>
          <w:lang w:val="hr-HR" w:eastAsia="en-GB"/>
        </w:rPr>
        <w:t>energetsk</w:t>
      </w:r>
      <w:r w:rsidR="005278CD">
        <w:rPr>
          <w:rFonts w:cs="Arial"/>
          <w:color w:val="000000"/>
          <w:sz w:val="22"/>
          <w:szCs w:val="22"/>
          <w:lang w:val="hr-HR" w:eastAsia="en-GB"/>
        </w:rPr>
        <w:t>i</w:t>
      </w:r>
      <w:r w:rsidR="005278CD" w:rsidRPr="00F805C6">
        <w:rPr>
          <w:rFonts w:cs="Arial"/>
          <w:color w:val="000000"/>
          <w:sz w:val="22"/>
          <w:szCs w:val="22"/>
          <w:lang w:val="hr-HR" w:eastAsia="en-GB"/>
        </w:rPr>
        <w:t xml:space="preserve"> </w:t>
      </w:r>
      <w:r w:rsidRPr="00F805C6">
        <w:rPr>
          <w:rFonts w:cs="Arial"/>
          <w:color w:val="000000"/>
          <w:sz w:val="22"/>
          <w:szCs w:val="22"/>
          <w:lang w:val="hr-HR" w:eastAsia="en-GB"/>
        </w:rPr>
        <w:t>učinkovite vožnje.</w:t>
      </w:r>
      <w:r>
        <w:rPr>
          <w:rFonts w:cs="Arial"/>
          <w:color w:val="000000"/>
          <w:sz w:val="22"/>
          <w:szCs w:val="22"/>
          <w:lang w:val="hr-HR" w:eastAsia="en-GB"/>
        </w:rPr>
        <w:t xml:space="preserve"> </w:t>
      </w:r>
      <w:r w:rsidRPr="00F805C6">
        <w:rPr>
          <w:rFonts w:cs="Arial"/>
          <w:color w:val="000000"/>
          <w:sz w:val="22"/>
          <w:szCs w:val="22"/>
          <w:lang w:val="hr-HR" w:eastAsia="en-GB"/>
        </w:rPr>
        <w:t>Obrazovanje o elementima eko vožnje provodi se kratkim treninzima (u trajanju od oko 60-120 minuta po kandidatu) među vozačima koji su vozačku dozvolu dobili prije stupanja na snagu Pravilnika o osposobljavanju kandidata za vozače (</w:t>
      </w:r>
      <w:r w:rsidR="00880054">
        <w:rPr>
          <w:rFonts w:cs="Arial"/>
          <w:color w:val="000000"/>
          <w:sz w:val="22"/>
          <w:szCs w:val="22"/>
          <w:lang w:val="hr-HR" w:eastAsia="en-GB"/>
        </w:rPr>
        <w:t>NN</w:t>
      </w:r>
      <w:r w:rsidRPr="00F805C6">
        <w:rPr>
          <w:rFonts w:cs="Arial"/>
          <w:color w:val="000000"/>
          <w:sz w:val="22"/>
          <w:szCs w:val="22"/>
          <w:lang w:val="hr-HR" w:eastAsia="en-GB"/>
        </w:rPr>
        <w:t xml:space="preserve"> 13/09</w:t>
      </w:r>
      <w:r w:rsidR="00AE2047">
        <w:rPr>
          <w:rFonts w:cs="Arial"/>
          <w:color w:val="000000"/>
          <w:sz w:val="22"/>
          <w:szCs w:val="22"/>
          <w:lang w:val="hr-HR" w:eastAsia="en-GB"/>
        </w:rPr>
        <w:t xml:space="preserve">, </w:t>
      </w:r>
      <w:r w:rsidR="00CE5EA9">
        <w:rPr>
          <w:rFonts w:cs="Arial"/>
          <w:color w:val="000000"/>
          <w:sz w:val="22"/>
          <w:szCs w:val="22"/>
          <w:lang w:val="hr-HR" w:eastAsia="en-GB"/>
        </w:rPr>
        <w:t>132/17</w:t>
      </w:r>
      <w:r w:rsidRPr="00F805C6">
        <w:rPr>
          <w:rFonts w:cs="Arial"/>
          <w:color w:val="000000"/>
          <w:sz w:val="22"/>
          <w:szCs w:val="22"/>
          <w:lang w:val="hr-HR" w:eastAsia="en-GB"/>
        </w:rPr>
        <w:t>), kojim je za sve autoškole i instruktore postavljena obveza provođenja izobrazbe o elementima eko-vožnje tijekom standardne izobrazbe vozača kandidata. Treba istaknuti da se predložena mjera ne odnosi na nove vozače, koji izobrazbu o eko vožnji dobivaju sukladno zakonskim obvezama iskazanim predmetnim Pravilnikom.</w:t>
      </w:r>
      <w:r>
        <w:rPr>
          <w:rFonts w:cs="Arial"/>
          <w:color w:val="000000"/>
          <w:sz w:val="22"/>
          <w:szCs w:val="22"/>
          <w:lang w:val="hr-HR" w:eastAsia="en-GB"/>
        </w:rPr>
        <w:t xml:space="preserve"> </w:t>
      </w:r>
      <w:r w:rsidRPr="00F805C6">
        <w:rPr>
          <w:rFonts w:cs="Arial"/>
          <w:color w:val="000000"/>
          <w:sz w:val="22"/>
          <w:szCs w:val="22"/>
          <w:lang w:val="hr-HR" w:eastAsia="en-GB"/>
        </w:rPr>
        <w:t>Posebni elementi nacionalne kampanje trebaju biti posvećeni edukaciji o eko vožnji</w:t>
      </w:r>
      <w:r w:rsidR="009F1D8D">
        <w:rPr>
          <w:rFonts w:cs="Arial"/>
          <w:color w:val="000000"/>
          <w:sz w:val="22"/>
          <w:szCs w:val="22"/>
          <w:lang w:val="hr-HR" w:eastAsia="en-GB"/>
        </w:rPr>
        <w:t xml:space="preserve"> </w:t>
      </w:r>
      <w:r w:rsidRPr="00F805C6">
        <w:rPr>
          <w:rFonts w:cs="Arial"/>
          <w:color w:val="000000"/>
          <w:sz w:val="22"/>
          <w:szCs w:val="22"/>
          <w:lang w:val="hr-HR" w:eastAsia="en-GB"/>
        </w:rPr>
        <w:t>za vozače osobnih automobila, autobusa, gospodarskih i teških teretnih vozila.</w:t>
      </w:r>
      <w:r w:rsidR="00EE4A5E">
        <w:rPr>
          <w:rFonts w:cs="Arial"/>
          <w:color w:val="000000"/>
          <w:sz w:val="22"/>
          <w:szCs w:val="22"/>
          <w:lang w:val="hr-HR" w:eastAsia="en-GB"/>
        </w:rPr>
        <w:t xml:space="preserve"> Pla</w:t>
      </w:r>
      <w:r w:rsidR="00DF3613">
        <w:rPr>
          <w:rFonts w:cs="Arial"/>
          <w:color w:val="000000"/>
          <w:sz w:val="22"/>
          <w:szCs w:val="22"/>
          <w:lang w:val="hr-HR" w:eastAsia="en-GB"/>
        </w:rPr>
        <w:t>nira</w:t>
      </w:r>
      <w:r w:rsidR="0061053C">
        <w:rPr>
          <w:rFonts w:cs="Arial"/>
          <w:color w:val="000000"/>
          <w:sz w:val="22"/>
          <w:szCs w:val="22"/>
          <w:lang w:val="hr-HR" w:eastAsia="en-GB"/>
        </w:rPr>
        <w:t xml:space="preserve">no je </w:t>
      </w:r>
      <w:r w:rsidR="0012628E">
        <w:rPr>
          <w:rFonts w:cs="Arial"/>
          <w:color w:val="000000"/>
          <w:sz w:val="22"/>
          <w:szCs w:val="22"/>
          <w:lang w:val="hr-HR" w:eastAsia="en-GB"/>
        </w:rPr>
        <w:t xml:space="preserve">uvođenje posebnog edukativnog modula </w:t>
      </w:r>
      <w:r w:rsidR="00450FCD">
        <w:rPr>
          <w:rFonts w:cs="Arial"/>
          <w:color w:val="000000"/>
          <w:sz w:val="22"/>
          <w:szCs w:val="22"/>
          <w:lang w:val="hr-HR" w:eastAsia="en-GB"/>
        </w:rPr>
        <w:t xml:space="preserve">koji se odnosi </w:t>
      </w:r>
      <w:r w:rsidR="0072698D">
        <w:rPr>
          <w:rFonts w:cs="Arial"/>
          <w:color w:val="000000"/>
          <w:sz w:val="22"/>
          <w:szCs w:val="22"/>
          <w:lang w:val="hr-HR" w:eastAsia="en-GB"/>
        </w:rPr>
        <w:t xml:space="preserve">isključivo </w:t>
      </w:r>
      <w:r w:rsidR="00450FCD">
        <w:rPr>
          <w:rFonts w:cs="Arial"/>
          <w:color w:val="000000"/>
          <w:sz w:val="22"/>
          <w:szCs w:val="22"/>
          <w:lang w:val="hr-HR" w:eastAsia="en-GB"/>
        </w:rPr>
        <w:t>na vozila s električnim pogonom</w:t>
      </w:r>
      <w:r w:rsidR="00F8493F">
        <w:rPr>
          <w:rFonts w:cs="Arial"/>
          <w:color w:val="000000"/>
          <w:sz w:val="22"/>
          <w:szCs w:val="22"/>
          <w:lang w:val="hr-HR" w:eastAsia="en-GB"/>
        </w:rPr>
        <w:t xml:space="preserve"> (edukacija o vožnji i navikama </w:t>
      </w:r>
      <w:r w:rsidR="00103915">
        <w:rPr>
          <w:rFonts w:cs="Arial"/>
          <w:color w:val="000000"/>
          <w:sz w:val="22"/>
          <w:szCs w:val="22"/>
          <w:lang w:val="hr-HR" w:eastAsia="en-GB"/>
        </w:rPr>
        <w:t>punjenja)</w:t>
      </w:r>
      <w:r w:rsidR="00450FCD">
        <w:rPr>
          <w:rFonts w:cs="Arial"/>
          <w:color w:val="000000"/>
          <w:sz w:val="22"/>
          <w:szCs w:val="22"/>
          <w:lang w:val="hr-HR" w:eastAsia="en-GB"/>
        </w:rPr>
        <w:t>.</w:t>
      </w:r>
      <w:r w:rsidR="00FC0D8A">
        <w:rPr>
          <w:rFonts w:cs="Arial"/>
          <w:color w:val="000000"/>
          <w:sz w:val="22"/>
          <w:szCs w:val="22"/>
          <w:lang w:val="hr-HR" w:eastAsia="en-GB"/>
        </w:rPr>
        <w:t xml:space="preserve"> Mjerom se planira </w:t>
      </w:r>
      <w:r>
        <w:rPr>
          <w:rFonts w:cs="Arial"/>
          <w:color w:val="000000"/>
          <w:sz w:val="22"/>
          <w:szCs w:val="22"/>
          <w:lang w:val="hr-HR" w:eastAsia="en-GB"/>
        </w:rPr>
        <w:t>obuhvatiti 1.000 vozača godišnje.</w:t>
      </w:r>
    </w:p>
    <w:p w14:paraId="762FBFA6"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20D82B02" w14:textId="73DA5C71"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Aktivnosti:</w:t>
      </w:r>
      <w:r w:rsidRPr="00BE6952">
        <w:rPr>
          <w:rFonts w:ascii="Arial" w:hAnsi="Arial" w:cs="Arial"/>
          <w:color w:val="000000"/>
          <w:sz w:val="22"/>
          <w:szCs w:val="22"/>
          <w:lang w:eastAsia="en-GB"/>
        </w:rPr>
        <w:t xml:space="preserve"> U okviru mjere provest će se aktivnosti</w:t>
      </w:r>
      <w:r>
        <w:rPr>
          <w:rFonts w:ascii="Arial" w:hAnsi="Arial" w:cs="Arial"/>
          <w:color w:val="000000"/>
          <w:sz w:val="22"/>
          <w:szCs w:val="22"/>
          <w:lang w:eastAsia="en-GB"/>
        </w:rPr>
        <w:t xml:space="preserve"> sufinanciranja putem javnih poziva FZOEU-a.</w:t>
      </w:r>
      <w:r w:rsidR="00E223DA">
        <w:rPr>
          <w:rFonts w:ascii="Arial" w:hAnsi="Arial" w:cs="Arial"/>
          <w:color w:val="000000"/>
          <w:sz w:val="22"/>
          <w:szCs w:val="22"/>
          <w:lang w:eastAsia="en-GB"/>
        </w:rPr>
        <w:t xml:space="preserve"> </w:t>
      </w:r>
    </w:p>
    <w:p w14:paraId="1FF6AE31" w14:textId="77777777" w:rsidR="0012721C" w:rsidRDefault="0012721C" w:rsidP="0012721C">
      <w:pPr>
        <w:pStyle w:val="NormalWeb"/>
        <w:spacing w:before="0" w:beforeAutospacing="0" w:after="0" w:afterAutospacing="0"/>
        <w:jc w:val="both"/>
        <w:rPr>
          <w:rFonts w:ascii="Arial" w:hAnsi="Arial" w:cs="Arial"/>
          <w:b/>
          <w:bCs/>
          <w:color w:val="000000"/>
          <w:sz w:val="22"/>
          <w:szCs w:val="22"/>
          <w:lang w:eastAsia="en-GB"/>
        </w:rPr>
      </w:pPr>
    </w:p>
    <w:p w14:paraId="558545B2" w14:textId="77777777" w:rsidR="0012721C" w:rsidRPr="005B687C" w:rsidRDefault="0012721C" w:rsidP="0012721C">
      <w:pPr>
        <w:pStyle w:val="NormalWeb"/>
        <w:spacing w:before="0" w:beforeAutospacing="0" w:after="0" w:afterAutospacing="0"/>
        <w:jc w:val="both"/>
        <w:rPr>
          <w:rFonts w:ascii="Arial" w:hAnsi="Arial" w:cs="Arial"/>
          <w:b/>
          <w:bCs/>
          <w:color w:val="000000"/>
          <w:sz w:val="22"/>
          <w:szCs w:val="22"/>
          <w:lang w:eastAsia="en-GB"/>
        </w:rPr>
      </w:pPr>
      <w:r>
        <w:rPr>
          <w:rFonts w:ascii="Arial" w:hAnsi="Arial" w:cs="Arial"/>
          <w:b/>
          <w:bCs/>
          <w:color w:val="000000"/>
          <w:sz w:val="22"/>
          <w:szCs w:val="22"/>
          <w:lang w:eastAsia="en-GB"/>
        </w:rPr>
        <w:t>S</w:t>
      </w:r>
      <w:r w:rsidRPr="005B687C">
        <w:rPr>
          <w:rFonts w:ascii="Arial" w:hAnsi="Arial" w:cs="Arial"/>
          <w:b/>
          <w:bCs/>
          <w:color w:val="000000"/>
          <w:sz w:val="22"/>
          <w:szCs w:val="22"/>
          <w:lang w:eastAsia="en-GB"/>
        </w:rPr>
        <w:t xml:space="preserve">redstva potrebna za provedbu: </w:t>
      </w:r>
      <w:r>
        <w:rPr>
          <w:rFonts w:ascii="Arial" w:hAnsi="Arial" w:cs="Arial"/>
          <w:sz w:val="22"/>
          <w:szCs w:val="22"/>
        </w:rPr>
        <w:t>18</w:t>
      </w:r>
      <w:r w:rsidRPr="00106EE3">
        <w:rPr>
          <w:rFonts w:ascii="Arial" w:hAnsi="Arial" w:cs="Arial"/>
          <w:sz w:val="22"/>
          <w:szCs w:val="22"/>
        </w:rPr>
        <w:t xml:space="preserve"> milijuna kuna</w:t>
      </w:r>
    </w:p>
    <w:p w14:paraId="74CFAAD5" w14:textId="68AB4641" w:rsidR="0012721C" w:rsidRPr="00BE6952" w:rsidRDefault="0012721C" w:rsidP="0012721C">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 xml:space="preserve">Izvori financiranja: </w:t>
      </w:r>
      <w:r>
        <w:rPr>
          <w:rFonts w:ascii="Arial" w:hAnsi="Arial" w:cs="Arial"/>
          <w:color w:val="000000"/>
          <w:sz w:val="22"/>
          <w:szCs w:val="22"/>
          <w:lang w:eastAsia="en-GB"/>
        </w:rPr>
        <w:t xml:space="preserve">FZOEU iz </w:t>
      </w:r>
      <w:r w:rsidRPr="00BD3F29">
        <w:rPr>
          <w:rFonts w:ascii="Arial" w:hAnsi="Arial" w:cs="Arial"/>
          <w:color w:val="000000"/>
          <w:sz w:val="22"/>
          <w:szCs w:val="22"/>
          <w:lang w:eastAsia="en-GB"/>
        </w:rPr>
        <w:t>sredst</w:t>
      </w:r>
      <w:r>
        <w:rPr>
          <w:rFonts w:ascii="Arial" w:hAnsi="Arial" w:cs="Arial"/>
          <w:color w:val="000000"/>
          <w:sz w:val="22"/>
          <w:szCs w:val="22"/>
          <w:lang w:eastAsia="en-GB"/>
        </w:rPr>
        <w:t>a</w:t>
      </w:r>
      <w:r w:rsidRPr="00BD3F29">
        <w:rPr>
          <w:rFonts w:ascii="Arial" w:hAnsi="Arial" w:cs="Arial"/>
          <w:color w:val="000000"/>
          <w:sz w:val="22"/>
          <w:szCs w:val="22"/>
          <w:lang w:eastAsia="en-GB"/>
        </w:rPr>
        <w:t>va stečenim od prodaje emisijskih jedinica putem dražbe</w:t>
      </w:r>
      <w:r w:rsidR="00F358C9">
        <w:rPr>
          <w:rFonts w:ascii="Arial" w:hAnsi="Arial" w:cs="Arial"/>
          <w:color w:val="000000"/>
          <w:sz w:val="22"/>
          <w:szCs w:val="22"/>
          <w:lang w:eastAsia="en-GB"/>
        </w:rPr>
        <w:t>, iz sredstava prikupljenih od posebne naknade za vozila te od p</w:t>
      </w:r>
      <w:r w:rsidR="00F358C9" w:rsidRPr="005F6684">
        <w:rPr>
          <w:rFonts w:ascii="Arial" w:hAnsi="Arial" w:cs="Arial"/>
          <w:color w:val="000000"/>
          <w:sz w:val="22"/>
          <w:szCs w:val="22"/>
          <w:lang w:eastAsia="en-GB"/>
        </w:rPr>
        <w:t>osebn</w:t>
      </w:r>
      <w:r w:rsidR="00F358C9">
        <w:rPr>
          <w:rFonts w:ascii="Arial" w:hAnsi="Arial" w:cs="Arial"/>
          <w:color w:val="000000"/>
          <w:sz w:val="22"/>
          <w:szCs w:val="22"/>
          <w:lang w:eastAsia="en-GB"/>
        </w:rPr>
        <w:t>e</w:t>
      </w:r>
      <w:r w:rsidR="00F358C9" w:rsidRPr="005F6684">
        <w:rPr>
          <w:rFonts w:ascii="Arial" w:hAnsi="Arial" w:cs="Arial"/>
          <w:color w:val="000000"/>
          <w:sz w:val="22"/>
          <w:szCs w:val="22"/>
          <w:lang w:eastAsia="en-GB"/>
        </w:rPr>
        <w:t xml:space="preserve"> naknad</w:t>
      </w:r>
      <w:r w:rsidR="00F358C9">
        <w:rPr>
          <w:rFonts w:ascii="Arial" w:hAnsi="Arial" w:cs="Arial"/>
          <w:color w:val="000000"/>
          <w:sz w:val="22"/>
          <w:szCs w:val="22"/>
          <w:lang w:eastAsia="en-GB"/>
        </w:rPr>
        <w:t>e</w:t>
      </w:r>
      <w:r w:rsidR="00F358C9" w:rsidRPr="005F6684">
        <w:rPr>
          <w:rFonts w:ascii="Arial" w:hAnsi="Arial" w:cs="Arial"/>
          <w:color w:val="000000"/>
          <w:sz w:val="22"/>
          <w:szCs w:val="22"/>
          <w:lang w:eastAsia="en-GB"/>
        </w:rPr>
        <w:t xml:space="preserve"> za okoliš radi nestavljanja biogoriva na tržište</w:t>
      </w:r>
    </w:p>
    <w:p w14:paraId="5DD9A02B" w14:textId="1B193E69" w:rsidR="0012721C" w:rsidRPr="00BE6952" w:rsidRDefault="0012721C" w:rsidP="0012721C">
      <w:pPr>
        <w:pStyle w:val="NormalWeb"/>
        <w:spacing w:before="0" w:beforeAutospacing="0" w:after="0" w:afterAutospacing="0"/>
        <w:jc w:val="both"/>
        <w:rPr>
          <w:rFonts w:ascii="Arial" w:hAnsi="Arial" w:cs="Arial"/>
          <w:color w:val="000000"/>
          <w:sz w:val="22"/>
          <w:szCs w:val="22"/>
          <w:lang w:eastAsia="en-GB"/>
        </w:rPr>
      </w:pPr>
      <w:r w:rsidRPr="00BE6952">
        <w:rPr>
          <w:rFonts w:ascii="Arial" w:hAnsi="Arial" w:cs="Arial"/>
          <w:b/>
          <w:bCs/>
          <w:color w:val="000000"/>
          <w:sz w:val="22"/>
          <w:szCs w:val="22"/>
          <w:lang w:eastAsia="en-GB"/>
        </w:rPr>
        <w:t>Izvršno tijelo:</w:t>
      </w:r>
      <w:r w:rsidRPr="00BE6952">
        <w:rPr>
          <w:rFonts w:ascii="Arial" w:hAnsi="Arial" w:cs="Arial"/>
          <w:color w:val="000000"/>
          <w:sz w:val="22"/>
          <w:szCs w:val="22"/>
          <w:lang w:eastAsia="en-GB"/>
        </w:rPr>
        <w:t xml:space="preserve"> </w:t>
      </w:r>
      <w:r w:rsidRPr="00EE0E98">
        <w:rPr>
          <w:rFonts w:ascii="Arial" w:hAnsi="Arial" w:cs="Arial"/>
          <w:color w:val="000000"/>
          <w:sz w:val="22"/>
          <w:szCs w:val="22"/>
          <w:lang w:eastAsia="en-GB"/>
        </w:rPr>
        <w:t xml:space="preserve">FZOEU </w:t>
      </w:r>
    </w:p>
    <w:p w14:paraId="00E275F4"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Tijela za praćenje (nadzor):</w:t>
      </w:r>
      <w:r w:rsidRPr="00BE6952">
        <w:rPr>
          <w:rFonts w:ascii="Arial" w:hAnsi="Arial" w:cs="Arial"/>
          <w:color w:val="000000"/>
          <w:sz w:val="22"/>
          <w:szCs w:val="22"/>
          <w:lang w:eastAsia="en-GB"/>
        </w:rPr>
        <w:t xml:space="preserve"> </w:t>
      </w:r>
      <w:r w:rsidRPr="00EE0E98">
        <w:rPr>
          <w:rFonts w:ascii="Arial" w:hAnsi="Arial" w:cs="Arial"/>
          <w:color w:val="000000"/>
          <w:sz w:val="22"/>
          <w:szCs w:val="22"/>
          <w:lang w:eastAsia="en-GB"/>
        </w:rPr>
        <w:t xml:space="preserve">MZOE – NKT </w:t>
      </w:r>
    </w:p>
    <w:p w14:paraId="0AD3CD70" w14:textId="48307189" w:rsidR="0012721C" w:rsidRPr="00F805C6" w:rsidRDefault="0012721C" w:rsidP="0012721C">
      <w:pPr>
        <w:pStyle w:val="NormalWeb"/>
        <w:spacing w:before="0" w:beforeAutospacing="0" w:after="0" w:afterAutospacing="0"/>
        <w:rPr>
          <w:rFonts w:ascii="Arial" w:hAnsi="Arial" w:cs="Arial"/>
          <w:color w:val="000000"/>
          <w:sz w:val="22"/>
          <w:szCs w:val="22"/>
          <w:lang w:eastAsia="en-GB"/>
        </w:rPr>
      </w:pPr>
      <w:r w:rsidRPr="00BE6952">
        <w:rPr>
          <w:rFonts w:ascii="Arial" w:hAnsi="Arial" w:cs="Arial"/>
          <w:b/>
          <w:bCs/>
          <w:color w:val="000000"/>
          <w:sz w:val="22"/>
          <w:szCs w:val="22"/>
          <w:lang w:eastAsia="en-GB"/>
        </w:rPr>
        <w:t xml:space="preserve">Učinak: </w:t>
      </w:r>
      <w:r w:rsidRPr="00EE0E98">
        <w:rPr>
          <w:rFonts w:ascii="Arial" w:hAnsi="Arial" w:cs="Arial"/>
          <w:color w:val="000000"/>
          <w:sz w:val="22"/>
          <w:szCs w:val="22"/>
          <w:lang w:eastAsia="en-GB"/>
        </w:rPr>
        <w:t>Ušteda energije i smanjenje emisije CO</w:t>
      </w:r>
      <w:r w:rsidRPr="00EE0E98">
        <w:rPr>
          <w:rFonts w:ascii="Arial" w:hAnsi="Arial" w:cs="Arial"/>
          <w:color w:val="000000"/>
          <w:sz w:val="22"/>
          <w:szCs w:val="22"/>
          <w:vertAlign w:val="subscript"/>
          <w:lang w:eastAsia="en-GB"/>
        </w:rPr>
        <w:t>2e</w:t>
      </w:r>
      <w:r w:rsidR="007E04BF" w:rsidRPr="007E04BF">
        <w:rPr>
          <w:rFonts w:ascii="Arial" w:hAnsi="Arial" w:cs="Arial"/>
          <w:color w:val="000000"/>
          <w:sz w:val="22"/>
          <w:szCs w:val="22"/>
          <w:lang w:eastAsia="en-GB"/>
        </w:rPr>
        <w:t xml:space="preserve"> </w:t>
      </w:r>
      <w:r w:rsidR="007E04BF" w:rsidRPr="009A1A78">
        <w:rPr>
          <w:rFonts w:ascii="Arial" w:hAnsi="Arial" w:cs="Arial"/>
          <w:color w:val="000000"/>
          <w:sz w:val="22"/>
          <w:szCs w:val="22"/>
          <w:lang w:eastAsia="en-GB"/>
        </w:rPr>
        <w:t>te smanjenje emisija onečišćujućih tvari</w:t>
      </w:r>
      <w:r>
        <w:rPr>
          <w:rFonts w:ascii="Arial" w:hAnsi="Arial" w:cs="Arial"/>
          <w:color w:val="000000"/>
          <w:sz w:val="22"/>
          <w:szCs w:val="22"/>
          <w:lang w:eastAsia="en-GB"/>
        </w:rPr>
        <w:t xml:space="preserve">; </w:t>
      </w:r>
      <w:r w:rsidRPr="00BD3F29">
        <w:rPr>
          <w:rFonts w:ascii="Arial" w:hAnsi="Arial" w:cs="Arial"/>
          <w:color w:val="000000"/>
          <w:sz w:val="22"/>
          <w:szCs w:val="22"/>
          <w:lang w:eastAsia="en-GB"/>
        </w:rPr>
        <w:t xml:space="preserve">procijenjene uštede u 2030. </w:t>
      </w:r>
      <w:r w:rsidRPr="00F805C6">
        <w:rPr>
          <w:rFonts w:ascii="Arial" w:hAnsi="Arial" w:cs="Arial"/>
          <w:color w:val="000000"/>
          <w:sz w:val="22"/>
          <w:szCs w:val="22"/>
          <w:lang w:eastAsia="en-GB"/>
        </w:rPr>
        <w:t xml:space="preserve">0,03 </w:t>
      </w:r>
      <w:r w:rsidRPr="0092419E">
        <w:rPr>
          <w:rFonts w:ascii="Arial" w:hAnsi="Arial" w:cs="Arial"/>
          <w:color w:val="000000"/>
          <w:sz w:val="22"/>
          <w:szCs w:val="22"/>
          <w:lang w:eastAsia="en-GB"/>
        </w:rPr>
        <w:t>PJ</w:t>
      </w:r>
      <w:r w:rsidRPr="00BD3F29">
        <w:rPr>
          <w:rFonts w:ascii="Arial" w:hAnsi="Arial" w:cs="Arial"/>
          <w:color w:val="000000"/>
          <w:sz w:val="22"/>
          <w:szCs w:val="22"/>
          <w:lang w:eastAsia="en-GB"/>
        </w:rPr>
        <w:t>; procijenjeno smanjenje emisija CO</w:t>
      </w:r>
      <w:r w:rsidRPr="00BD3F29">
        <w:rPr>
          <w:rFonts w:ascii="Arial" w:hAnsi="Arial" w:cs="Arial"/>
          <w:color w:val="000000"/>
          <w:sz w:val="22"/>
          <w:szCs w:val="22"/>
          <w:vertAlign w:val="subscript"/>
          <w:lang w:eastAsia="en-GB"/>
        </w:rPr>
        <w:t>2</w:t>
      </w:r>
      <w:r w:rsidRPr="00BD3F29">
        <w:rPr>
          <w:rFonts w:ascii="Arial" w:hAnsi="Arial" w:cs="Arial"/>
          <w:color w:val="000000"/>
          <w:sz w:val="22"/>
          <w:szCs w:val="22"/>
          <w:lang w:eastAsia="en-GB"/>
        </w:rPr>
        <w:t xml:space="preserve"> u 2030. </w:t>
      </w:r>
      <w:r>
        <w:rPr>
          <w:rFonts w:ascii="Arial" w:hAnsi="Arial" w:cs="Arial"/>
          <w:color w:val="000000"/>
          <w:sz w:val="22"/>
          <w:szCs w:val="22"/>
          <w:lang w:eastAsia="en-GB"/>
        </w:rPr>
        <w:t>2,2</w:t>
      </w:r>
      <w:r w:rsidRPr="00F805C6">
        <w:rPr>
          <w:rFonts w:ascii="Arial" w:hAnsi="Arial" w:cs="Arial"/>
          <w:color w:val="000000"/>
          <w:sz w:val="22"/>
          <w:szCs w:val="22"/>
          <w:lang w:eastAsia="en-GB"/>
        </w:rPr>
        <w:t xml:space="preserve"> </w:t>
      </w:r>
      <w:r w:rsidRPr="0092419E">
        <w:rPr>
          <w:rFonts w:ascii="Arial" w:hAnsi="Arial" w:cs="Arial"/>
          <w:color w:val="000000"/>
          <w:sz w:val="22"/>
          <w:szCs w:val="22"/>
          <w:lang w:eastAsia="en-GB"/>
        </w:rPr>
        <w:t>kt</w:t>
      </w:r>
      <w:r w:rsidRPr="00BD3F29">
        <w:rPr>
          <w:rFonts w:ascii="Arial" w:hAnsi="Arial" w:cs="Arial"/>
          <w:color w:val="000000"/>
          <w:sz w:val="22"/>
          <w:szCs w:val="22"/>
          <w:lang w:eastAsia="en-GB"/>
        </w:rPr>
        <w:t>CO</w:t>
      </w:r>
      <w:r w:rsidRPr="00BD3F29">
        <w:rPr>
          <w:rFonts w:ascii="Arial" w:hAnsi="Arial" w:cs="Arial"/>
          <w:color w:val="000000"/>
          <w:sz w:val="22"/>
          <w:szCs w:val="22"/>
          <w:vertAlign w:val="subscript"/>
          <w:lang w:eastAsia="en-GB"/>
        </w:rPr>
        <w:t>2e</w:t>
      </w:r>
      <w:r w:rsidRPr="00BD3F29">
        <w:rPr>
          <w:rFonts w:ascii="Arial" w:hAnsi="Arial" w:cs="Arial"/>
          <w:color w:val="000000"/>
          <w:sz w:val="22"/>
          <w:szCs w:val="22"/>
          <w:lang w:eastAsia="en-GB"/>
        </w:rPr>
        <w:t>; kumulativne uštede energije u razdoblju 2021.-2030.</w:t>
      </w:r>
      <w:r>
        <w:rPr>
          <w:rFonts w:ascii="Arial" w:hAnsi="Arial" w:cs="Arial"/>
          <w:color w:val="000000"/>
          <w:sz w:val="22"/>
          <w:szCs w:val="22"/>
          <w:lang w:eastAsia="en-GB"/>
        </w:rPr>
        <w:t xml:space="preserve"> 0,3</w:t>
      </w:r>
      <w:r w:rsidRPr="00F805C6">
        <w:rPr>
          <w:rFonts w:ascii="Arial" w:hAnsi="Arial" w:cs="Arial"/>
          <w:color w:val="000000"/>
          <w:sz w:val="22"/>
          <w:szCs w:val="22"/>
          <w:lang w:eastAsia="en-GB"/>
        </w:rPr>
        <w:t xml:space="preserve"> </w:t>
      </w:r>
      <w:r w:rsidRPr="0092419E">
        <w:rPr>
          <w:rFonts w:ascii="Arial" w:hAnsi="Arial" w:cs="Arial"/>
          <w:color w:val="000000"/>
          <w:sz w:val="22"/>
          <w:szCs w:val="22"/>
          <w:lang w:eastAsia="en-GB"/>
        </w:rPr>
        <w:t>PJ</w:t>
      </w:r>
      <w:r w:rsidRPr="00BD3F29">
        <w:rPr>
          <w:rFonts w:ascii="Arial" w:hAnsi="Arial" w:cs="Arial"/>
          <w:color w:val="000000"/>
          <w:sz w:val="22"/>
          <w:szCs w:val="22"/>
          <w:lang w:eastAsia="en-GB"/>
        </w:rPr>
        <w:t>; kumulativno smanjenje emisija CO</w:t>
      </w:r>
      <w:r w:rsidRPr="00BD3F29">
        <w:rPr>
          <w:rFonts w:ascii="Arial" w:hAnsi="Arial" w:cs="Arial"/>
          <w:color w:val="000000"/>
          <w:sz w:val="22"/>
          <w:szCs w:val="22"/>
          <w:vertAlign w:val="subscript"/>
          <w:lang w:eastAsia="en-GB"/>
        </w:rPr>
        <w:t>2</w:t>
      </w:r>
      <w:r w:rsidRPr="00BD3F29">
        <w:rPr>
          <w:rFonts w:ascii="Arial" w:hAnsi="Arial" w:cs="Arial"/>
          <w:color w:val="000000"/>
          <w:sz w:val="22"/>
          <w:szCs w:val="22"/>
          <w:lang w:eastAsia="en-GB"/>
        </w:rPr>
        <w:t xml:space="preserve"> u razdoblju 2021.-2030. </w:t>
      </w:r>
      <w:r>
        <w:rPr>
          <w:rFonts w:ascii="Arial" w:hAnsi="Arial" w:cs="Arial"/>
          <w:color w:val="000000"/>
          <w:sz w:val="22"/>
          <w:szCs w:val="22"/>
          <w:lang w:eastAsia="en-GB"/>
        </w:rPr>
        <w:t>22,0</w:t>
      </w:r>
      <w:r w:rsidRPr="00F805C6">
        <w:rPr>
          <w:rFonts w:ascii="Arial" w:hAnsi="Arial" w:cs="Arial"/>
          <w:color w:val="000000"/>
          <w:sz w:val="22"/>
          <w:szCs w:val="22"/>
          <w:lang w:eastAsia="en-GB"/>
        </w:rPr>
        <w:t xml:space="preserve"> </w:t>
      </w:r>
      <w:r w:rsidRPr="00BD3F29">
        <w:rPr>
          <w:rFonts w:ascii="Arial" w:hAnsi="Arial" w:cs="Arial"/>
          <w:color w:val="000000"/>
          <w:sz w:val="22"/>
          <w:szCs w:val="22"/>
          <w:lang w:eastAsia="en-GB"/>
        </w:rPr>
        <w:t>ktCO</w:t>
      </w:r>
      <w:r w:rsidRPr="00BD3F29">
        <w:rPr>
          <w:rFonts w:ascii="Arial" w:hAnsi="Arial" w:cs="Arial"/>
          <w:color w:val="000000"/>
          <w:sz w:val="22"/>
          <w:szCs w:val="22"/>
          <w:vertAlign w:val="subscript"/>
          <w:lang w:eastAsia="en-GB"/>
        </w:rPr>
        <w:t>2e</w:t>
      </w:r>
    </w:p>
    <w:p w14:paraId="7A7CF337" w14:textId="77777777" w:rsidR="0012721C" w:rsidRPr="00BE6952" w:rsidRDefault="0012721C" w:rsidP="0012721C">
      <w:pPr>
        <w:pStyle w:val="NormalWeb"/>
        <w:spacing w:before="0" w:beforeAutospacing="0" w:after="0" w:afterAutospacing="0"/>
        <w:rPr>
          <w:rFonts w:ascii="Arial" w:hAnsi="Arial" w:cs="Arial"/>
          <w:color w:val="000000"/>
          <w:sz w:val="22"/>
          <w:szCs w:val="22"/>
        </w:rPr>
      </w:pPr>
      <w:r w:rsidRPr="00BE6952">
        <w:rPr>
          <w:rFonts w:ascii="Arial" w:hAnsi="Arial" w:cs="Arial"/>
          <w:b/>
          <w:bCs/>
          <w:color w:val="000000"/>
          <w:sz w:val="22"/>
          <w:szCs w:val="22"/>
          <w:lang w:eastAsia="en-GB"/>
        </w:rPr>
        <w:t>Metoda praćenja:</w:t>
      </w:r>
      <w:r w:rsidRPr="00F805C6">
        <w:t xml:space="preserve"> </w:t>
      </w:r>
      <w:r w:rsidRPr="00F805C6">
        <w:rPr>
          <w:rFonts w:ascii="Arial" w:hAnsi="Arial" w:cs="Arial"/>
          <w:color w:val="000000"/>
          <w:sz w:val="22"/>
          <w:szCs w:val="22"/>
          <w:lang w:eastAsia="en-GB"/>
        </w:rPr>
        <w:t>Ova mjera će se pratiti putem Sustava za praćenje, mjerenje i verifikaciju ušteda energije (SMIV).</w:t>
      </w:r>
    </w:p>
    <w:p w14:paraId="268B6CCC"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drugim dimenzijama: </w:t>
      </w:r>
      <w:r>
        <w:rPr>
          <w:rFonts w:ascii="Arial" w:hAnsi="Arial" w:cs="Arial"/>
          <w:color w:val="000000"/>
          <w:sz w:val="22"/>
          <w:szCs w:val="22"/>
          <w:lang w:eastAsia="en-GB"/>
        </w:rPr>
        <w:t>izravna povezanost s dimenzijom energetske učinkovitosti</w:t>
      </w:r>
    </w:p>
    <w:p w14:paraId="4DD987E1" w14:textId="77777777" w:rsidR="0012721C" w:rsidRPr="00BE6952" w:rsidRDefault="0012721C" w:rsidP="0012721C">
      <w:pPr>
        <w:pStyle w:val="NormalWeb"/>
        <w:spacing w:before="0" w:beforeAutospacing="0" w:after="0" w:afterAutospacing="0"/>
        <w:jc w:val="both"/>
        <w:rPr>
          <w:rFonts w:ascii="Arial" w:hAnsi="Arial" w:cs="Arial"/>
          <w:color w:val="000000"/>
          <w:sz w:val="22"/>
          <w:szCs w:val="22"/>
        </w:rPr>
      </w:pPr>
      <w:r w:rsidRPr="00BE6952">
        <w:rPr>
          <w:rFonts w:ascii="Arial" w:hAnsi="Arial" w:cs="Arial"/>
          <w:b/>
          <w:bCs/>
          <w:color w:val="000000"/>
          <w:sz w:val="22"/>
          <w:szCs w:val="22"/>
          <w:lang w:eastAsia="en-GB"/>
        </w:rPr>
        <w:t xml:space="preserve">Povezanost s prilagodbom klimatskim promjenama: </w:t>
      </w:r>
      <w:r w:rsidRPr="00BE6952">
        <w:rPr>
          <w:rFonts w:ascii="Arial" w:hAnsi="Arial" w:cs="Arial"/>
          <w:color w:val="000000"/>
          <w:sz w:val="22"/>
          <w:szCs w:val="22"/>
          <w:lang w:eastAsia="en-GB"/>
        </w:rPr>
        <w:t>/</w:t>
      </w:r>
    </w:p>
    <w:p w14:paraId="2D3E9E4D" w14:textId="12D7B681" w:rsidR="0012721C" w:rsidRPr="00BE6952" w:rsidRDefault="0012721C" w:rsidP="0012721C">
      <w:pPr>
        <w:pStyle w:val="NormalWeb"/>
        <w:spacing w:before="0" w:beforeAutospacing="0" w:after="0" w:afterAutospacing="0"/>
        <w:jc w:val="both"/>
        <w:rPr>
          <w:rFonts w:ascii="Arial" w:hAnsi="Arial" w:cs="Arial"/>
          <w:sz w:val="22"/>
          <w:szCs w:val="22"/>
        </w:rPr>
      </w:pPr>
      <w:r w:rsidRPr="00BE6952">
        <w:rPr>
          <w:rFonts w:ascii="Arial" w:hAnsi="Arial" w:cs="Arial"/>
          <w:b/>
          <w:bCs/>
          <w:color w:val="000000"/>
          <w:sz w:val="22"/>
          <w:szCs w:val="22"/>
          <w:lang w:eastAsia="en-GB"/>
        </w:rPr>
        <w:t>Istraživanje i razvoj</w:t>
      </w:r>
      <w:r w:rsidRPr="00BE6952">
        <w:rPr>
          <w:rFonts w:ascii="Arial" w:hAnsi="Arial" w:cs="Arial"/>
          <w:color w:val="000000"/>
          <w:sz w:val="22"/>
          <w:szCs w:val="22"/>
          <w:lang w:eastAsia="en-GB"/>
        </w:rPr>
        <w:t xml:space="preserve">: </w:t>
      </w:r>
      <w:r>
        <w:rPr>
          <w:rFonts w:ascii="Arial" w:hAnsi="Arial" w:cs="Arial"/>
          <w:color w:val="000000"/>
          <w:sz w:val="22"/>
          <w:szCs w:val="22"/>
          <w:lang w:eastAsia="en-GB"/>
        </w:rPr>
        <w:t>/</w:t>
      </w:r>
      <w:r w:rsidR="00622DB1">
        <w:rPr>
          <w:rFonts w:ascii="Arial" w:hAnsi="Arial" w:cs="Arial"/>
          <w:color w:val="000000"/>
          <w:sz w:val="22"/>
          <w:szCs w:val="22"/>
          <w:lang w:eastAsia="en-GB"/>
        </w:rPr>
        <w:t xml:space="preserve"> </w:t>
      </w:r>
    </w:p>
    <w:p w14:paraId="0ECA04DE" w14:textId="0D5B0CC6" w:rsidR="00DC15AF" w:rsidRPr="00902E2A" w:rsidRDefault="00DC15AF" w:rsidP="00DC15AF">
      <w:pPr>
        <w:rPr>
          <w:rFonts w:cs="Arial"/>
          <w:b/>
          <w:szCs w:val="24"/>
        </w:rPr>
      </w:pPr>
      <w:r>
        <w:rPr>
          <w:rFonts w:cs="Arial"/>
          <w:b/>
          <w:szCs w:val="24"/>
        </w:rPr>
        <w:t>TR-12</w:t>
      </w:r>
      <w:r w:rsidRPr="00902E2A">
        <w:rPr>
          <w:rFonts w:cs="Arial"/>
          <w:szCs w:val="24"/>
        </w:rPr>
        <w:t xml:space="preserve"> </w:t>
      </w:r>
      <w:r w:rsidRPr="00902E2A">
        <w:rPr>
          <w:rFonts w:cs="Arial"/>
          <w:b/>
          <w:szCs w:val="24"/>
        </w:rPr>
        <w:t>Poticanje brodskog prometa na alternativna goriva</w:t>
      </w:r>
      <w:r w:rsidR="00622DB1">
        <w:rPr>
          <w:rFonts w:cs="Arial"/>
          <w:b/>
          <w:szCs w:val="24"/>
        </w:rPr>
        <w:t xml:space="preserve"> </w:t>
      </w:r>
    </w:p>
    <w:p w14:paraId="772979E8" w14:textId="6B525DB1" w:rsidR="00DC15AF" w:rsidRPr="00902E2A" w:rsidRDefault="00DC15AF" w:rsidP="00DC15AF">
      <w:pPr>
        <w:rPr>
          <w:rFonts w:cs="Arial"/>
          <w:szCs w:val="24"/>
        </w:rPr>
      </w:pPr>
      <w:r w:rsidRPr="00902E2A">
        <w:rPr>
          <w:rFonts w:cs="Arial"/>
          <w:b/>
          <w:szCs w:val="24"/>
        </w:rPr>
        <w:t>Financijska mjera</w:t>
      </w:r>
      <w:r w:rsidRPr="00902E2A">
        <w:rPr>
          <w:rFonts w:cs="Arial"/>
          <w:szCs w:val="24"/>
        </w:rPr>
        <w:t>;</w:t>
      </w:r>
      <w:r w:rsidR="00622DB1">
        <w:rPr>
          <w:rFonts w:cs="Arial"/>
          <w:szCs w:val="24"/>
        </w:rPr>
        <w:t xml:space="preserve"> </w:t>
      </w:r>
      <w:r w:rsidRPr="00902E2A">
        <w:rPr>
          <w:rFonts w:cs="Arial"/>
          <w:szCs w:val="24"/>
        </w:rPr>
        <w:t>provedba 2019.-2030.</w:t>
      </w:r>
    </w:p>
    <w:p w14:paraId="0D36C181" w14:textId="233CA24F" w:rsidR="00DC15AF" w:rsidRPr="00902E2A" w:rsidRDefault="00DC15AF" w:rsidP="00DC15AF">
      <w:pPr>
        <w:spacing w:line="240" w:lineRule="auto"/>
        <w:rPr>
          <w:rFonts w:cs="Arial"/>
          <w:szCs w:val="24"/>
        </w:rPr>
      </w:pPr>
      <w:r w:rsidRPr="00902E2A">
        <w:rPr>
          <w:rFonts w:cs="Arial"/>
          <w:szCs w:val="24"/>
        </w:rPr>
        <w:t>Cilj i opis mjere:</w:t>
      </w:r>
      <w:r w:rsidR="00622DB1">
        <w:rPr>
          <w:rFonts w:cs="Arial"/>
          <w:szCs w:val="24"/>
        </w:rPr>
        <w:t xml:space="preserve"> </w:t>
      </w:r>
      <w:r w:rsidRPr="00902E2A">
        <w:rPr>
          <w:rFonts w:cs="Arial"/>
          <w:szCs w:val="24"/>
        </w:rPr>
        <w:t>Prema „Zakonu o uspostavi infrastrukture za alternativna goriva“, alternativna goriva se definiraju kao goriva ili izvori energije koja barem djelomično mogu nadomjestiti fosilna goriva. U njih spada električna energija zajedno s baterijskim sustavom, vodik, biogoriva, sintetička i parafinska goriva, prirodni plin, uključujući</w:t>
      </w:r>
      <w:r w:rsidR="00622DB1">
        <w:rPr>
          <w:rFonts w:cs="Arial"/>
          <w:szCs w:val="24"/>
        </w:rPr>
        <w:t xml:space="preserve"> </w:t>
      </w:r>
      <w:r w:rsidRPr="00902E2A">
        <w:rPr>
          <w:rFonts w:cs="Arial"/>
          <w:szCs w:val="24"/>
        </w:rPr>
        <w:t xml:space="preserve">bioplin, u plinovitom (stlačeni prirodni plin – SPP) i ukapljenom obliku (ukapljeni prirodni plin – UPP) te ukapljeni naftni plin (UNP). U skladu s “Nacionalnim planom razvoja obalnog linijskog pomorskog prometa” i obzirom da je Republika Hrvatska pomorska zemlja s razvijenim dužobalnim linijskim prometom, te pored toga ima plovne rječne puteve i jezera ovom mjerom bi se sufinancirali projekti postupnog prijelaza postojeće </w:t>
      </w:r>
      <w:r>
        <w:rPr>
          <w:rFonts w:cs="Arial"/>
          <w:szCs w:val="24"/>
        </w:rPr>
        <w:t>zastarjele</w:t>
      </w:r>
      <w:r w:rsidRPr="00902E2A">
        <w:rPr>
          <w:rFonts w:cs="Arial"/>
          <w:szCs w:val="24"/>
        </w:rPr>
        <w:t xml:space="preserve"> brodske flote na alternativna i/ili hibridna rješenja i novogradnj</w:t>
      </w:r>
      <w:r>
        <w:rPr>
          <w:rFonts w:cs="Arial"/>
          <w:szCs w:val="24"/>
        </w:rPr>
        <w:t>u</w:t>
      </w:r>
      <w:r w:rsidRPr="00902E2A">
        <w:rPr>
          <w:rFonts w:cs="Arial"/>
          <w:szCs w:val="24"/>
        </w:rPr>
        <w:t xml:space="preserve">. Brodovi koji koriste alternativna goriva u pravilu su skuplji od brodova koji koriste konvencionalna goriva pa ne postoji izraženi interes brodara ulagati u takve brodove. Stoga je u početnom razdoblju potrebno financijski podržati prenamjenu/izgradnju takvih brodova u mjeri u kojoj se izjednačava nabavna cijena odnosno stavlja takvog brodara u isti položaj kao i brodara koji koristi brodove s konvencionalnim gorivom. </w:t>
      </w:r>
      <w:r w:rsidR="0025388A" w:rsidRPr="00902E2A">
        <w:rPr>
          <w:rFonts w:cs="Arial"/>
          <w:szCs w:val="24"/>
        </w:rPr>
        <w:t>Ova se mjera nadovezuje na mjeru vezanu uz razvoj infrastrukture za alternativna goriva u smislu</w:t>
      </w:r>
      <w:r w:rsidR="0025388A">
        <w:rPr>
          <w:rFonts w:cs="Arial"/>
          <w:szCs w:val="24"/>
        </w:rPr>
        <w:t xml:space="preserve"> </w:t>
      </w:r>
      <w:r w:rsidR="0025388A" w:rsidRPr="00902E2A">
        <w:rPr>
          <w:rFonts w:cs="Arial"/>
          <w:szCs w:val="24"/>
        </w:rPr>
        <w:t>trajnih korisnika/potrošača na toj</w:t>
      </w:r>
      <w:r w:rsidR="0025388A">
        <w:rPr>
          <w:rFonts w:cs="Arial"/>
          <w:szCs w:val="24"/>
        </w:rPr>
        <w:t xml:space="preserve"> </w:t>
      </w:r>
      <w:r w:rsidR="0025388A" w:rsidRPr="00902E2A">
        <w:rPr>
          <w:rFonts w:cs="Arial"/>
          <w:szCs w:val="24"/>
        </w:rPr>
        <w:t>infrastrukturi, a istovremeno značajno utječe na potencijalno smanjenje onečišćenja mora, rijeka i jezera</w:t>
      </w:r>
      <w:r w:rsidRPr="00902E2A">
        <w:rPr>
          <w:rFonts w:cs="Arial"/>
          <w:szCs w:val="24"/>
        </w:rPr>
        <w:t>.</w:t>
      </w:r>
      <w:r w:rsidR="00622DB1">
        <w:rPr>
          <w:rFonts w:cs="Arial"/>
          <w:szCs w:val="24"/>
        </w:rPr>
        <w:t xml:space="preserve"> </w:t>
      </w:r>
    </w:p>
    <w:p w14:paraId="08AA2E09" w14:textId="5C6DD65D" w:rsidR="00DC15AF" w:rsidRPr="00902E2A" w:rsidRDefault="00DC15AF" w:rsidP="00DC15AF">
      <w:pPr>
        <w:pStyle w:val="NormalWeb"/>
        <w:spacing w:before="0" w:beforeAutospacing="0" w:after="0" w:afterAutospacing="0"/>
        <w:jc w:val="both"/>
        <w:rPr>
          <w:rFonts w:ascii="Arial" w:hAnsi="Arial" w:cs="Arial"/>
          <w:color w:val="000000"/>
          <w:sz w:val="22"/>
        </w:rPr>
      </w:pPr>
      <w:r w:rsidRPr="00902E2A">
        <w:rPr>
          <w:rFonts w:ascii="Arial" w:hAnsi="Arial" w:cs="Arial"/>
          <w:b/>
          <w:bCs/>
          <w:color w:val="000000"/>
          <w:sz w:val="22"/>
          <w:lang w:eastAsia="en-GB"/>
        </w:rPr>
        <w:t>Aktivnosti:</w:t>
      </w:r>
      <w:r w:rsidRPr="00902E2A">
        <w:rPr>
          <w:rFonts w:ascii="Arial" w:hAnsi="Arial" w:cs="Arial"/>
          <w:color w:val="000000"/>
          <w:sz w:val="22"/>
          <w:lang w:eastAsia="en-GB"/>
        </w:rPr>
        <w:t xml:space="preserve"> U okviru mjere provest će se aktivnosti sufinanciranja prenamjene postojeće flote brodova i gradnje novih brodova na alternativna goriva</w:t>
      </w:r>
      <w:r w:rsidR="00622DB1">
        <w:rPr>
          <w:rFonts w:ascii="Arial" w:hAnsi="Arial" w:cs="Arial"/>
          <w:color w:val="000000"/>
          <w:sz w:val="22"/>
          <w:lang w:eastAsia="en-GB"/>
        </w:rPr>
        <w:t xml:space="preserve"> </w:t>
      </w:r>
      <w:r w:rsidRPr="00902E2A">
        <w:rPr>
          <w:rFonts w:ascii="Arial" w:hAnsi="Arial" w:cs="Arial"/>
          <w:color w:val="000000"/>
          <w:sz w:val="22"/>
          <w:lang w:eastAsia="en-GB"/>
        </w:rPr>
        <w:t xml:space="preserve">putem javnih poziva FZOEU-a. </w:t>
      </w:r>
    </w:p>
    <w:p w14:paraId="03B4BD48" w14:textId="77777777" w:rsidR="00DC15AF" w:rsidRPr="00902E2A" w:rsidRDefault="00DC15AF" w:rsidP="00DC15AF">
      <w:pPr>
        <w:pStyle w:val="NormalWeb"/>
        <w:spacing w:before="0" w:beforeAutospacing="0" w:after="0" w:afterAutospacing="0"/>
        <w:jc w:val="both"/>
        <w:rPr>
          <w:rFonts w:ascii="Arial" w:hAnsi="Arial" w:cs="Arial"/>
          <w:b/>
          <w:bCs/>
          <w:color w:val="000000"/>
          <w:sz w:val="22"/>
          <w:lang w:eastAsia="en-GB"/>
        </w:rPr>
      </w:pPr>
    </w:p>
    <w:p w14:paraId="47CE1480" w14:textId="77777777" w:rsidR="00DC15AF" w:rsidRPr="00E90843" w:rsidRDefault="00DC15AF" w:rsidP="00DC15AF">
      <w:pPr>
        <w:pStyle w:val="NormalWeb"/>
        <w:spacing w:before="0" w:beforeAutospacing="0" w:after="0" w:afterAutospacing="0"/>
        <w:jc w:val="both"/>
        <w:rPr>
          <w:rFonts w:ascii="Arial" w:hAnsi="Arial" w:cs="Arial"/>
          <w:b/>
          <w:bCs/>
          <w:color w:val="FF0000"/>
          <w:sz w:val="22"/>
          <w:lang w:eastAsia="en-GB"/>
        </w:rPr>
      </w:pPr>
      <w:r w:rsidRPr="00902E2A">
        <w:rPr>
          <w:rFonts w:ascii="Arial" w:hAnsi="Arial" w:cs="Arial"/>
          <w:b/>
          <w:bCs/>
          <w:color w:val="000000"/>
          <w:sz w:val="22"/>
          <w:lang w:eastAsia="en-GB"/>
        </w:rPr>
        <w:t xml:space="preserve">Sredstva potrebna za provedbu: </w:t>
      </w:r>
      <w:r w:rsidRPr="00286B4C">
        <w:rPr>
          <w:rFonts w:ascii="Arial" w:hAnsi="Arial" w:cs="Arial"/>
          <w:sz w:val="22"/>
        </w:rPr>
        <w:t>300 milijuna kuna</w:t>
      </w:r>
    </w:p>
    <w:p w14:paraId="47F545D2" w14:textId="77777777" w:rsidR="00DC15AF" w:rsidRPr="00902E2A" w:rsidRDefault="00DC15AF" w:rsidP="00DC15AF">
      <w:pPr>
        <w:pStyle w:val="NormalWeb"/>
        <w:spacing w:before="0" w:beforeAutospacing="0" w:after="0" w:afterAutospacing="0"/>
        <w:jc w:val="both"/>
        <w:rPr>
          <w:rFonts w:ascii="Arial" w:hAnsi="Arial" w:cs="Arial"/>
          <w:color w:val="000000"/>
          <w:sz w:val="22"/>
        </w:rPr>
      </w:pPr>
      <w:r w:rsidRPr="00902E2A">
        <w:rPr>
          <w:rFonts w:ascii="Arial" w:hAnsi="Arial" w:cs="Arial"/>
          <w:b/>
          <w:bCs/>
          <w:color w:val="000000"/>
          <w:sz w:val="22"/>
          <w:lang w:eastAsia="en-GB"/>
        </w:rPr>
        <w:t xml:space="preserve">Izvori financiranja: </w:t>
      </w:r>
      <w:r w:rsidRPr="00902E2A">
        <w:rPr>
          <w:rFonts w:ascii="Arial" w:hAnsi="Arial" w:cs="Arial"/>
          <w:color w:val="000000"/>
          <w:sz w:val="22"/>
          <w:lang w:eastAsia="en-GB"/>
        </w:rPr>
        <w:t xml:space="preserve">FZOEU iz sredstava stečenim od prodaje emisijskih jedinica putem dražbe, natječaja AZOLPP, ESI fondova i drugih izvora </w:t>
      </w:r>
    </w:p>
    <w:p w14:paraId="27846288" w14:textId="77777777" w:rsidR="00DC15AF" w:rsidRPr="00902E2A" w:rsidRDefault="00DC15AF" w:rsidP="00DC15AF">
      <w:pPr>
        <w:pStyle w:val="NormalWeb"/>
        <w:spacing w:before="0" w:beforeAutospacing="0" w:after="0" w:afterAutospacing="0"/>
        <w:jc w:val="both"/>
        <w:rPr>
          <w:rFonts w:ascii="Arial" w:hAnsi="Arial" w:cs="Arial"/>
          <w:color w:val="000000"/>
          <w:sz w:val="22"/>
          <w:lang w:eastAsia="en-GB"/>
        </w:rPr>
      </w:pPr>
      <w:r w:rsidRPr="00902E2A">
        <w:rPr>
          <w:rFonts w:ascii="Arial" w:hAnsi="Arial" w:cs="Arial"/>
          <w:b/>
          <w:bCs/>
          <w:color w:val="000000"/>
          <w:sz w:val="22"/>
          <w:lang w:eastAsia="en-GB"/>
        </w:rPr>
        <w:t>Izvršno tijelo:</w:t>
      </w:r>
      <w:r w:rsidRPr="00902E2A">
        <w:rPr>
          <w:rFonts w:ascii="Arial" w:hAnsi="Arial" w:cs="Arial"/>
          <w:color w:val="000000"/>
          <w:sz w:val="22"/>
          <w:lang w:eastAsia="en-GB"/>
        </w:rPr>
        <w:t xml:space="preserve"> FZOEU</w:t>
      </w:r>
    </w:p>
    <w:p w14:paraId="1CC4BBB2" w14:textId="77777777" w:rsidR="00DC15AF" w:rsidRPr="00902E2A" w:rsidRDefault="00DC15AF" w:rsidP="00DC15AF">
      <w:pPr>
        <w:pStyle w:val="NormalWeb"/>
        <w:spacing w:before="0" w:beforeAutospacing="0" w:after="0" w:afterAutospacing="0"/>
        <w:jc w:val="both"/>
        <w:rPr>
          <w:rFonts w:ascii="Arial" w:hAnsi="Arial" w:cs="Arial"/>
          <w:color w:val="000000"/>
          <w:sz w:val="22"/>
        </w:rPr>
      </w:pPr>
      <w:r w:rsidRPr="00902E2A">
        <w:rPr>
          <w:rFonts w:ascii="Arial" w:hAnsi="Arial" w:cs="Arial"/>
          <w:b/>
          <w:bCs/>
          <w:color w:val="000000"/>
          <w:sz w:val="22"/>
          <w:lang w:eastAsia="en-GB"/>
        </w:rPr>
        <w:t>Tijela za praćenje (nadzor):</w:t>
      </w:r>
      <w:r w:rsidRPr="00902E2A">
        <w:rPr>
          <w:rFonts w:ascii="Arial" w:hAnsi="Arial" w:cs="Arial"/>
          <w:color w:val="000000"/>
          <w:sz w:val="22"/>
          <w:lang w:eastAsia="en-GB"/>
        </w:rPr>
        <w:t xml:space="preserve"> MMPI-NKT </w:t>
      </w:r>
    </w:p>
    <w:p w14:paraId="42616FA9" w14:textId="77777777" w:rsidR="00DC15AF" w:rsidRPr="00902E2A" w:rsidRDefault="00DC15AF" w:rsidP="00DC15AF">
      <w:pPr>
        <w:pStyle w:val="NormalWeb"/>
        <w:spacing w:before="0" w:beforeAutospacing="0" w:after="0" w:afterAutospacing="0"/>
        <w:rPr>
          <w:rFonts w:ascii="Arial" w:hAnsi="Arial" w:cs="Arial"/>
          <w:color w:val="000000"/>
          <w:sz w:val="22"/>
          <w:lang w:eastAsia="en-GB"/>
        </w:rPr>
      </w:pPr>
      <w:r w:rsidRPr="00902E2A">
        <w:rPr>
          <w:rFonts w:ascii="Arial" w:hAnsi="Arial" w:cs="Arial"/>
          <w:b/>
          <w:bCs/>
          <w:color w:val="000000"/>
          <w:sz w:val="22"/>
          <w:lang w:eastAsia="en-GB"/>
        </w:rPr>
        <w:t xml:space="preserve">Učinak: </w:t>
      </w:r>
      <w:r w:rsidRPr="00902E2A">
        <w:rPr>
          <w:rFonts w:ascii="Arial" w:hAnsi="Arial" w:cs="Arial"/>
          <w:color w:val="000000"/>
          <w:sz w:val="22"/>
          <w:lang w:eastAsia="en-GB"/>
        </w:rPr>
        <w:t>Akceleracija razvoja aktivnih korisnika alternativnih energenata</w:t>
      </w:r>
      <w:r>
        <w:rPr>
          <w:rFonts w:ascii="Arial" w:hAnsi="Arial" w:cs="Arial"/>
          <w:color w:val="000000"/>
          <w:sz w:val="22"/>
          <w:lang w:eastAsia="en-GB"/>
        </w:rPr>
        <w:t>, ušteda energije i s</w:t>
      </w:r>
      <w:r w:rsidRPr="00902E2A">
        <w:rPr>
          <w:rFonts w:ascii="Arial" w:hAnsi="Arial" w:cs="Arial"/>
          <w:color w:val="000000"/>
          <w:sz w:val="22"/>
          <w:lang w:eastAsia="en-GB"/>
        </w:rPr>
        <w:t xml:space="preserve">manjenje emisija CO2 </w:t>
      </w:r>
      <w:r w:rsidRPr="009A1A78">
        <w:rPr>
          <w:rFonts w:ascii="Arial" w:hAnsi="Arial" w:cs="Arial"/>
          <w:color w:val="000000"/>
          <w:sz w:val="22"/>
          <w:szCs w:val="22"/>
          <w:lang w:eastAsia="en-GB"/>
        </w:rPr>
        <w:t>te smanjenje emisija onečišćujućih tvari</w:t>
      </w:r>
    </w:p>
    <w:p w14:paraId="2F0571A0" w14:textId="77777777" w:rsidR="00DC15AF" w:rsidRPr="00902E2A" w:rsidRDefault="00DC15AF" w:rsidP="00DC15AF">
      <w:pPr>
        <w:pStyle w:val="NormalWeb"/>
        <w:spacing w:before="0" w:beforeAutospacing="0" w:after="0" w:afterAutospacing="0"/>
        <w:rPr>
          <w:rFonts w:ascii="Arial" w:hAnsi="Arial" w:cs="Arial"/>
          <w:color w:val="000000"/>
          <w:sz w:val="22"/>
        </w:rPr>
      </w:pPr>
      <w:r w:rsidRPr="00902E2A">
        <w:rPr>
          <w:rFonts w:ascii="Arial" w:hAnsi="Arial" w:cs="Arial"/>
          <w:b/>
          <w:bCs/>
          <w:color w:val="000000"/>
          <w:sz w:val="22"/>
          <w:lang w:eastAsia="en-GB"/>
        </w:rPr>
        <w:t>Metoda praćenja:</w:t>
      </w:r>
      <w:r w:rsidRPr="00902E2A">
        <w:rPr>
          <w:rFonts w:ascii="Arial" w:hAnsi="Arial" w:cs="Arial"/>
          <w:color w:val="000000"/>
          <w:sz w:val="22"/>
          <w:lang w:eastAsia="en-GB"/>
        </w:rPr>
        <w:t xml:space="preserve"> Izvješća o broju plovila na alternativna goriva putem Hrvatskog registra brodova</w:t>
      </w:r>
    </w:p>
    <w:p w14:paraId="7EE4C8AF" w14:textId="77777777" w:rsidR="00DC15AF" w:rsidRPr="00902E2A" w:rsidRDefault="00DC15AF" w:rsidP="00DC15AF">
      <w:pPr>
        <w:pStyle w:val="NormalWeb"/>
        <w:spacing w:before="0" w:beforeAutospacing="0" w:after="0" w:afterAutospacing="0"/>
        <w:jc w:val="both"/>
        <w:rPr>
          <w:rFonts w:ascii="Arial" w:hAnsi="Arial" w:cs="Arial"/>
          <w:color w:val="000000"/>
          <w:sz w:val="22"/>
        </w:rPr>
      </w:pPr>
      <w:r w:rsidRPr="00902E2A">
        <w:rPr>
          <w:rFonts w:ascii="Arial" w:hAnsi="Arial" w:cs="Arial"/>
          <w:b/>
          <w:bCs/>
          <w:color w:val="000000"/>
          <w:sz w:val="22"/>
          <w:lang w:eastAsia="en-GB"/>
        </w:rPr>
        <w:t xml:space="preserve">Povezanost s drugim dimenzijama: </w:t>
      </w:r>
      <w:r w:rsidRPr="00902E2A">
        <w:rPr>
          <w:rFonts w:ascii="Arial" w:hAnsi="Arial" w:cs="Arial"/>
          <w:color w:val="000000"/>
          <w:sz w:val="22"/>
          <w:lang w:eastAsia="en-GB"/>
        </w:rPr>
        <w:t>izravna povezanost s dimenzijom energetske učinkovitosti</w:t>
      </w:r>
    </w:p>
    <w:p w14:paraId="29F3DF4E" w14:textId="77777777" w:rsidR="00DC15AF" w:rsidRPr="00902E2A" w:rsidRDefault="00DC15AF" w:rsidP="00DC15AF">
      <w:pPr>
        <w:pStyle w:val="NormalWeb"/>
        <w:spacing w:before="0" w:beforeAutospacing="0" w:after="0" w:afterAutospacing="0"/>
        <w:jc w:val="both"/>
        <w:rPr>
          <w:rFonts w:ascii="Arial" w:hAnsi="Arial" w:cs="Arial"/>
          <w:color w:val="000000"/>
          <w:sz w:val="22"/>
        </w:rPr>
      </w:pPr>
      <w:r w:rsidRPr="00902E2A">
        <w:rPr>
          <w:rFonts w:ascii="Arial" w:hAnsi="Arial" w:cs="Arial"/>
          <w:b/>
          <w:bCs/>
          <w:color w:val="000000"/>
          <w:sz w:val="22"/>
          <w:lang w:eastAsia="en-GB"/>
        </w:rPr>
        <w:t xml:space="preserve">Povezanost s prilagodbom klimatskim promjenama: </w:t>
      </w:r>
      <w:r>
        <w:rPr>
          <w:rFonts w:ascii="Arial" w:hAnsi="Arial" w:cs="Arial"/>
          <w:color w:val="000000"/>
          <w:sz w:val="22"/>
          <w:lang w:eastAsia="en-GB"/>
        </w:rPr>
        <w:t>/</w:t>
      </w:r>
    </w:p>
    <w:p w14:paraId="0BCA8563" w14:textId="77777777" w:rsidR="00DC15AF" w:rsidRPr="00902E2A" w:rsidRDefault="00DC15AF" w:rsidP="00DC15AF">
      <w:pPr>
        <w:pStyle w:val="NormalWeb"/>
        <w:spacing w:before="0" w:beforeAutospacing="0" w:after="0" w:afterAutospacing="0"/>
        <w:jc w:val="both"/>
        <w:rPr>
          <w:rFonts w:ascii="Arial" w:hAnsi="Arial" w:cs="Arial"/>
          <w:sz w:val="22"/>
        </w:rPr>
      </w:pPr>
      <w:r w:rsidRPr="00902E2A">
        <w:rPr>
          <w:rFonts w:ascii="Arial" w:hAnsi="Arial" w:cs="Arial"/>
          <w:b/>
          <w:bCs/>
          <w:color w:val="000000"/>
          <w:sz w:val="22"/>
          <w:lang w:eastAsia="en-GB"/>
        </w:rPr>
        <w:t>Istraživanje i razvoj</w:t>
      </w:r>
      <w:r w:rsidRPr="00902E2A">
        <w:rPr>
          <w:rFonts w:ascii="Arial" w:hAnsi="Arial" w:cs="Arial"/>
          <w:color w:val="000000"/>
          <w:sz w:val="22"/>
          <w:lang w:eastAsia="en-GB"/>
        </w:rPr>
        <w:t>: Prilika za razvoj i istraživanje od faze projektiranj</w:t>
      </w:r>
      <w:r>
        <w:rPr>
          <w:rFonts w:ascii="Arial" w:hAnsi="Arial" w:cs="Arial"/>
          <w:color w:val="000000"/>
          <w:sz w:val="22"/>
          <w:lang w:eastAsia="en-GB"/>
        </w:rPr>
        <w:t>a</w:t>
      </w:r>
      <w:r w:rsidRPr="00902E2A">
        <w:rPr>
          <w:rFonts w:ascii="Arial" w:hAnsi="Arial" w:cs="Arial"/>
          <w:color w:val="000000"/>
          <w:sz w:val="22"/>
          <w:lang w:eastAsia="en-GB"/>
        </w:rPr>
        <w:t xml:space="preserve"> do gotovih plovnih objekata. </w:t>
      </w:r>
    </w:p>
    <w:p w14:paraId="67FCE915" w14:textId="6C86ACC8" w:rsidR="003A6103" w:rsidRDefault="003A6103" w:rsidP="0012721C">
      <w:pPr>
        <w:pStyle w:val="NormalWeb"/>
        <w:spacing w:before="0" w:beforeAutospacing="0" w:after="0" w:afterAutospacing="0"/>
        <w:jc w:val="both"/>
        <w:rPr>
          <w:rFonts w:ascii="Arial" w:hAnsi="Arial" w:cs="Arial"/>
          <w:color w:val="000000"/>
          <w:sz w:val="22"/>
          <w:szCs w:val="22"/>
          <w:lang w:eastAsia="en-GB"/>
        </w:rPr>
      </w:pPr>
    </w:p>
    <w:p w14:paraId="7A12CCAA" w14:textId="5D918817" w:rsidR="00F32783" w:rsidRDefault="003A6103" w:rsidP="00286B4C">
      <w:pPr>
        <w:pStyle w:val="NormalWeb"/>
        <w:spacing w:after="120" w:line="288" w:lineRule="auto"/>
        <w:jc w:val="both"/>
        <w:rPr>
          <w:rFonts w:ascii="Arial" w:hAnsi="Arial" w:cs="Arial"/>
          <w:b/>
          <w:bCs/>
          <w:color w:val="000000"/>
          <w:sz w:val="22"/>
          <w:szCs w:val="22"/>
        </w:rPr>
      </w:pPr>
      <w:r w:rsidRPr="005B687C">
        <w:rPr>
          <w:rFonts w:ascii="Arial" w:hAnsi="Arial" w:cs="Arial"/>
          <w:b/>
          <w:bCs/>
          <w:color w:val="000000"/>
          <w:sz w:val="22"/>
          <w:szCs w:val="22"/>
        </w:rPr>
        <w:t>TR-</w:t>
      </w:r>
      <w:r w:rsidR="00E14C45">
        <w:rPr>
          <w:rFonts w:ascii="Arial" w:hAnsi="Arial" w:cs="Arial"/>
          <w:b/>
          <w:bCs/>
          <w:color w:val="000000"/>
          <w:sz w:val="22"/>
          <w:szCs w:val="22"/>
        </w:rPr>
        <w:t>13</w:t>
      </w:r>
      <w:r w:rsidRPr="005B687C">
        <w:rPr>
          <w:rFonts w:ascii="Arial" w:hAnsi="Arial" w:cs="Arial"/>
          <w:b/>
          <w:bCs/>
          <w:color w:val="000000"/>
          <w:sz w:val="22"/>
          <w:szCs w:val="22"/>
        </w:rPr>
        <w:t xml:space="preserve">: </w:t>
      </w:r>
      <w:r w:rsidR="00F32783" w:rsidRPr="00F32783">
        <w:rPr>
          <w:rFonts w:ascii="Arial" w:hAnsi="Arial" w:cs="Arial"/>
          <w:b/>
          <w:bCs/>
          <w:color w:val="000000"/>
          <w:sz w:val="22"/>
          <w:szCs w:val="22"/>
        </w:rPr>
        <w:t>Plan razvoja tržišta naprednih biogoriva</w:t>
      </w:r>
      <w:r w:rsidRPr="005B687C">
        <w:rPr>
          <w:rFonts w:ascii="Arial" w:hAnsi="Arial" w:cs="Arial"/>
          <w:b/>
          <w:bCs/>
          <w:color w:val="000000"/>
          <w:sz w:val="22"/>
          <w:szCs w:val="22"/>
        </w:rPr>
        <w:t xml:space="preserve"> </w:t>
      </w:r>
    </w:p>
    <w:p w14:paraId="3F70A884" w14:textId="71D68996" w:rsidR="003A6103" w:rsidRPr="006537D6" w:rsidRDefault="003A6103" w:rsidP="00286B4C">
      <w:pPr>
        <w:pStyle w:val="NormalWeb"/>
        <w:spacing w:after="120" w:line="288" w:lineRule="auto"/>
        <w:jc w:val="both"/>
        <w:rPr>
          <w:rFonts w:ascii="Arial" w:hAnsi="Arial" w:cs="Arial"/>
          <w:b/>
          <w:bCs/>
          <w:color w:val="000000"/>
          <w:sz w:val="22"/>
          <w:szCs w:val="22"/>
        </w:rPr>
      </w:pPr>
      <w:r w:rsidRPr="006537D6">
        <w:rPr>
          <w:rFonts w:ascii="Arial" w:hAnsi="Arial" w:cs="Arial"/>
          <w:b/>
          <w:bCs/>
          <w:color w:val="000000"/>
          <w:sz w:val="22"/>
          <w:szCs w:val="22"/>
        </w:rPr>
        <w:t>Regulatorna, promotivna mjera; provedba 2021.-20</w:t>
      </w:r>
      <w:r w:rsidR="00F32783">
        <w:rPr>
          <w:rFonts w:ascii="Arial" w:hAnsi="Arial" w:cs="Arial"/>
          <w:b/>
          <w:bCs/>
          <w:color w:val="000000"/>
          <w:sz w:val="22"/>
          <w:szCs w:val="22"/>
        </w:rPr>
        <w:t>30</w:t>
      </w:r>
      <w:r w:rsidRPr="006537D6">
        <w:rPr>
          <w:rFonts w:ascii="Arial" w:hAnsi="Arial" w:cs="Arial"/>
          <w:b/>
          <w:bCs/>
          <w:color w:val="000000"/>
          <w:sz w:val="22"/>
          <w:szCs w:val="22"/>
        </w:rPr>
        <w:t>., s ažuriranjem svake 2 godine</w:t>
      </w:r>
    </w:p>
    <w:p w14:paraId="5FFDAAEA" w14:textId="5852CB90"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6537D6">
        <w:rPr>
          <w:rFonts w:ascii="Arial" w:hAnsi="Arial" w:cs="Arial"/>
          <w:b/>
          <w:bCs/>
          <w:color w:val="000000"/>
          <w:sz w:val="22"/>
          <w:szCs w:val="22"/>
          <w:lang w:eastAsia="en-GB"/>
        </w:rPr>
        <w:t>Cilj i opis mjere</w:t>
      </w:r>
      <w:r w:rsidRPr="00EF3B58">
        <w:rPr>
          <w:rFonts w:ascii="Arial" w:hAnsi="Arial" w:cs="Arial"/>
          <w:bCs/>
          <w:color w:val="000000"/>
          <w:sz w:val="22"/>
          <w:szCs w:val="22"/>
          <w:lang w:eastAsia="en-GB"/>
        </w:rPr>
        <w:t>: povećanje udjela OIE u prometu do 2030. godine</w:t>
      </w:r>
      <w:r w:rsidR="00C57E93">
        <w:rPr>
          <w:rFonts w:ascii="Arial" w:hAnsi="Arial" w:cs="Arial"/>
          <w:bCs/>
          <w:color w:val="000000"/>
          <w:sz w:val="22"/>
          <w:szCs w:val="22"/>
          <w:lang w:eastAsia="en-GB"/>
        </w:rPr>
        <w:t xml:space="preserve"> kroz</w:t>
      </w:r>
      <w:r w:rsidRPr="00EF3B58">
        <w:rPr>
          <w:rFonts w:ascii="Arial" w:hAnsi="Arial" w:cs="Arial"/>
          <w:bCs/>
          <w:color w:val="000000"/>
          <w:sz w:val="22"/>
          <w:szCs w:val="22"/>
          <w:lang w:eastAsia="en-GB"/>
        </w:rPr>
        <w:t xml:space="preserve"> razvoj tržišta naprednih goriva i postizanje planiranog udjela naprednih goriva u neposrednoj potrošnji energije u prometu putem kriterija najmanjeg troška i najvećeg multiplikatora. Provedba mjere osniva se na izmjenama i dopunama relevantnih zakona i podzakonskih akata na temelju Direktive o promicanju uporabe energije iz obnovljivih izvora, a posebice uspostavi uvjeta za praćenje održivosti biogoriva i ušteda stakleničkih plinova.</w:t>
      </w:r>
    </w:p>
    <w:p w14:paraId="2192C07B" w14:textId="77777777" w:rsidR="003A6103" w:rsidRPr="00EF3B58" w:rsidRDefault="003A6103" w:rsidP="003A6103">
      <w:pPr>
        <w:pStyle w:val="NormalWeb"/>
        <w:spacing w:before="0" w:beforeAutospacing="0" w:after="0" w:afterAutospacing="0"/>
        <w:jc w:val="both"/>
        <w:rPr>
          <w:rFonts w:ascii="Arial" w:hAnsi="Arial" w:cs="Arial"/>
          <w:b/>
          <w:bCs/>
          <w:color w:val="000000"/>
          <w:sz w:val="22"/>
          <w:szCs w:val="22"/>
          <w:lang w:eastAsia="en-GB"/>
        </w:rPr>
      </w:pPr>
      <w:r w:rsidRPr="006537D6">
        <w:rPr>
          <w:rFonts w:ascii="Arial" w:hAnsi="Arial" w:cs="Arial"/>
          <w:b/>
          <w:bCs/>
          <w:color w:val="000000"/>
          <w:sz w:val="22"/>
          <w:szCs w:val="22"/>
          <w:lang w:eastAsia="en-GB"/>
        </w:rPr>
        <w:t>Aktivnosti:</w:t>
      </w:r>
    </w:p>
    <w:p w14:paraId="15EEF0A0" w14:textId="12B57B39" w:rsidR="003A6103" w:rsidRPr="00EF3B58" w:rsidRDefault="003A6103" w:rsidP="00840E2E">
      <w:pPr>
        <w:pStyle w:val="NormalWeb"/>
        <w:numPr>
          <w:ilvl w:val="0"/>
          <w:numId w:val="110"/>
        </w:numPr>
        <w:spacing w:before="0" w:beforeAutospacing="0" w:after="0" w:afterAutospacing="0"/>
        <w:jc w:val="both"/>
        <w:rPr>
          <w:rFonts w:ascii="Arial" w:hAnsi="Arial" w:cs="Arial"/>
          <w:bCs/>
          <w:color w:val="000000"/>
          <w:sz w:val="22"/>
          <w:szCs w:val="22"/>
          <w:lang w:eastAsia="en-GB"/>
        </w:rPr>
      </w:pPr>
      <w:r w:rsidRPr="00EF3B58">
        <w:rPr>
          <w:rFonts w:ascii="Arial" w:hAnsi="Arial" w:cs="Arial"/>
          <w:bCs/>
          <w:color w:val="000000"/>
          <w:sz w:val="22"/>
          <w:szCs w:val="22"/>
          <w:lang w:eastAsia="en-GB"/>
        </w:rPr>
        <w:t>Analiza i istraživanje scenarija zadovoljenja udjela naprednih goriva do 2030. godine kroz razvoj tehnoloških kapaciteta koji imaju najveću dodanu vrijednost i učinak mult</w:t>
      </w:r>
      <w:r w:rsidR="00D04ECF">
        <w:rPr>
          <w:rFonts w:ascii="Arial" w:hAnsi="Arial" w:cs="Arial"/>
          <w:bCs/>
          <w:color w:val="000000"/>
          <w:sz w:val="22"/>
          <w:szCs w:val="22"/>
          <w:lang w:eastAsia="en-GB"/>
        </w:rPr>
        <w:t>i</w:t>
      </w:r>
      <w:r w:rsidRPr="00EF3B58">
        <w:rPr>
          <w:rFonts w:ascii="Arial" w:hAnsi="Arial" w:cs="Arial"/>
          <w:bCs/>
          <w:color w:val="000000"/>
          <w:sz w:val="22"/>
          <w:szCs w:val="22"/>
          <w:lang w:eastAsia="en-GB"/>
        </w:rPr>
        <w:t>plikatora na domaće gospodarstvo. Cilj spomenute analize je utvrditi moguće kapacitete s lokacijama za domaću proizvodnju na temelju dostupnosti sirovine i tehnoloških mogućnosti (postojećih i mogućih) te identificirati dionike, potrebe i barijere za razvoj tržišta naprednih goriva.</w:t>
      </w:r>
    </w:p>
    <w:p w14:paraId="0A91D79C" w14:textId="44C44B03" w:rsidR="003A6103" w:rsidRPr="00EF3B58" w:rsidRDefault="003A6103" w:rsidP="00840E2E">
      <w:pPr>
        <w:pStyle w:val="NormalWeb"/>
        <w:numPr>
          <w:ilvl w:val="0"/>
          <w:numId w:val="110"/>
        </w:numPr>
        <w:spacing w:before="0" w:beforeAutospacing="0" w:after="0" w:afterAutospacing="0"/>
        <w:jc w:val="both"/>
        <w:rPr>
          <w:rFonts w:ascii="Arial" w:hAnsi="Arial" w:cs="Arial"/>
          <w:bCs/>
          <w:color w:val="000000"/>
          <w:sz w:val="22"/>
          <w:szCs w:val="22"/>
          <w:lang w:eastAsia="en-GB"/>
        </w:rPr>
      </w:pPr>
      <w:r w:rsidRPr="00EF3B58">
        <w:rPr>
          <w:rFonts w:ascii="Arial" w:hAnsi="Arial" w:cs="Arial"/>
          <w:bCs/>
          <w:color w:val="000000"/>
          <w:sz w:val="22"/>
          <w:szCs w:val="22"/>
          <w:lang w:eastAsia="en-GB"/>
        </w:rPr>
        <w:t xml:space="preserve">Izrada, usvajanje i provođenje Plana i Programa proizvodnje i korištenja biogoriva u prometu. Plan se temelji na prilagođenom zakonodavnom okviru (OIE-4 i TR-5) te rezultatima analize u točki 1. Planom će se utvrditi politika promicanja proizvodnje i uporabe naprednih biogoriva u prijevozu u Republici Hrvatskoj. Plan će sadržati trenutačni pregled i procjenu stanja na tržištu biogoriva, nove poslovne modele, dionike, mjere za promicanje povećane proizvodnje i korištenja naprednih biogoriva u prometu te trajektorije za postizanje cilja naprednih goriva u prijevozu do 2030. Mjere propisane planom uključivat će mjere usmjerene na proizvodnju naprednih biogoriva iz sirovine </w:t>
      </w:r>
      <w:r w:rsidR="003C0213">
        <w:rPr>
          <w:rFonts w:ascii="Arial" w:hAnsi="Arial" w:cs="Arial"/>
          <w:bCs/>
          <w:color w:val="000000"/>
          <w:sz w:val="22"/>
          <w:szCs w:val="22"/>
          <w:lang w:eastAsia="en-GB"/>
        </w:rPr>
        <w:t>iz dijela</w:t>
      </w:r>
      <w:r w:rsidRPr="00EF3B58">
        <w:rPr>
          <w:rFonts w:ascii="Arial" w:hAnsi="Arial" w:cs="Arial"/>
          <w:bCs/>
          <w:color w:val="000000"/>
          <w:sz w:val="22"/>
          <w:szCs w:val="22"/>
          <w:lang w:eastAsia="en-GB"/>
        </w:rPr>
        <w:t xml:space="preserve"> A </w:t>
      </w:r>
      <w:r w:rsidR="00F27F04" w:rsidRPr="00F27F04">
        <w:rPr>
          <w:rFonts w:ascii="Arial" w:hAnsi="Arial" w:cs="Arial"/>
          <w:bCs/>
          <w:color w:val="000000"/>
          <w:sz w:val="22"/>
          <w:szCs w:val="22"/>
          <w:lang w:eastAsia="en-GB"/>
        </w:rPr>
        <w:t>Direktive (EU) 2018/2001 o promicanju uporabe energije iz obnovljivih izvora</w:t>
      </w:r>
      <w:r w:rsidRPr="00EF3B58">
        <w:rPr>
          <w:rFonts w:ascii="Arial" w:hAnsi="Arial" w:cs="Arial"/>
          <w:bCs/>
          <w:color w:val="000000"/>
          <w:sz w:val="22"/>
          <w:szCs w:val="22"/>
          <w:lang w:eastAsia="en-GB"/>
        </w:rPr>
        <w:t xml:space="preserve">, mjere za korištenje naprednih biogoriva, mjere za istraživanje i razvoj, jačanje tržišta, administrativne mjere. Plan će omogućiti privlačenje najavljenih investicija </w:t>
      </w:r>
      <w:r w:rsidR="3D39EE6F" w:rsidRPr="00F22530">
        <w:rPr>
          <w:rFonts w:ascii="Arial" w:hAnsi="Arial" w:cs="Arial"/>
          <w:color w:val="000000"/>
          <w:sz w:val="22"/>
          <w:szCs w:val="22"/>
          <w:lang w:eastAsia="en-GB"/>
        </w:rPr>
        <w:t>za</w:t>
      </w:r>
      <w:r w:rsidRPr="00EF3B58">
        <w:rPr>
          <w:rFonts w:ascii="Arial" w:hAnsi="Arial" w:cs="Arial"/>
          <w:bCs/>
          <w:color w:val="000000"/>
          <w:sz w:val="22"/>
          <w:szCs w:val="22"/>
          <w:lang w:eastAsia="en-GB"/>
        </w:rPr>
        <w:t xml:space="preserve"> </w:t>
      </w:r>
      <w:r w:rsidRPr="00EF3B58">
        <w:rPr>
          <w:rFonts w:ascii="Arial" w:hAnsi="Arial" w:cs="Arial"/>
          <w:bCs/>
          <w:i/>
          <w:color w:val="000000"/>
          <w:sz w:val="22"/>
          <w:szCs w:val="22"/>
          <w:lang w:eastAsia="en-GB"/>
        </w:rPr>
        <w:t>zero-pollution</w:t>
      </w:r>
      <w:r w:rsidRPr="00EF3B58">
        <w:rPr>
          <w:rFonts w:ascii="Arial" w:hAnsi="Arial" w:cs="Arial"/>
          <w:bCs/>
          <w:color w:val="000000"/>
          <w:sz w:val="22"/>
          <w:szCs w:val="22"/>
          <w:lang w:eastAsia="en-GB"/>
        </w:rPr>
        <w:t xml:space="preserve"> Europe.</w:t>
      </w:r>
      <w:r w:rsidR="00E223DA">
        <w:rPr>
          <w:rFonts w:ascii="Arial" w:hAnsi="Arial" w:cs="Arial"/>
          <w:bCs/>
          <w:color w:val="000000"/>
          <w:sz w:val="22"/>
          <w:szCs w:val="22"/>
          <w:lang w:eastAsia="en-GB"/>
        </w:rPr>
        <w:t xml:space="preserve"> </w:t>
      </w:r>
    </w:p>
    <w:p w14:paraId="180938F7" w14:textId="382996C4" w:rsidR="003A6103" w:rsidRPr="00EF3B58" w:rsidRDefault="003A6103" w:rsidP="00840E2E">
      <w:pPr>
        <w:pStyle w:val="NormalWeb"/>
        <w:numPr>
          <w:ilvl w:val="0"/>
          <w:numId w:val="110"/>
        </w:numPr>
        <w:spacing w:before="0" w:beforeAutospacing="0" w:after="0" w:afterAutospacing="0"/>
        <w:jc w:val="both"/>
        <w:rPr>
          <w:rFonts w:ascii="Arial" w:hAnsi="Arial" w:cs="Arial"/>
          <w:bCs/>
          <w:color w:val="000000"/>
          <w:sz w:val="22"/>
          <w:szCs w:val="22"/>
          <w:lang w:eastAsia="en-GB"/>
        </w:rPr>
      </w:pPr>
      <w:r w:rsidRPr="00EF3B58">
        <w:rPr>
          <w:rFonts w:ascii="Arial" w:hAnsi="Arial" w:cs="Arial"/>
          <w:bCs/>
          <w:color w:val="000000"/>
          <w:sz w:val="22"/>
          <w:szCs w:val="22"/>
          <w:lang w:eastAsia="en-GB"/>
        </w:rPr>
        <w:t xml:space="preserve">Uspostavljanje modela za promociju i razvoj tržišta naprednih biogoriva u prijevozu od strane Ministarstva, uključujući i formiranje financijskih potpora kroz postojeće programe (npr. Program ruralnog razvoja, HAMAG-BICRO, BBI JU) za projekte naprednih biogoriva </w:t>
      </w:r>
    </w:p>
    <w:p w14:paraId="4A154F7A" w14:textId="77777777" w:rsidR="001D53B0" w:rsidRDefault="001D53B0" w:rsidP="003A6103">
      <w:pPr>
        <w:pStyle w:val="NormalWeb"/>
        <w:spacing w:before="0" w:beforeAutospacing="0" w:after="0" w:afterAutospacing="0"/>
        <w:jc w:val="both"/>
        <w:rPr>
          <w:rFonts w:ascii="Arial" w:hAnsi="Arial" w:cs="Arial"/>
          <w:bCs/>
          <w:color w:val="000000"/>
          <w:sz w:val="22"/>
          <w:szCs w:val="22"/>
          <w:lang w:eastAsia="en-GB"/>
        </w:rPr>
      </w:pPr>
    </w:p>
    <w:p w14:paraId="34DB2589" w14:textId="3EA6E82B"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EF3B58">
        <w:rPr>
          <w:rFonts w:ascii="Arial" w:hAnsi="Arial" w:cs="Arial"/>
          <w:bCs/>
          <w:color w:val="000000"/>
          <w:sz w:val="22"/>
          <w:szCs w:val="22"/>
          <w:lang w:eastAsia="en-GB"/>
        </w:rPr>
        <w:t xml:space="preserve">Sredstva potrebna za provedbu: Financijska sredstva za provedbu ovih aktivnosti planiraju nadležna ministarstva (MZOE, Ministarstvo poljoprivrede) u okviru svojih godišnjih proračuna, kao sastavni dio svojih redovnih aktivnosti. </w:t>
      </w:r>
      <w:r w:rsidR="001D53B0">
        <w:rPr>
          <w:rFonts w:ascii="Arial" w:hAnsi="Arial" w:cs="Arial"/>
          <w:bCs/>
          <w:color w:val="000000"/>
          <w:sz w:val="22"/>
          <w:szCs w:val="22"/>
          <w:lang w:eastAsia="en-GB"/>
        </w:rPr>
        <w:t>T</w:t>
      </w:r>
      <w:r w:rsidRPr="00602568">
        <w:rPr>
          <w:rFonts w:ascii="Arial" w:hAnsi="Arial" w:cs="Arial"/>
          <w:bCs/>
          <w:color w:val="000000"/>
          <w:sz w:val="22"/>
          <w:szCs w:val="22"/>
          <w:lang w:eastAsia="en-GB"/>
        </w:rPr>
        <w:t>rošak</w:t>
      </w:r>
      <w:r w:rsidRPr="00602568">
        <w:rPr>
          <w:rFonts w:ascii="Arial" w:hAnsi="Arial" w:cs="Arial"/>
          <w:color w:val="000000"/>
          <w:sz w:val="22"/>
          <w:szCs w:val="22"/>
          <w:lang w:eastAsia="en-GB"/>
        </w:rPr>
        <w:t xml:space="preserve"> analize iz točke 1</w:t>
      </w:r>
      <w:r w:rsidR="001D53B0">
        <w:rPr>
          <w:rFonts w:ascii="Arial" w:hAnsi="Arial" w:cs="Arial"/>
          <w:bCs/>
          <w:color w:val="000000"/>
          <w:sz w:val="22"/>
          <w:szCs w:val="22"/>
          <w:lang w:eastAsia="en-GB"/>
        </w:rPr>
        <w:t>:</w:t>
      </w:r>
      <w:r w:rsidRPr="00602568">
        <w:rPr>
          <w:rFonts w:ascii="Arial" w:hAnsi="Arial" w:cs="Arial"/>
          <w:color w:val="000000"/>
          <w:sz w:val="22"/>
          <w:szCs w:val="22"/>
          <w:lang w:eastAsia="en-GB"/>
        </w:rPr>
        <w:t xml:space="preserve"> 1 milijun kuna.</w:t>
      </w:r>
    </w:p>
    <w:p w14:paraId="563BCF63" w14:textId="77777777"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6537D6">
        <w:rPr>
          <w:rFonts w:ascii="Arial" w:hAnsi="Arial" w:cs="Arial"/>
          <w:b/>
          <w:bCs/>
          <w:color w:val="000000"/>
          <w:sz w:val="22"/>
          <w:szCs w:val="22"/>
          <w:lang w:eastAsia="en-GB"/>
        </w:rPr>
        <w:t>Izvori financiranja:</w:t>
      </w:r>
      <w:r w:rsidRPr="00EF3B58">
        <w:rPr>
          <w:rFonts w:ascii="Arial" w:hAnsi="Arial" w:cs="Arial"/>
          <w:bCs/>
          <w:color w:val="000000"/>
          <w:sz w:val="22"/>
          <w:szCs w:val="22"/>
          <w:lang w:eastAsia="en-GB"/>
        </w:rPr>
        <w:t xml:space="preserve"> Državni proračun (nadležna ministarstva), EU sredstva</w:t>
      </w:r>
    </w:p>
    <w:p w14:paraId="4F8FE1E7" w14:textId="5E918130"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6537D6">
        <w:rPr>
          <w:rFonts w:ascii="Arial" w:hAnsi="Arial" w:cs="Arial"/>
          <w:b/>
          <w:bCs/>
          <w:color w:val="000000"/>
          <w:sz w:val="22"/>
          <w:szCs w:val="22"/>
          <w:lang w:eastAsia="en-GB"/>
        </w:rPr>
        <w:t>Izvršno tijelo</w:t>
      </w:r>
      <w:r w:rsidRPr="00EF3B58">
        <w:rPr>
          <w:rFonts w:ascii="Arial" w:hAnsi="Arial" w:cs="Arial"/>
          <w:bCs/>
          <w:color w:val="000000"/>
          <w:sz w:val="22"/>
          <w:szCs w:val="22"/>
          <w:lang w:eastAsia="en-GB"/>
        </w:rPr>
        <w:t>: MZOE u suradnji s Ministarstvom poljoprivrede</w:t>
      </w:r>
      <w:r w:rsidR="000C3620">
        <w:rPr>
          <w:rFonts w:ascii="Arial" w:hAnsi="Arial" w:cs="Arial"/>
          <w:bCs/>
          <w:color w:val="000000"/>
          <w:sz w:val="22"/>
          <w:szCs w:val="22"/>
          <w:lang w:eastAsia="en-GB"/>
        </w:rPr>
        <w:t>, Ministarstvom gospodarstva i poduzetništva</w:t>
      </w:r>
      <w:r w:rsidRPr="00EF3B58">
        <w:rPr>
          <w:rFonts w:ascii="Arial" w:hAnsi="Arial" w:cs="Arial"/>
          <w:bCs/>
          <w:color w:val="000000"/>
          <w:sz w:val="22"/>
          <w:szCs w:val="22"/>
          <w:lang w:eastAsia="en-GB"/>
        </w:rPr>
        <w:t xml:space="preserve"> i Ministarstvom financija</w:t>
      </w:r>
    </w:p>
    <w:p w14:paraId="5DDA4C0F" w14:textId="77777777"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EF3B58">
        <w:rPr>
          <w:rFonts w:ascii="Arial" w:hAnsi="Arial" w:cs="Arial"/>
          <w:bCs/>
          <w:color w:val="000000"/>
          <w:sz w:val="22"/>
          <w:szCs w:val="22"/>
          <w:lang w:eastAsia="en-GB"/>
        </w:rPr>
        <w:t>Tijela za praćenje (nadzor): MZOE</w:t>
      </w:r>
    </w:p>
    <w:p w14:paraId="1AA4BFEE" w14:textId="77777777"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6537D6">
        <w:rPr>
          <w:rFonts w:ascii="Arial" w:hAnsi="Arial" w:cs="Arial"/>
          <w:b/>
          <w:bCs/>
          <w:color w:val="000000"/>
          <w:sz w:val="22"/>
          <w:szCs w:val="22"/>
          <w:lang w:eastAsia="en-GB"/>
        </w:rPr>
        <w:t>Učinak</w:t>
      </w:r>
      <w:r w:rsidRPr="00EF3B58">
        <w:rPr>
          <w:rFonts w:ascii="Arial" w:hAnsi="Arial" w:cs="Arial"/>
          <w:bCs/>
          <w:color w:val="000000"/>
          <w:sz w:val="22"/>
          <w:szCs w:val="22"/>
          <w:lang w:eastAsia="en-GB"/>
        </w:rPr>
        <w:t xml:space="preserve">: Akceleracija razvoja tržišta naprednih goriva i povećanje udjela OIE u finalnoj potrošnji energije u prometu te smanjenje emisija u prometu. Smanjenje ugljičnog otiska dionika biogospodarstva. </w:t>
      </w:r>
    </w:p>
    <w:p w14:paraId="3D63D731" w14:textId="77777777"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6537D6">
        <w:rPr>
          <w:rFonts w:ascii="Arial" w:hAnsi="Arial" w:cs="Arial"/>
          <w:b/>
          <w:bCs/>
          <w:color w:val="000000"/>
          <w:sz w:val="22"/>
          <w:szCs w:val="22"/>
          <w:lang w:eastAsia="en-GB"/>
        </w:rPr>
        <w:t>Metoda praćenja:</w:t>
      </w:r>
      <w:r w:rsidRPr="00EF3B58">
        <w:rPr>
          <w:rFonts w:ascii="Arial" w:hAnsi="Arial" w:cs="Arial"/>
          <w:bCs/>
          <w:color w:val="000000"/>
          <w:sz w:val="22"/>
          <w:szCs w:val="22"/>
          <w:lang w:eastAsia="en-GB"/>
        </w:rPr>
        <w:t xml:space="preserve"> Izvješća o količini OIE stavljeno na tržište u prometnom sektoru</w:t>
      </w:r>
    </w:p>
    <w:p w14:paraId="3A434273" w14:textId="77777777"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6537D6">
        <w:rPr>
          <w:rFonts w:ascii="Arial" w:hAnsi="Arial" w:cs="Arial"/>
          <w:b/>
          <w:bCs/>
          <w:color w:val="000000"/>
          <w:sz w:val="22"/>
          <w:szCs w:val="22"/>
          <w:lang w:eastAsia="en-GB"/>
        </w:rPr>
        <w:t>Istraživanje i razvoj</w:t>
      </w:r>
      <w:r w:rsidRPr="00EF3B58">
        <w:rPr>
          <w:rFonts w:ascii="Arial" w:hAnsi="Arial" w:cs="Arial"/>
          <w:bCs/>
          <w:color w:val="000000"/>
          <w:sz w:val="22"/>
          <w:szCs w:val="22"/>
          <w:lang w:eastAsia="en-GB"/>
        </w:rPr>
        <w:t>: Za postizanje cilja neophodno je usavršavanje postojećih i razvoj novih tehnologija za proizvodnja naprednih goriva u prijevozu, kao i novih poslovnih modela za povećanje korištenja naprednih biogoriva.</w:t>
      </w:r>
    </w:p>
    <w:p w14:paraId="415912D7" w14:textId="7E9EA41B"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6537D6">
        <w:rPr>
          <w:rFonts w:ascii="Arial" w:hAnsi="Arial" w:cs="Arial"/>
          <w:b/>
          <w:bCs/>
          <w:color w:val="000000"/>
          <w:sz w:val="22"/>
          <w:szCs w:val="22"/>
          <w:lang w:eastAsia="en-GB"/>
        </w:rPr>
        <w:t>Povezanost s drugim dimenzijama</w:t>
      </w:r>
      <w:r w:rsidRPr="00EF3B58">
        <w:rPr>
          <w:rFonts w:ascii="Arial" w:hAnsi="Arial" w:cs="Arial"/>
          <w:bCs/>
          <w:color w:val="000000"/>
          <w:sz w:val="22"/>
          <w:szCs w:val="22"/>
          <w:lang w:eastAsia="en-GB"/>
        </w:rPr>
        <w:t>: Mjeru je moguće prvenstveno povezati s dimenzijama 3) energetske sigurnosti i 5) istraživanja inovacija i konkurentnosti.</w:t>
      </w:r>
    </w:p>
    <w:p w14:paraId="11348C83" w14:textId="77777777" w:rsidR="003A6103" w:rsidRPr="00EF3B58" w:rsidRDefault="003A6103" w:rsidP="003A6103">
      <w:pPr>
        <w:pStyle w:val="NormalWeb"/>
        <w:spacing w:before="0" w:beforeAutospacing="0" w:after="0" w:afterAutospacing="0"/>
        <w:jc w:val="both"/>
        <w:rPr>
          <w:rFonts w:ascii="Arial" w:hAnsi="Arial" w:cs="Arial"/>
          <w:bCs/>
          <w:color w:val="000000"/>
          <w:sz w:val="22"/>
          <w:szCs w:val="22"/>
          <w:lang w:eastAsia="en-GB"/>
        </w:rPr>
      </w:pPr>
      <w:r w:rsidRPr="00231666">
        <w:rPr>
          <w:rFonts w:ascii="Arial" w:hAnsi="Arial" w:cs="Arial"/>
          <w:b/>
          <w:bCs/>
          <w:color w:val="000000"/>
          <w:sz w:val="22"/>
          <w:szCs w:val="22"/>
          <w:lang w:eastAsia="en-GB"/>
        </w:rPr>
        <w:t>Povezanost s prilagodbom klimatskim promjenama</w:t>
      </w:r>
      <w:r w:rsidRPr="00EF3B58">
        <w:rPr>
          <w:rFonts w:ascii="Arial" w:hAnsi="Arial" w:cs="Arial"/>
          <w:bCs/>
          <w:color w:val="000000"/>
          <w:sz w:val="22"/>
          <w:szCs w:val="22"/>
          <w:lang w:eastAsia="en-GB"/>
        </w:rPr>
        <w:t>: razvoj tržišta naprednih goriva planira se uz integraciju mjera prilagodbe klimatskim promjenama te jačanje otpornosti, odnosno smanjenja ranjivosti tržišta na klimatske promjene.</w:t>
      </w:r>
    </w:p>
    <w:p w14:paraId="059F72EA" w14:textId="77777777" w:rsidR="003A6103" w:rsidRPr="00BE6952" w:rsidRDefault="003A6103" w:rsidP="0012721C">
      <w:pPr>
        <w:pStyle w:val="NormalWeb"/>
        <w:spacing w:before="0" w:beforeAutospacing="0" w:after="0" w:afterAutospacing="0"/>
        <w:jc w:val="both"/>
        <w:rPr>
          <w:rFonts w:ascii="Arial" w:hAnsi="Arial" w:cs="Arial"/>
          <w:sz w:val="22"/>
          <w:szCs w:val="22"/>
        </w:rPr>
      </w:pPr>
    </w:p>
    <w:p w14:paraId="0FAF7407" w14:textId="370E5495" w:rsidR="00C21988" w:rsidRDefault="00BA4CD9" w:rsidP="00C21988">
      <w:pPr>
        <w:pStyle w:val="Heading2"/>
      </w:pPr>
      <w:bookmarkStart w:id="373" w:name="_Toc531935157"/>
      <w:bookmarkStart w:id="374" w:name="_Toc531945107"/>
      <w:bookmarkStart w:id="375" w:name="_Toc6302364"/>
      <w:bookmarkStart w:id="376" w:name="_Toc27396110"/>
      <w:r>
        <w:t>3.2</w:t>
      </w:r>
      <w:r>
        <w:tab/>
      </w:r>
      <w:r w:rsidR="00C21988">
        <w:t>Dimenzija: energetska učinkovitost</w:t>
      </w:r>
      <w:bookmarkEnd w:id="373"/>
      <w:bookmarkEnd w:id="374"/>
      <w:bookmarkEnd w:id="375"/>
      <w:bookmarkEnd w:id="376"/>
      <w:r w:rsidR="00C21988">
        <w:t xml:space="preserve"> </w:t>
      </w:r>
    </w:p>
    <w:p w14:paraId="184824AD" w14:textId="7ACFCE69" w:rsidR="002508D0" w:rsidRDefault="002508D0" w:rsidP="00C21988">
      <w:r w:rsidRPr="002508D0">
        <w:t>Očekivani učinak grupe mjera za poticanje energetske učinkovitosti i prometa jednak je smanjenju neposredne potrošnje energije u projekcijama za scenarij s dodatnim mjerama u odnosu na scenarij s postojećim mjerama, koj</w:t>
      </w:r>
      <w:r>
        <w:t>e</w:t>
      </w:r>
      <w:r w:rsidRPr="002508D0">
        <w:t xml:space="preserve"> iznosi</w:t>
      </w:r>
      <w:r w:rsidR="00E9760F">
        <w:t xml:space="preserve"> </w:t>
      </w:r>
      <w:r w:rsidRPr="002508D0">
        <w:t>10,76 PJ u 2030. godini.</w:t>
      </w:r>
    </w:p>
    <w:p w14:paraId="5902D927" w14:textId="3084BD31" w:rsidR="00C21988" w:rsidRDefault="00C21988" w:rsidP="00C21988">
      <w:r>
        <w:t xml:space="preserve">Planirane politike, mjere i programi za ostvarivanje okvirnog nacionalnog cilja povećanja energetske učinkovitosti za 2030. kao i drugih ciljeva predstavljenih u odjeljku 2.2., uključujući planirane mjere i instrumente (i one financijske prirode) za promicanje energetskih svojstava zgrada, </w:t>
      </w:r>
      <w:r w:rsidR="00790677">
        <w:t>navedene su u nastavku, prema specifičnim područjima</w:t>
      </w:r>
      <w:r w:rsidR="00C059F5">
        <w:t>:</w:t>
      </w:r>
      <w:r w:rsidR="00790677">
        <w:t xml:space="preserve"> </w:t>
      </w:r>
    </w:p>
    <w:p w14:paraId="249CB0B8" w14:textId="77777777" w:rsidR="003224D3" w:rsidRPr="00A2724B" w:rsidRDefault="003224D3" w:rsidP="00840E2E">
      <w:pPr>
        <w:pStyle w:val="Heading3"/>
        <w:numPr>
          <w:ilvl w:val="0"/>
          <w:numId w:val="70"/>
        </w:numPr>
      </w:pPr>
      <w:r w:rsidRPr="00A2724B">
        <w:t>Sustav obveze energetske učinkovitosti i alternativnih mjera iz članka 7.a i 7.b Direktive 2018/2002 o izmjeni Direktive 2012/27/EU o energetskoj učinkovitosti</w:t>
      </w:r>
    </w:p>
    <w:p w14:paraId="5AA5B6F5" w14:textId="3EFB66FE" w:rsidR="00F55479" w:rsidRPr="00286B4C" w:rsidRDefault="00F55479" w:rsidP="00286B4C">
      <w:pPr>
        <w:pStyle w:val="NormalWeb"/>
        <w:spacing w:after="120" w:line="288" w:lineRule="auto"/>
        <w:jc w:val="both"/>
        <w:rPr>
          <w:rFonts w:cs="Arial"/>
          <w:b/>
          <w:bCs/>
          <w:color w:val="000000"/>
        </w:rPr>
      </w:pPr>
      <w:r w:rsidRPr="00286B4C">
        <w:rPr>
          <w:rFonts w:ascii="Arial" w:hAnsi="Arial" w:cs="Arial"/>
          <w:b/>
          <w:bCs/>
          <w:color w:val="000000"/>
          <w:sz w:val="22"/>
          <w:szCs w:val="22"/>
        </w:rPr>
        <w:t>ENU-1</w:t>
      </w:r>
      <w:r w:rsidR="009B0451" w:rsidRPr="00286B4C">
        <w:rPr>
          <w:rFonts w:ascii="Arial" w:hAnsi="Arial" w:cs="Arial"/>
          <w:b/>
          <w:bCs/>
          <w:color w:val="000000"/>
          <w:sz w:val="22"/>
          <w:szCs w:val="22"/>
        </w:rPr>
        <w:t>:</w:t>
      </w:r>
      <w:r w:rsidRPr="00286B4C">
        <w:rPr>
          <w:rFonts w:ascii="Arial" w:hAnsi="Arial" w:cs="Arial"/>
          <w:b/>
          <w:bCs/>
          <w:color w:val="000000"/>
          <w:sz w:val="22"/>
          <w:szCs w:val="22"/>
        </w:rPr>
        <w:t xml:space="preserve"> Sustav obveze energetske učinkovitosti za opskrbljivače</w:t>
      </w:r>
    </w:p>
    <w:p w14:paraId="512C7130" w14:textId="77777777" w:rsidR="0061167F" w:rsidRPr="00286B4C" w:rsidRDefault="0061167F"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Regulatorna mjera; provedba 2019. – 2030. </w:t>
      </w:r>
    </w:p>
    <w:p w14:paraId="73358B3C" w14:textId="4E5128CB" w:rsidR="00C27C76" w:rsidRPr="00286B4C" w:rsidRDefault="00C27C76" w:rsidP="00286B4C">
      <w:pPr>
        <w:pStyle w:val="NormalWeb"/>
        <w:spacing w:after="120" w:line="288" w:lineRule="auto"/>
        <w:jc w:val="both"/>
      </w:pPr>
      <w:r w:rsidRPr="00286B4C">
        <w:rPr>
          <w:rFonts w:ascii="Arial" w:hAnsi="Arial" w:cs="Arial"/>
          <w:b/>
          <w:bCs/>
          <w:color w:val="000000"/>
          <w:sz w:val="22"/>
          <w:szCs w:val="22"/>
        </w:rPr>
        <w:t>Cilj i opis mjere</w:t>
      </w:r>
      <w:r w:rsidRPr="00283711">
        <w:rPr>
          <w:rFonts w:cs="Arial"/>
          <w:b/>
          <w:bCs/>
          <w:color w:val="000000"/>
          <w:lang w:eastAsia="en-GB"/>
        </w:rPr>
        <w:t>:</w:t>
      </w:r>
      <w:r w:rsidRPr="00283711">
        <w:rPr>
          <w:rFonts w:cs="Arial"/>
          <w:color w:val="000000"/>
          <w:lang w:eastAsia="en-GB"/>
        </w:rPr>
        <w:t xml:space="preserve"> </w:t>
      </w:r>
      <w:r w:rsidR="00144202" w:rsidRPr="003A0358">
        <w:rPr>
          <w:rFonts w:ascii="Arial" w:hAnsi="Arial"/>
          <w:sz w:val="22"/>
          <w:szCs w:val="22"/>
        </w:rPr>
        <w:t>Sustav obveza energ</w:t>
      </w:r>
      <w:r w:rsidR="002F62CE">
        <w:rPr>
          <w:rFonts w:ascii="Arial" w:hAnsi="Arial"/>
          <w:sz w:val="22"/>
          <w:szCs w:val="22"/>
        </w:rPr>
        <w:t>e</w:t>
      </w:r>
      <w:r w:rsidR="00144202" w:rsidRPr="003A0358">
        <w:rPr>
          <w:rFonts w:ascii="Arial" w:hAnsi="Arial"/>
          <w:sz w:val="22"/>
          <w:szCs w:val="22"/>
        </w:rPr>
        <w:t xml:space="preserve">tske učinkovitosti uspostavljen je </w:t>
      </w:r>
      <w:r w:rsidR="00144202" w:rsidRPr="00286B4C">
        <w:rPr>
          <w:rFonts w:ascii="Arial" w:hAnsi="Arial"/>
          <w:sz w:val="22"/>
          <w:szCs w:val="22"/>
        </w:rPr>
        <w:t xml:space="preserve">Zakonom o energetskoj učinkovitosti </w:t>
      </w:r>
      <w:r w:rsidR="00144202" w:rsidRPr="003A0358">
        <w:rPr>
          <w:rFonts w:ascii="Arial" w:hAnsi="Arial"/>
          <w:sz w:val="22"/>
          <w:szCs w:val="22"/>
        </w:rPr>
        <w:t>(</w:t>
      </w:r>
      <w:r w:rsidR="00880054" w:rsidRPr="003A0358">
        <w:rPr>
          <w:rFonts w:ascii="Arial" w:hAnsi="Arial"/>
          <w:sz w:val="22"/>
          <w:szCs w:val="22"/>
        </w:rPr>
        <w:t>NN</w:t>
      </w:r>
      <w:r w:rsidR="00144202" w:rsidRPr="003A0358">
        <w:rPr>
          <w:rFonts w:ascii="Arial" w:hAnsi="Arial"/>
          <w:sz w:val="22"/>
          <w:szCs w:val="22"/>
        </w:rPr>
        <w:t xml:space="preserve"> 127/14, 116/18), a njegovo funkcioniranje se pobliže utvrđuje </w:t>
      </w:r>
      <w:r w:rsidR="00144202" w:rsidRPr="00286B4C">
        <w:rPr>
          <w:rFonts w:ascii="Arial" w:hAnsi="Arial"/>
          <w:sz w:val="22"/>
          <w:szCs w:val="22"/>
        </w:rPr>
        <w:t>Pravilnikom o sustavu obveza energetske učinkovitosti</w:t>
      </w:r>
      <w:r w:rsidR="00144202" w:rsidRPr="003A0358">
        <w:rPr>
          <w:rFonts w:ascii="Arial" w:hAnsi="Arial"/>
          <w:sz w:val="22"/>
          <w:szCs w:val="22"/>
        </w:rPr>
        <w:t xml:space="preserve"> (</w:t>
      </w:r>
      <w:r w:rsidR="00880054" w:rsidRPr="003A0358">
        <w:rPr>
          <w:rFonts w:ascii="Arial" w:hAnsi="Arial"/>
          <w:sz w:val="22"/>
          <w:szCs w:val="22"/>
        </w:rPr>
        <w:t>NN</w:t>
      </w:r>
      <w:r w:rsidR="00144202" w:rsidRPr="003A0358">
        <w:rPr>
          <w:rFonts w:ascii="Arial" w:hAnsi="Arial"/>
          <w:sz w:val="22"/>
          <w:szCs w:val="22"/>
        </w:rPr>
        <w:t xml:space="preserve"> 41/19). </w:t>
      </w:r>
      <w:r w:rsidRPr="00286B4C">
        <w:rPr>
          <w:rFonts w:ascii="Arial" w:hAnsi="Arial"/>
          <w:sz w:val="22"/>
          <w:szCs w:val="22"/>
        </w:rPr>
        <w:t>Obveznici sustava obveze energetske učinkovitosti su opskrbljivači energijom. Sustav je funkcionalan od 2019. godine, kada u njega ulaze opskrbljivači koji su na tržište isporučili više od 300 GWh energije tijekom 2017. godine. U 2020. godini u sustav obveze ulaze opskrbljivači koji su na tržište isporučili više od 100 GWh energije tijekom 2018. godine, a od 2021. godine pa nadalje obveznici su svi oni opskrbljivači koji su na tržište isporučili više od 50 GWh energije tijekom pretprošle godine u odnosu na relevantnu godinu. Cilj je postići 50% ušteda iz članka 7. Direktive o energetskoj učinkovitosti sustavom obveza energetske učinkovitosti. Pretpostavljeno je ravnomjerno ostvarivanje ušteda u svakoj godini u iznosu od 0,5 PJ (11,7 ktoe ) godišnje.</w:t>
      </w:r>
    </w:p>
    <w:p w14:paraId="64425EF5"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Aktivnosti:</w:t>
      </w:r>
      <w:r w:rsidRPr="00283711">
        <w:rPr>
          <w:rFonts w:cs="Arial"/>
          <w:color w:val="000000"/>
          <w:lang w:eastAsia="en-GB"/>
        </w:rPr>
        <w:t xml:space="preserve"> U okviru mjere provest će se sljedeće aktivnosti: </w:t>
      </w:r>
    </w:p>
    <w:p w14:paraId="6141C05B" w14:textId="77777777" w:rsidR="00C27C76" w:rsidRPr="00283711" w:rsidRDefault="00C27C76" w:rsidP="00840E2E">
      <w:pPr>
        <w:numPr>
          <w:ilvl w:val="0"/>
          <w:numId w:val="90"/>
        </w:numPr>
        <w:tabs>
          <w:tab w:val="left" w:pos="168"/>
          <w:tab w:val="left" w:pos="5040"/>
          <w:tab w:val="right" w:pos="8504"/>
        </w:tabs>
        <w:suppressAutoHyphens w:val="0"/>
        <w:spacing w:before="0" w:after="0" w:line="240" w:lineRule="auto"/>
        <w:rPr>
          <w:rFonts w:cs="Arial"/>
          <w:color w:val="000000"/>
          <w:lang w:eastAsia="en-GB"/>
        </w:rPr>
      </w:pPr>
      <w:r w:rsidRPr="00283711">
        <w:rPr>
          <w:rFonts w:cs="Arial"/>
          <w:color w:val="000000"/>
          <w:lang w:eastAsia="en-GB"/>
        </w:rPr>
        <w:t>MZOE rješenjem svakoj stranci obveznici do 30. lipnja tekuće godine utvrđuje točan godišnji iznos obveze uštede energije u kWh za narednu godinu, raspoređujući na sve stranke obveznice dio nacionalnog okvirnog cilja ušteda energije za iduću godinu koji se ostvaruje kroz sustav obveze, kao i kumulativni cilj uštede energije do kraja trenutnog razdoblja kumuliranja;</w:t>
      </w:r>
    </w:p>
    <w:p w14:paraId="327D5DB8" w14:textId="708E2FD1" w:rsidR="00C27C76" w:rsidRPr="00283711" w:rsidRDefault="00C27C76" w:rsidP="00840E2E">
      <w:pPr>
        <w:numPr>
          <w:ilvl w:val="0"/>
          <w:numId w:val="90"/>
        </w:numPr>
        <w:tabs>
          <w:tab w:val="left" w:pos="168"/>
          <w:tab w:val="left" w:pos="5040"/>
          <w:tab w:val="right" w:pos="8504"/>
        </w:tabs>
        <w:suppressAutoHyphens w:val="0"/>
        <w:spacing w:before="0" w:after="0" w:line="240" w:lineRule="auto"/>
        <w:rPr>
          <w:rFonts w:cs="Arial"/>
          <w:color w:val="000000"/>
          <w:lang w:eastAsia="en-GB"/>
        </w:rPr>
      </w:pPr>
      <w:r w:rsidRPr="00283711">
        <w:rPr>
          <w:rFonts w:cs="Arial"/>
          <w:color w:val="000000"/>
          <w:lang w:eastAsia="en-GB"/>
        </w:rPr>
        <w:t>Opskrbljivači svoju obvezu mogu ostvariti na jedan od sljedeća tri ključna načina: ulaganjem u i poticanjem poboljšanja energetske učinkovitosti u neposrednoj potrošnji;</w:t>
      </w:r>
      <w:r w:rsidR="00E223DA">
        <w:rPr>
          <w:rFonts w:cs="Arial"/>
          <w:color w:val="000000"/>
          <w:lang w:eastAsia="en-GB"/>
        </w:rPr>
        <w:t xml:space="preserve"> </w:t>
      </w:r>
      <w:r w:rsidRPr="00283711">
        <w:rPr>
          <w:rFonts w:cs="Arial"/>
          <w:color w:val="000000"/>
          <w:lang w:eastAsia="en-GB"/>
        </w:rPr>
        <w:t xml:space="preserve">kupnjom uštede ili uplatom naknade u Fond za zaštitu okoliša i energetsku učinkovitost. Opskrbljivačima se ne propisuju niti prihvatljivi sektori za ulaganja niti prihvatljive mjere za ulaganja, dok god je uštede iz tih ulaganja moguće dokazati metodama iz Pravilnika o sustavu za praćenje, mjerenje i verifikaciju ušteda energije. Ulaganje se ne smije odnositi na aktivnosti koje su prethodno obuhvaćene alternativnim mjerama.; </w:t>
      </w:r>
    </w:p>
    <w:p w14:paraId="0E811C96" w14:textId="77777777" w:rsidR="00C27C76" w:rsidRPr="00283711" w:rsidRDefault="00C27C76" w:rsidP="00840E2E">
      <w:pPr>
        <w:numPr>
          <w:ilvl w:val="0"/>
          <w:numId w:val="90"/>
        </w:numPr>
        <w:tabs>
          <w:tab w:val="left" w:pos="168"/>
          <w:tab w:val="left" w:pos="5040"/>
          <w:tab w:val="right" w:pos="8504"/>
        </w:tabs>
        <w:suppressAutoHyphens w:val="0"/>
        <w:spacing w:before="0" w:after="0" w:line="240" w:lineRule="auto"/>
        <w:rPr>
          <w:rFonts w:cs="Arial"/>
          <w:color w:val="000000"/>
          <w:lang w:eastAsia="en-GB"/>
        </w:rPr>
      </w:pPr>
      <w:r w:rsidRPr="00283711">
        <w:rPr>
          <w:rFonts w:cs="Arial"/>
          <w:color w:val="000000"/>
          <w:lang w:eastAsia="en-GB"/>
        </w:rPr>
        <w:t xml:space="preserve">Nužno je izmijeniti i redovito unaprjeđivati Pravilnik o sustavu za praćenje, mjerenje i verifikaciju ušteda energije, kako bi se proširio njegov obuhvat na većinu mjera koje opskrbljivači provode; </w:t>
      </w:r>
    </w:p>
    <w:p w14:paraId="0A325793" w14:textId="77777777" w:rsidR="00C27C76" w:rsidRPr="00283711" w:rsidRDefault="00C27C76" w:rsidP="00840E2E">
      <w:pPr>
        <w:numPr>
          <w:ilvl w:val="0"/>
          <w:numId w:val="90"/>
        </w:numPr>
        <w:tabs>
          <w:tab w:val="left" w:pos="168"/>
          <w:tab w:val="left" w:pos="5040"/>
          <w:tab w:val="right" w:pos="8504"/>
        </w:tabs>
        <w:suppressAutoHyphens w:val="0"/>
        <w:spacing w:before="0" w:after="0" w:line="240" w:lineRule="auto"/>
        <w:rPr>
          <w:rFonts w:cs="Arial"/>
          <w:color w:val="000000"/>
          <w:lang w:eastAsia="en-GB"/>
        </w:rPr>
      </w:pPr>
      <w:r w:rsidRPr="00283711">
        <w:rPr>
          <w:rFonts w:cs="Arial"/>
          <w:color w:val="000000"/>
          <w:lang w:eastAsia="en-GB"/>
        </w:rPr>
        <w:t xml:space="preserve">Na temelju iskustva iz prethodnog razdoblja i odrednica Direktive 2018/2002 o energetskoj učinkovitosti potrebno je razmotriti i zakonske izmjene s ciljem boljeg funkcioniranja sustava, pogotovo u dijelu trgovanja uštedama; </w:t>
      </w:r>
    </w:p>
    <w:p w14:paraId="485654E7" w14:textId="41585224" w:rsidR="00C27C76" w:rsidRPr="00283711" w:rsidRDefault="00C27C76" w:rsidP="00840E2E">
      <w:pPr>
        <w:numPr>
          <w:ilvl w:val="0"/>
          <w:numId w:val="90"/>
        </w:numPr>
        <w:tabs>
          <w:tab w:val="left" w:pos="168"/>
          <w:tab w:val="left" w:pos="5040"/>
          <w:tab w:val="right" w:pos="8504"/>
        </w:tabs>
        <w:suppressAutoHyphens w:val="0"/>
        <w:spacing w:before="0" w:after="0" w:line="240" w:lineRule="auto"/>
        <w:rPr>
          <w:rFonts w:cs="Arial"/>
          <w:color w:val="000000"/>
          <w:lang w:eastAsia="en-GB"/>
        </w:rPr>
      </w:pPr>
      <w:r w:rsidRPr="00283711">
        <w:rPr>
          <w:rFonts w:cs="Arial"/>
          <w:color w:val="000000"/>
          <w:lang w:eastAsia="en-GB"/>
        </w:rPr>
        <w:t>Prihode od naknade koju prikuplja s osnove sustava obveza, Fond mora namjenski koristiti. Zbog toga je potrebno izraditi Plan korištenja sredstava prikupljenih od naknade za sustav obveze, a s čijom primjenom Fond mora započeti od 2021. godine. Izrada ovakvog Plana je apsolutno nužna kako bi se osigurala optimalna raspodjela sredstava iz svih raspoloživih izvora i kako bi Fond imao jasne smjernice u koje mjere ulagati ova sredstva. S obzirom na alternativne mjere dane u ovom Planu, ova je sredstva nužno usmjeriti na sektor zgradarstva, poglavito na javne zgrade središnje državne uprave i obiteljske kuće.</w:t>
      </w:r>
      <w:r w:rsidR="00622DB1">
        <w:rPr>
          <w:rFonts w:cs="Arial"/>
          <w:color w:val="000000"/>
          <w:lang w:eastAsia="en-GB"/>
        </w:rPr>
        <w:t xml:space="preserve"> </w:t>
      </w:r>
    </w:p>
    <w:p w14:paraId="33040C18" w14:textId="77777777" w:rsidR="00C27C76" w:rsidRPr="00283711" w:rsidRDefault="00C27C76" w:rsidP="00C27C76">
      <w:pPr>
        <w:suppressAutoHyphens w:val="0"/>
        <w:spacing w:before="0" w:after="0" w:line="240" w:lineRule="auto"/>
        <w:rPr>
          <w:rFonts w:cs="Arial"/>
          <w:b/>
          <w:bCs/>
          <w:color w:val="000000"/>
          <w:lang w:eastAsia="en-GB"/>
        </w:rPr>
      </w:pPr>
    </w:p>
    <w:p w14:paraId="3D50B6F5"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 xml:space="preserve">Sredstva potrebna za provedbu: </w:t>
      </w:r>
      <w:r w:rsidRPr="00283711">
        <w:rPr>
          <w:rFonts w:cs="Arial"/>
          <w:color w:val="000000"/>
          <w:lang w:eastAsia="en-GB"/>
        </w:rPr>
        <w:t xml:space="preserve">Nije procijenjeno </w:t>
      </w:r>
    </w:p>
    <w:p w14:paraId="5C879E5B"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 xml:space="preserve">Izvori financiranja: </w:t>
      </w:r>
      <w:r w:rsidRPr="00283711">
        <w:rPr>
          <w:rFonts w:cs="Arial"/>
          <w:color w:val="000000"/>
          <w:lang w:eastAsia="en-GB"/>
        </w:rPr>
        <w:t>Sredstva obveznika sustava obveze energetske učinkovitosti</w:t>
      </w:r>
    </w:p>
    <w:p w14:paraId="59D30297" w14:textId="77E6F225" w:rsidR="00C27C76" w:rsidRPr="00283711" w:rsidRDefault="00C27C76" w:rsidP="00C27C76">
      <w:pPr>
        <w:suppressAutoHyphens w:val="0"/>
        <w:spacing w:before="0" w:after="0" w:line="240" w:lineRule="auto"/>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Obveznici sustava obveze energetske učinkovitosti (opskrbljivači)</w:t>
      </w:r>
    </w:p>
    <w:p w14:paraId="0F174C86"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Tijela za praćenje (nadzor):</w:t>
      </w:r>
      <w:r w:rsidRPr="00283711">
        <w:rPr>
          <w:rFonts w:cs="Arial"/>
          <w:color w:val="000000"/>
          <w:lang w:eastAsia="en-GB"/>
        </w:rPr>
        <w:t xml:space="preserve"> MZOE-NKT</w:t>
      </w:r>
    </w:p>
    <w:p w14:paraId="0BDF7937"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 xml:space="preserve">Učinak: </w:t>
      </w:r>
      <w:r w:rsidRPr="00283711">
        <w:rPr>
          <w:rFonts w:cs="Arial"/>
          <w:color w:val="000000"/>
          <w:lang w:eastAsia="en-GB"/>
        </w:rPr>
        <w:t>Smanjenje neposredne potrošnje energije i posljedično smanjenje emisija CO</w:t>
      </w:r>
      <w:r w:rsidRPr="00283711">
        <w:rPr>
          <w:rFonts w:cs="Arial"/>
          <w:color w:val="000000"/>
          <w:vertAlign w:val="subscript"/>
          <w:lang w:eastAsia="en-GB"/>
        </w:rPr>
        <w:t>2</w:t>
      </w:r>
      <w:r w:rsidRPr="00283711">
        <w:rPr>
          <w:rFonts w:cs="Arial"/>
          <w:color w:val="000000"/>
          <w:lang w:eastAsia="en-GB"/>
        </w:rPr>
        <w:t>: procijenjene uštede u 2030. 5,00 PJ (117,0 ktoe); procijenjeno smanjenje emisija CO</w:t>
      </w:r>
      <w:r w:rsidRPr="00283711">
        <w:rPr>
          <w:rFonts w:cs="Arial"/>
          <w:color w:val="000000"/>
          <w:vertAlign w:val="subscript"/>
          <w:lang w:eastAsia="en-GB"/>
        </w:rPr>
        <w:t>2</w:t>
      </w:r>
      <w:r w:rsidRPr="00283711">
        <w:rPr>
          <w:rFonts w:cs="Arial"/>
          <w:color w:val="000000"/>
          <w:lang w:eastAsia="en-GB"/>
        </w:rPr>
        <w:t xml:space="preserve"> u 2030. 137,62 ktCO</w:t>
      </w:r>
      <w:r w:rsidRPr="00283711">
        <w:rPr>
          <w:rFonts w:cs="Arial"/>
          <w:color w:val="000000"/>
          <w:vertAlign w:val="subscript"/>
          <w:lang w:eastAsia="en-GB"/>
        </w:rPr>
        <w:t>2e</w:t>
      </w:r>
      <w:r w:rsidRPr="00283711">
        <w:rPr>
          <w:rFonts w:cs="Arial"/>
          <w:color w:val="000000"/>
          <w:lang w:eastAsia="en-GB"/>
        </w:rPr>
        <w:t>; kumulativne uštede energije u razdoblju 2021.-2030. 27,0 PJ (644,9 ktoe); kumulativno smanjenje emisija CO</w:t>
      </w:r>
      <w:r w:rsidRPr="00283711">
        <w:rPr>
          <w:rFonts w:cs="Arial"/>
          <w:color w:val="000000"/>
          <w:vertAlign w:val="subscript"/>
          <w:lang w:eastAsia="en-GB"/>
        </w:rPr>
        <w:t>2</w:t>
      </w:r>
      <w:r w:rsidRPr="00283711">
        <w:rPr>
          <w:rFonts w:cs="Arial"/>
          <w:color w:val="000000"/>
          <w:lang w:eastAsia="en-GB"/>
        </w:rPr>
        <w:t xml:space="preserve"> u razdoblju 2021.-2030. 769,16 ktCO</w:t>
      </w:r>
      <w:r w:rsidRPr="00283711">
        <w:rPr>
          <w:rFonts w:cs="Arial"/>
          <w:color w:val="000000"/>
          <w:vertAlign w:val="subscript"/>
          <w:lang w:eastAsia="en-GB"/>
        </w:rPr>
        <w:t>2e</w:t>
      </w:r>
    </w:p>
    <w:p w14:paraId="1739DFDE"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Metoda praćenja:</w:t>
      </w:r>
      <w:r w:rsidRPr="00283711">
        <w:rPr>
          <w:rFonts w:cs="Arial"/>
          <w:color w:val="000000"/>
          <w:lang w:eastAsia="en-GB"/>
        </w:rPr>
        <w:t xml:space="preserve"> Ostvarene uštede prate se i dokazuju korištenjem metoda odozdo-prema-gore prema Pravilniku o sustavu za praćenje, mjerenje i verifikaciju ušteda energije</w:t>
      </w:r>
    </w:p>
    <w:p w14:paraId="224DF38F"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 xml:space="preserve">Povezanost s drugim dimenzijama: </w:t>
      </w:r>
      <w:r w:rsidRPr="00283711">
        <w:rPr>
          <w:rFonts w:cs="Arial"/>
          <w:color w:val="000000"/>
          <w:lang w:eastAsia="en-GB"/>
        </w:rPr>
        <w:t>s obzirom da je obveza stavljena na tržišnu energetsku djelatnost opskrbe energijom, postoji izravna veza s dimenzijom unutarnjeg tržišta energije</w:t>
      </w:r>
    </w:p>
    <w:p w14:paraId="2385795C" w14:textId="77777777" w:rsidR="00C27C76" w:rsidRPr="00283711" w:rsidRDefault="00C27C76" w:rsidP="00C27C76">
      <w:pPr>
        <w:suppressAutoHyphens w:val="0"/>
        <w:spacing w:before="0" w:after="0" w:line="240" w:lineRule="auto"/>
        <w:rPr>
          <w:rFonts w:eastAsia="Calibri" w:cs="Arial"/>
          <w:color w:val="000000"/>
        </w:rPr>
      </w:pPr>
      <w:r w:rsidRPr="00283711">
        <w:rPr>
          <w:rFonts w:cs="Arial"/>
          <w:b/>
          <w:bCs/>
          <w:color w:val="000000"/>
          <w:lang w:eastAsia="en-GB"/>
        </w:rPr>
        <w:t xml:space="preserve">Povezanost s prilagodbom klimatskim promjenama: </w:t>
      </w:r>
      <w:r w:rsidRPr="00283711">
        <w:rPr>
          <w:rFonts w:cs="Arial"/>
          <w:color w:val="000000"/>
          <w:lang w:eastAsia="en-GB"/>
        </w:rPr>
        <w:t>/</w:t>
      </w:r>
    </w:p>
    <w:p w14:paraId="528D920B" w14:textId="77777777" w:rsidR="00C27C76" w:rsidRPr="00283711" w:rsidRDefault="00C27C76" w:rsidP="00C27C76">
      <w:pPr>
        <w:suppressAutoHyphens w:val="0"/>
        <w:spacing w:before="0" w:after="0" w:line="240" w:lineRule="auto"/>
        <w:rPr>
          <w:rFonts w:eastAsia="Calibri" w:cs="Arial"/>
        </w:rPr>
      </w:pPr>
      <w:r w:rsidRPr="00283711">
        <w:rPr>
          <w:rFonts w:cs="Arial"/>
          <w:b/>
          <w:bCs/>
          <w:color w:val="000000"/>
          <w:lang w:eastAsia="en-GB"/>
        </w:rPr>
        <w:t>Istraživanje i razvoj</w:t>
      </w:r>
      <w:r w:rsidRPr="00283711">
        <w:rPr>
          <w:rFonts w:cs="Arial"/>
          <w:color w:val="000000"/>
          <w:lang w:eastAsia="en-GB"/>
        </w:rPr>
        <w:t>: /</w:t>
      </w:r>
    </w:p>
    <w:p w14:paraId="65C73B91" w14:textId="77777777" w:rsidR="00AB3DE3" w:rsidRDefault="00AB3DE3" w:rsidP="000333E1"/>
    <w:p w14:paraId="3FFAC235" w14:textId="3F0A2B57" w:rsidR="00FD3BAD" w:rsidRDefault="007D2DCB" w:rsidP="000333E1">
      <w:r>
        <w:t>U RH se također predviđa i provedba alternativnih mjera</w:t>
      </w:r>
      <w:r w:rsidR="00F74D1A">
        <w:t xml:space="preserve">, koje uključuju mjere opisane u nastavku i to redom: ENU-3, ENU-4, ENU-5, </w:t>
      </w:r>
      <w:r w:rsidR="00184324">
        <w:t>ENU-7</w:t>
      </w:r>
      <w:r w:rsidR="009F62CE">
        <w:t xml:space="preserve"> i </w:t>
      </w:r>
      <w:r w:rsidR="00184324">
        <w:t>ENU-8</w:t>
      </w:r>
      <w:r w:rsidR="00F5580A">
        <w:t>.</w:t>
      </w:r>
      <w:r w:rsidR="00515210">
        <w:t xml:space="preserve"> Dodatno, u </w:t>
      </w:r>
      <w:r w:rsidR="00203F0B" w:rsidRPr="00195C5A">
        <w:t>alternativne</w:t>
      </w:r>
      <w:r w:rsidR="00515210" w:rsidRPr="00195C5A">
        <w:t xml:space="preserve"> mjere </w:t>
      </w:r>
      <w:r w:rsidR="00515210" w:rsidRPr="00840E2E">
        <w:t>ulaze i mjere u prometu i to redom:</w:t>
      </w:r>
      <w:r w:rsidR="00195C5A" w:rsidRPr="00840E2E">
        <w:t xml:space="preserve"> </w:t>
      </w:r>
      <w:r w:rsidR="00DC15AF" w:rsidRPr="00840E2E">
        <w:t>TR-6</w:t>
      </w:r>
      <w:r w:rsidR="004E5726" w:rsidRPr="00840E2E">
        <w:t>:</w:t>
      </w:r>
      <w:r w:rsidR="00195C5A" w:rsidRPr="00840E2E">
        <w:t xml:space="preserve"> Financijski poticaji za energetski učinkovita vozila, TR-</w:t>
      </w:r>
      <w:r w:rsidR="00DC15AF" w:rsidRPr="00840E2E">
        <w:t>10</w:t>
      </w:r>
      <w:r w:rsidR="00195C5A" w:rsidRPr="00840E2E">
        <w:t xml:space="preserve">: Promicanje integriranog i inteligentnog prometa i razvoj infrastrukture za alternativna goriva na lokalnoj i područnoj razini </w:t>
      </w:r>
      <w:r w:rsidR="00CF389D" w:rsidRPr="00840E2E">
        <w:t>i</w:t>
      </w:r>
      <w:r w:rsidR="001F6207" w:rsidRPr="00840E2E">
        <w:t xml:space="preserve"> </w:t>
      </w:r>
      <w:r w:rsidR="00DC15AF" w:rsidRPr="00840E2E">
        <w:t>TR-11</w:t>
      </w:r>
      <w:r w:rsidR="001014D4" w:rsidRPr="00840E2E">
        <w:t>: Obuka vozača cestovnih vozila za eko vo</w:t>
      </w:r>
      <w:r w:rsidR="00F25E7D" w:rsidRPr="00840E2E">
        <w:t>žnju</w:t>
      </w:r>
      <w:r w:rsidR="00195C5A" w:rsidRPr="00840E2E">
        <w:t>, k</w:t>
      </w:r>
      <w:r w:rsidR="004F11A0" w:rsidRPr="00840E2E">
        <w:t xml:space="preserve">ao i </w:t>
      </w:r>
      <w:r w:rsidR="00A62DF0" w:rsidRPr="00840E2E">
        <w:t xml:space="preserve">provedba </w:t>
      </w:r>
      <w:r w:rsidR="007B6EBA" w:rsidRPr="00840E2E">
        <w:t>Program</w:t>
      </w:r>
      <w:r w:rsidR="009055F7" w:rsidRPr="00840E2E">
        <w:t>a za</w:t>
      </w:r>
      <w:r w:rsidR="007B6EBA" w:rsidRPr="00840E2E">
        <w:t xml:space="preserve"> suzbijanja energetskog siromaštva (</w:t>
      </w:r>
      <w:r w:rsidR="00DC3266" w:rsidRPr="00840E2E">
        <w:t>UET-</w:t>
      </w:r>
      <w:r w:rsidR="000E7B84" w:rsidRPr="00840E2E">
        <w:t>4</w:t>
      </w:r>
      <w:r w:rsidR="007B6EBA" w:rsidRPr="00840E2E">
        <w:t>).</w:t>
      </w:r>
      <w:r w:rsidR="004F11A0" w:rsidRPr="00276CE9">
        <w:t xml:space="preserve"> </w:t>
      </w:r>
    </w:p>
    <w:p w14:paraId="099C5F0F" w14:textId="77777777" w:rsidR="002425AC" w:rsidRPr="00A2724B" w:rsidRDefault="002425AC" w:rsidP="00840E2E">
      <w:pPr>
        <w:pStyle w:val="Heading3"/>
        <w:numPr>
          <w:ilvl w:val="0"/>
          <w:numId w:val="70"/>
        </w:numPr>
      </w:pPr>
      <w:r w:rsidRPr="00A2724B">
        <w:t xml:space="preserve">Dugoročna strategija za obnovu nacionalnog fonda stambenih i nestambenih zgrada, i javnih i privatnih </w:t>
      </w:r>
    </w:p>
    <w:p w14:paraId="72378656" w14:textId="7CB92880" w:rsidR="00C21988" w:rsidRDefault="0023001E" w:rsidP="00C21988">
      <w:r>
        <w:t xml:space="preserve">Za ovo područje ključna je Dugoročna strategija obnove nacionalnog fonda zgrada Republike Hrvatske do 2050. godine. </w:t>
      </w:r>
      <w:r w:rsidR="00995EF9">
        <w:t>Za os</w:t>
      </w:r>
      <w:r w:rsidR="00597C5A">
        <w:t xml:space="preserve">tvarenje strateških ciljeva </w:t>
      </w:r>
      <w:r w:rsidR="00A4522B">
        <w:t>smanjenja</w:t>
      </w:r>
      <w:r w:rsidR="00597C5A">
        <w:t xml:space="preserve"> potrošnje energije u </w:t>
      </w:r>
      <w:r w:rsidR="008C568C">
        <w:t xml:space="preserve">zgradarstvu, predviđa se </w:t>
      </w:r>
      <w:r w:rsidR="00195DA5">
        <w:t xml:space="preserve">donošenje </w:t>
      </w:r>
      <w:r w:rsidR="0025162D">
        <w:t>tri ključna programa energetske obnove</w:t>
      </w:r>
      <w:r w:rsidR="00961B1F">
        <w:t xml:space="preserve"> za razdoblje od 2021. do 2030. godine</w:t>
      </w:r>
      <w:r w:rsidR="00263955">
        <w:t xml:space="preserve"> i </w:t>
      </w:r>
      <w:r w:rsidR="006E14FA">
        <w:t xml:space="preserve">to za </w:t>
      </w:r>
      <w:r w:rsidR="00263955">
        <w:t>višestamben</w:t>
      </w:r>
      <w:r w:rsidR="006E14FA">
        <w:t>e</w:t>
      </w:r>
      <w:r w:rsidR="00263955">
        <w:t xml:space="preserve"> zgrad</w:t>
      </w:r>
      <w:r w:rsidR="006E14FA">
        <w:t>e</w:t>
      </w:r>
      <w:r w:rsidR="00263955">
        <w:t>, obiteljsk</w:t>
      </w:r>
      <w:r w:rsidR="006E14FA">
        <w:t>e</w:t>
      </w:r>
      <w:r w:rsidR="00263955">
        <w:t xml:space="preserve"> kuć</w:t>
      </w:r>
      <w:r w:rsidR="006E14FA">
        <w:t>e</w:t>
      </w:r>
      <w:r w:rsidR="00263955">
        <w:t xml:space="preserve"> i javn</w:t>
      </w:r>
      <w:r w:rsidR="006E14FA">
        <w:t>e</w:t>
      </w:r>
      <w:r w:rsidR="00263955">
        <w:t xml:space="preserve"> zgrad</w:t>
      </w:r>
      <w:r w:rsidR="006E14FA">
        <w:t>e</w:t>
      </w:r>
      <w:r w:rsidR="00263955">
        <w:t xml:space="preserve">, a smjernice za </w:t>
      </w:r>
      <w:r w:rsidR="006E14FA">
        <w:t>izradu tih programa</w:t>
      </w:r>
      <w:r w:rsidR="00263955">
        <w:t xml:space="preserve"> dane su u nastavku.</w:t>
      </w:r>
      <w:r w:rsidR="00D0363E">
        <w:t xml:space="preserve"> </w:t>
      </w:r>
      <w:r w:rsidR="00EE1E48">
        <w:t>Za zgrade</w:t>
      </w:r>
      <w:r w:rsidR="00172033">
        <w:t xml:space="preserve"> komercijalnog sektora</w:t>
      </w:r>
      <w:r w:rsidR="00EE1E48">
        <w:t xml:space="preserve"> ne predviđa </w:t>
      </w:r>
      <w:r w:rsidR="003270EB">
        <w:t xml:space="preserve">se </w:t>
      </w:r>
      <w:r w:rsidR="00EE1E48">
        <w:t>donošenje novog programa koji bi se temeljio na sufinanciranju, već se predviđa da će ovaj segment fonda zgrada biti obuhvaćen aktivnostima opskrbljivača u sklopu sustava obveza energetske učinkovitosti kao i tržištem energetskih usluga.</w:t>
      </w:r>
      <w:r w:rsidR="00DD38DF">
        <w:t xml:space="preserve"> Uz navedene programe koj</w:t>
      </w:r>
      <w:r w:rsidR="006119C9">
        <w:t>i</w:t>
      </w:r>
      <w:r w:rsidR="00DD38DF">
        <w:t xml:space="preserve"> se temelje na financijskim poticajima, planira se i provedba sveo</w:t>
      </w:r>
      <w:r w:rsidR="006119C9">
        <w:t>b</w:t>
      </w:r>
      <w:r w:rsidR="00DD38DF">
        <w:t xml:space="preserve">uhvatnog programa </w:t>
      </w:r>
      <w:r w:rsidR="00271264">
        <w:t>za promociju nZEB stand</w:t>
      </w:r>
      <w:r w:rsidR="00D51B87">
        <w:t>a</w:t>
      </w:r>
      <w:r w:rsidR="00271264">
        <w:t xml:space="preserve">rda gradnje i obnove, koji </w:t>
      </w:r>
      <w:r w:rsidR="006119C9">
        <w:t xml:space="preserve">je </w:t>
      </w:r>
      <w:r w:rsidR="00271264">
        <w:t xml:space="preserve">također opisan u nastavku. </w:t>
      </w:r>
    </w:p>
    <w:p w14:paraId="146C897C" w14:textId="35841E48" w:rsidR="009943FE" w:rsidRPr="00286B4C" w:rsidRDefault="00F55479" w:rsidP="00286B4C">
      <w:pPr>
        <w:pStyle w:val="NormalWeb"/>
        <w:spacing w:after="120" w:line="288" w:lineRule="auto"/>
        <w:jc w:val="both"/>
        <w:rPr>
          <w:rFonts w:cs="Arial"/>
          <w:b/>
          <w:bCs/>
          <w:color w:val="000000"/>
        </w:rPr>
      </w:pPr>
      <w:r w:rsidRPr="00286B4C">
        <w:rPr>
          <w:rFonts w:ascii="Arial" w:hAnsi="Arial" w:cs="Arial"/>
          <w:b/>
          <w:bCs/>
          <w:color w:val="000000"/>
          <w:sz w:val="22"/>
          <w:szCs w:val="22"/>
        </w:rPr>
        <w:t>ENU-2</w:t>
      </w:r>
      <w:r w:rsidR="009B0451" w:rsidRPr="00286B4C">
        <w:rPr>
          <w:rFonts w:ascii="Arial" w:hAnsi="Arial" w:cs="Arial"/>
          <w:b/>
          <w:bCs/>
          <w:color w:val="000000"/>
          <w:sz w:val="22"/>
          <w:szCs w:val="22"/>
        </w:rPr>
        <w:t>:</w:t>
      </w:r>
      <w:r w:rsidRPr="00286B4C">
        <w:rPr>
          <w:rFonts w:ascii="Arial" w:hAnsi="Arial" w:cs="Arial"/>
          <w:b/>
          <w:bCs/>
          <w:color w:val="000000"/>
          <w:sz w:val="22"/>
          <w:szCs w:val="22"/>
        </w:rPr>
        <w:t xml:space="preserve"> </w:t>
      </w:r>
      <w:r w:rsidR="0085010C">
        <w:rPr>
          <w:rFonts w:ascii="Arial" w:hAnsi="Arial" w:cs="Arial"/>
          <w:b/>
          <w:bCs/>
          <w:color w:val="000000"/>
          <w:sz w:val="22"/>
          <w:szCs w:val="22"/>
        </w:rPr>
        <w:t>P</w:t>
      </w:r>
      <w:r w:rsidR="000B19EC" w:rsidRPr="00286B4C">
        <w:rPr>
          <w:rFonts w:ascii="Arial" w:hAnsi="Arial" w:cs="Arial"/>
          <w:b/>
          <w:bCs/>
          <w:color w:val="000000"/>
          <w:sz w:val="22"/>
          <w:szCs w:val="22"/>
        </w:rPr>
        <w:t>romoviranj</w:t>
      </w:r>
      <w:r w:rsidR="0085010C">
        <w:rPr>
          <w:rFonts w:ascii="Arial" w:hAnsi="Arial" w:cs="Arial"/>
          <w:b/>
          <w:bCs/>
          <w:color w:val="000000"/>
          <w:sz w:val="22"/>
          <w:szCs w:val="22"/>
        </w:rPr>
        <w:t>e</w:t>
      </w:r>
      <w:r w:rsidR="00D65889" w:rsidRPr="00286B4C">
        <w:rPr>
          <w:rFonts w:ascii="Arial" w:hAnsi="Arial" w:cs="Arial"/>
          <w:b/>
          <w:bCs/>
          <w:color w:val="000000"/>
          <w:sz w:val="22"/>
          <w:szCs w:val="22"/>
        </w:rPr>
        <w:t xml:space="preserve"> nZEB standarda gradnje i obnove </w:t>
      </w:r>
    </w:p>
    <w:p w14:paraId="57F71058" w14:textId="77777777" w:rsidR="00CF1867" w:rsidRPr="00286B4C" w:rsidRDefault="00CF1867" w:rsidP="00286B4C">
      <w:pPr>
        <w:pStyle w:val="NormalWeb"/>
        <w:spacing w:after="120" w:line="288" w:lineRule="auto"/>
        <w:jc w:val="both"/>
        <w:rPr>
          <w:rFonts w:cs="Arial"/>
          <w:b/>
          <w:bCs/>
          <w:color w:val="000000"/>
        </w:rPr>
      </w:pPr>
      <w:r w:rsidRPr="00286B4C">
        <w:rPr>
          <w:rFonts w:ascii="Arial" w:hAnsi="Arial" w:cs="Arial"/>
          <w:b/>
          <w:bCs/>
          <w:color w:val="000000"/>
          <w:sz w:val="22"/>
          <w:szCs w:val="22"/>
        </w:rPr>
        <w:t>Informacijska mjera; provedba 2019. -2030.</w:t>
      </w:r>
    </w:p>
    <w:p w14:paraId="3C6EA195" w14:textId="77777777" w:rsidR="00CF1867" w:rsidRPr="00286B4C" w:rsidRDefault="00CF1867" w:rsidP="00286B4C">
      <w:pPr>
        <w:pStyle w:val="NormalWeb"/>
        <w:spacing w:after="120" w:line="288" w:lineRule="auto"/>
        <w:jc w:val="both"/>
      </w:pPr>
      <w:r w:rsidRPr="00286B4C">
        <w:rPr>
          <w:rFonts w:ascii="Arial" w:hAnsi="Arial" w:cs="Arial"/>
          <w:b/>
          <w:bCs/>
          <w:color w:val="000000"/>
          <w:sz w:val="22"/>
          <w:szCs w:val="22"/>
        </w:rPr>
        <w:t>Cilj i opis mjere</w:t>
      </w:r>
      <w:r w:rsidRPr="00283711">
        <w:rPr>
          <w:rFonts w:cs="Arial"/>
          <w:b/>
          <w:bCs/>
          <w:color w:val="000000"/>
          <w:lang w:eastAsia="en-GB"/>
        </w:rPr>
        <w:t>:</w:t>
      </w:r>
      <w:r w:rsidRPr="00283711">
        <w:rPr>
          <w:rFonts w:cs="Arial"/>
          <w:color w:val="000000"/>
          <w:lang w:eastAsia="en-GB"/>
        </w:rPr>
        <w:t xml:space="preserve"> </w:t>
      </w:r>
      <w:r w:rsidRPr="00286B4C">
        <w:rPr>
          <w:rFonts w:ascii="Arial" w:hAnsi="Arial"/>
          <w:sz w:val="22"/>
          <w:szCs w:val="22"/>
        </w:rPr>
        <w:t>Nakon 31.12.2018. godine sve javne zgrade u RH u kojima borave ili su u vlasništvu javnih tijela moraju biti izgrađene prema nZEB standardu, a obveza za sve ostale novoizgrađene zgrade nastupa nakon 31.12.2020. godine. Navedene zakonske odredbe osiguravaju da sve novoizgrađene zgrade od 2021. godine pa nadalje budu u nZEB standardu. Ipak, kako bi se osigurala ispravna primjena ovih odredbi, ali i potaknula energetska obnova zgrada do nZEB standarda, u sljedećem se razdoblju planira provoditi niz informativno-edukacijskih aktivnosti za promociju izgradnje i obnove po nZEB standardu.</w:t>
      </w:r>
    </w:p>
    <w:p w14:paraId="7B39A5A5" w14:textId="77777777" w:rsidR="00CF1867" w:rsidRPr="00283711" w:rsidRDefault="00CF1867" w:rsidP="00CF1867">
      <w:pPr>
        <w:suppressAutoHyphens w:val="0"/>
        <w:spacing w:before="0" w:after="0" w:line="240" w:lineRule="auto"/>
        <w:rPr>
          <w:rFonts w:eastAsia="Calibri" w:cs="Arial"/>
          <w:color w:val="000000"/>
        </w:rPr>
      </w:pPr>
    </w:p>
    <w:p w14:paraId="6D94A6F2"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Aktivnosti:</w:t>
      </w:r>
      <w:r w:rsidRPr="00283711">
        <w:rPr>
          <w:rFonts w:cs="Arial"/>
          <w:color w:val="000000"/>
          <w:lang w:eastAsia="en-GB"/>
        </w:rPr>
        <w:t xml:space="preserve"> U okviru mjere provest će se sljedeće aktivnosti: </w:t>
      </w:r>
    </w:p>
    <w:p w14:paraId="7AD5836D" w14:textId="77777777" w:rsidR="00CF1867" w:rsidRPr="00283711" w:rsidRDefault="00CF1867" w:rsidP="00840E2E">
      <w:pPr>
        <w:numPr>
          <w:ilvl w:val="0"/>
          <w:numId w:val="90"/>
        </w:numPr>
        <w:tabs>
          <w:tab w:val="left" w:pos="168"/>
          <w:tab w:val="left" w:pos="5040"/>
          <w:tab w:val="right" w:pos="8504"/>
        </w:tabs>
        <w:suppressAutoHyphens w:val="0"/>
        <w:spacing w:before="0" w:after="0" w:line="240" w:lineRule="auto"/>
        <w:rPr>
          <w:rFonts w:cs="Arial"/>
          <w:color w:val="000000"/>
          <w:lang w:eastAsia="en-GB"/>
        </w:rPr>
      </w:pPr>
      <w:r w:rsidRPr="00283711">
        <w:rPr>
          <w:rFonts w:cs="Arial"/>
          <w:color w:val="000000"/>
          <w:lang w:eastAsia="en-GB"/>
        </w:rPr>
        <w:t>Otvoreni dijalog partnera - radionice koje će okupiti dionike tijela državne uprave, lokalne vlasti, građevinskog sektora, energetskog sektora te obrazovnih i drugih javnih institucija, kako bi se zajedničkim dijalogom razvila adekvatna nacionalna definicija zgrade s gotovo nultom potrošnjom energije i putokaz za transformaciju postojećeg fonda zgrada u energetski visokoučinkovit i dekarboniziran fond zgrada do 2050. godine;</w:t>
      </w:r>
    </w:p>
    <w:p w14:paraId="6C1FF3FE" w14:textId="77777777" w:rsidR="00CF1867" w:rsidRPr="00283711" w:rsidRDefault="00CF1867" w:rsidP="00840E2E">
      <w:pPr>
        <w:numPr>
          <w:ilvl w:val="0"/>
          <w:numId w:val="90"/>
        </w:numPr>
        <w:tabs>
          <w:tab w:val="left" w:pos="168"/>
          <w:tab w:val="left" w:pos="5040"/>
          <w:tab w:val="right" w:pos="8504"/>
        </w:tabs>
        <w:suppressAutoHyphens w:val="0"/>
        <w:spacing w:before="0" w:after="0" w:line="240" w:lineRule="auto"/>
        <w:rPr>
          <w:rFonts w:cs="Arial"/>
          <w:color w:val="000000"/>
          <w:lang w:eastAsia="en-GB"/>
        </w:rPr>
      </w:pPr>
      <w:r w:rsidRPr="00283711">
        <w:rPr>
          <w:rFonts w:cs="Arial"/>
          <w:color w:val="000000"/>
          <w:lang w:eastAsia="en-GB"/>
        </w:rPr>
        <w:t>Izrada smjernica o nZEB zgradama za investitore i projektante - smjernice će dati stručnu, preglednu i nedvosmislenu informaciju o nZEB zgradama, a ima te dvije ciljne skupine: opću i stručnu javnost;</w:t>
      </w:r>
    </w:p>
    <w:p w14:paraId="20E039CE" w14:textId="77777777" w:rsidR="00CF1867" w:rsidRPr="00283711" w:rsidRDefault="00CF1867" w:rsidP="00840E2E">
      <w:pPr>
        <w:numPr>
          <w:ilvl w:val="0"/>
          <w:numId w:val="90"/>
        </w:numPr>
        <w:suppressAutoHyphens w:val="0"/>
        <w:spacing w:before="0" w:after="0" w:line="240" w:lineRule="auto"/>
        <w:rPr>
          <w:rFonts w:cs="Arial"/>
          <w:color w:val="000000"/>
          <w:lang w:eastAsia="en-GB"/>
        </w:rPr>
      </w:pPr>
      <w:r w:rsidRPr="00283711">
        <w:rPr>
          <w:rFonts w:cs="Arial"/>
          <w:color w:val="000000"/>
          <w:lang w:eastAsia="en-GB"/>
        </w:rPr>
        <w:t>Medijske kampanje za energetsko certificiranje i promidžbu nZEB standarda – kampanjama će se informirati javnost s ciljem podizanja svijesti o značenju energetskih certifikata te njihovom značaju u energetskoj obnovi i dokazivanju nZEB standarda, o dostupnosti informacija u Informacijskom sustavu energetskih certifikata (IEC), a također će se provesti i ciljana kampanja za informiranje i podizanje svijesti o nZEB standardu novogradnje i energetske obnove zgrada.</w:t>
      </w:r>
    </w:p>
    <w:p w14:paraId="55166847" w14:textId="77777777" w:rsidR="00CF1867" w:rsidRPr="00283711" w:rsidRDefault="00CF1867" w:rsidP="00CF1867">
      <w:pPr>
        <w:suppressAutoHyphens w:val="0"/>
        <w:spacing w:before="0" w:after="0" w:line="240" w:lineRule="auto"/>
        <w:rPr>
          <w:rFonts w:cs="Arial"/>
          <w:b/>
          <w:bCs/>
          <w:color w:val="000000"/>
          <w:lang w:eastAsia="en-GB"/>
        </w:rPr>
      </w:pPr>
    </w:p>
    <w:p w14:paraId="57AB60D4"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 xml:space="preserve">Sredstva potrebna za provedbu: </w:t>
      </w:r>
      <w:r w:rsidRPr="00283711">
        <w:rPr>
          <w:rFonts w:cs="Arial"/>
          <w:color w:val="000000"/>
          <w:lang w:eastAsia="en-GB"/>
        </w:rPr>
        <w:t>Financijska sredstva za provedbu ovih aktivnosti planira MGIPU u okviru svojih godišnjih proračuna, kao sastavni dio svojih redovnih aktivnosti.</w:t>
      </w:r>
    </w:p>
    <w:p w14:paraId="64AE9A94"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 xml:space="preserve">Izvori financiranja: </w:t>
      </w:r>
      <w:r w:rsidRPr="00283711">
        <w:rPr>
          <w:rFonts w:cs="Arial"/>
          <w:color w:val="000000"/>
          <w:lang w:eastAsia="en-GB"/>
        </w:rPr>
        <w:t>Državni proračun (MGIPU)</w:t>
      </w:r>
    </w:p>
    <w:p w14:paraId="196CF962" w14:textId="1C5AE9AC" w:rsidR="00CF1867" w:rsidRPr="00283711" w:rsidRDefault="00CF1867" w:rsidP="00CF1867">
      <w:pPr>
        <w:suppressAutoHyphens w:val="0"/>
        <w:spacing w:before="0" w:after="0" w:line="240" w:lineRule="auto"/>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MGIPU – provedba svih aktivnosti Programa </w:t>
      </w:r>
    </w:p>
    <w:p w14:paraId="04A7E15F"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Tijela za praćenje (nadzor):</w:t>
      </w:r>
      <w:r w:rsidRPr="00283711">
        <w:rPr>
          <w:rFonts w:cs="Arial"/>
          <w:color w:val="000000"/>
          <w:lang w:eastAsia="en-GB"/>
        </w:rPr>
        <w:t xml:space="preserve"> MZOE-NKT</w:t>
      </w:r>
    </w:p>
    <w:p w14:paraId="377DB8E7"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 xml:space="preserve">Učinak: </w:t>
      </w:r>
      <w:r w:rsidRPr="00283711">
        <w:rPr>
          <w:rFonts w:cs="Arial"/>
          <w:color w:val="000000"/>
          <w:lang w:eastAsia="en-GB"/>
        </w:rPr>
        <w:t>Mjera nema izravan učinak na smanjenje potrošnje energije, već je potpora regulatornoj mjeri izgradnje novih zgrada prema nZEB standardu, kao i promocijska mjera za energetsku obnovu do nZEB standarda, koja će rezultirati mjerljivim smanjenjem potrošnje energije, većim korištenjem OIE i izbjegnutim emisijama CO</w:t>
      </w:r>
      <w:r w:rsidRPr="00283711">
        <w:rPr>
          <w:rFonts w:cs="Arial"/>
          <w:color w:val="000000"/>
          <w:vertAlign w:val="subscript"/>
          <w:lang w:eastAsia="en-GB"/>
        </w:rPr>
        <w:t>2</w:t>
      </w:r>
      <w:r w:rsidRPr="00283711">
        <w:rPr>
          <w:rFonts w:cs="Arial"/>
          <w:color w:val="000000"/>
          <w:lang w:eastAsia="en-GB"/>
        </w:rPr>
        <w:t>.</w:t>
      </w:r>
    </w:p>
    <w:p w14:paraId="6D2B4304"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Metoda praćenja:</w:t>
      </w:r>
      <w:r w:rsidRPr="00283711">
        <w:rPr>
          <w:rFonts w:cs="Arial"/>
          <w:color w:val="000000"/>
          <w:lang w:eastAsia="en-GB"/>
        </w:rPr>
        <w:t xml:space="preserve"> Izvješća o provedenim informativno-edukacijskim aktivnostima</w:t>
      </w:r>
    </w:p>
    <w:p w14:paraId="2FB6ED23"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 xml:space="preserve">Povezanost s drugim dimenzijama: </w:t>
      </w:r>
      <w:r w:rsidRPr="00283711">
        <w:rPr>
          <w:rFonts w:cs="Arial"/>
          <w:color w:val="000000"/>
          <w:lang w:eastAsia="en-GB"/>
        </w:rPr>
        <w:t>Izravna povezanost s dekarbonizacijom, jer nZEB standard podrazumijeva uz smanjenu potrošnju energije i povećano korištenje OIE u zgradama</w:t>
      </w:r>
    </w:p>
    <w:p w14:paraId="17B414C9" w14:textId="77777777" w:rsidR="00CF1867" w:rsidRPr="00283711" w:rsidRDefault="00CF1867" w:rsidP="00CF1867">
      <w:pPr>
        <w:suppressAutoHyphens w:val="0"/>
        <w:spacing w:before="0" w:after="0" w:line="240" w:lineRule="auto"/>
        <w:rPr>
          <w:rFonts w:eastAsia="Calibri" w:cs="Arial"/>
          <w:color w:val="000000"/>
        </w:rPr>
      </w:pPr>
      <w:r w:rsidRPr="00283711">
        <w:rPr>
          <w:rFonts w:cs="Arial"/>
          <w:b/>
          <w:bCs/>
          <w:color w:val="000000"/>
          <w:lang w:eastAsia="en-GB"/>
        </w:rPr>
        <w:t xml:space="preserve">Povezanost s prilagodbom klimatskim promjenama: </w:t>
      </w:r>
      <w:r w:rsidRPr="00283711">
        <w:rPr>
          <w:rFonts w:cs="Arial"/>
          <w:color w:val="000000"/>
          <w:lang w:eastAsia="en-GB"/>
        </w:rPr>
        <w:t>energetskom obnovom zgrade postaju otpornije na neke od posljedica klimatskih promjena, kao što su ekstremni temperaturni uvjeti</w:t>
      </w:r>
    </w:p>
    <w:p w14:paraId="728E17EB" w14:textId="77777777" w:rsidR="00CF1867" w:rsidRPr="00283711" w:rsidRDefault="00CF1867" w:rsidP="00CF1867">
      <w:pPr>
        <w:suppressAutoHyphens w:val="0"/>
        <w:spacing w:before="0" w:after="0" w:line="240" w:lineRule="auto"/>
        <w:rPr>
          <w:rFonts w:eastAsia="Calibri" w:cs="Arial"/>
        </w:rPr>
      </w:pPr>
      <w:r w:rsidRPr="00283711">
        <w:rPr>
          <w:rFonts w:cs="Arial"/>
          <w:b/>
          <w:bCs/>
          <w:color w:val="000000"/>
          <w:lang w:eastAsia="en-GB"/>
        </w:rPr>
        <w:t>Istraživanje i razvoj</w:t>
      </w:r>
      <w:r w:rsidRPr="00283711">
        <w:rPr>
          <w:rFonts w:cs="Arial"/>
          <w:color w:val="000000"/>
          <w:lang w:eastAsia="en-GB"/>
        </w:rPr>
        <w:t xml:space="preserve">: NZEB standard stvara potrebu za razvijem novih građevini materijala, unaprjeđenje tehničkih sustava u zgradama kao i sustav upravljanja i automatizacije temeljenih na informacijsko-komunikacijskim tehnologijama </w:t>
      </w:r>
    </w:p>
    <w:p w14:paraId="2D47591C" w14:textId="77777777" w:rsidR="005D5867" w:rsidRDefault="005D5867" w:rsidP="00725326">
      <w:pPr>
        <w:suppressAutoHyphens w:val="0"/>
        <w:spacing w:after="160" w:line="259" w:lineRule="auto"/>
        <w:contextualSpacing/>
      </w:pPr>
    </w:p>
    <w:p w14:paraId="026DCE7B" w14:textId="4CED8373" w:rsidR="00283711" w:rsidRPr="00286B4C" w:rsidRDefault="009B0451"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ENU-3: </w:t>
      </w:r>
      <w:r w:rsidR="00961B1F" w:rsidRPr="00286B4C">
        <w:rPr>
          <w:rFonts w:ascii="Arial" w:hAnsi="Arial" w:cs="Arial"/>
          <w:b/>
          <w:bCs/>
          <w:color w:val="000000"/>
          <w:sz w:val="22"/>
          <w:szCs w:val="22"/>
        </w:rPr>
        <w:t>Program energetske obnove višestambenih zgrada</w:t>
      </w:r>
    </w:p>
    <w:p w14:paraId="7106FD12" w14:textId="77777777" w:rsidR="00283711" w:rsidRPr="00286B4C" w:rsidRDefault="00283711" w:rsidP="00286B4C">
      <w:pPr>
        <w:pStyle w:val="NormalWeb"/>
        <w:spacing w:after="120" w:line="288" w:lineRule="auto"/>
        <w:jc w:val="both"/>
        <w:rPr>
          <w:rFonts w:cs="Arial"/>
          <w:b/>
          <w:bCs/>
          <w:color w:val="000000"/>
        </w:rPr>
      </w:pPr>
      <w:r w:rsidRPr="00286B4C">
        <w:rPr>
          <w:rFonts w:ascii="Arial" w:hAnsi="Arial" w:cs="Arial"/>
          <w:b/>
          <w:bCs/>
          <w:color w:val="000000"/>
          <w:sz w:val="22"/>
          <w:szCs w:val="22"/>
        </w:rPr>
        <w:t>Financijska mjera; provedba 2021. -2030.</w:t>
      </w:r>
    </w:p>
    <w:p w14:paraId="6B3828D8" w14:textId="77777777" w:rsidR="0023001E" w:rsidRDefault="00283711" w:rsidP="00286B4C">
      <w:pPr>
        <w:pStyle w:val="NormalWeb"/>
        <w:spacing w:after="120" w:line="288" w:lineRule="auto"/>
        <w:jc w:val="both"/>
        <w:rPr>
          <w:rFonts w:ascii="Arial" w:hAnsi="Arial"/>
          <w:sz w:val="22"/>
          <w:szCs w:val="22"/>
        </w:rPr>
      </w:pPr>
      <w:r w:rsidRPr="00286B4C">
        <w:rPr>
          <w:rFonts w:ascii="Arial" w:hAnsi="Arial" w:cs="Arial"/>
          <w:b/>
          <w:bCs/>
          <w:color w:val="000000"/>
          <w:sz w:val="22"/>
          <w:szCs w:val="22"/>
        </w:rPr>
        <w:t>Cilj i opis mjere</w:t>
      </w:r>
      <w:r w:rsidRPr="00283711">
        <w:rPr>
          <w:rFonts w:cs="Arial"/>
          <w:b/>
          <w:bCs/>
          <w:color w:val="000000"/>
          <w:lang w:eastAsia="en-GB"/>
        </w:rPr>
        <w:t>:</w:t>
      </w:r>
      <w:r w:rsidRPr="00283711">
        <w:rPr>
          <w:rFonts w:cs="Arial"/>
          <w:color w:val="000000"/>
          <w:lang w:eastAsia="en-GB"/>
        </w:rPr>
        <w:t xml:space="preserve"> </w:t>
      </w:r>
      <w:r w:rsidRPr="00286B4C">
        <w:rPr>
          <w:rFonts w:ascii="Arial" w:hAnsi="Arial"/>
          <w:sz w:val="22"/>
          <w:szCs w:val="22"/>
        </w:rPr>
        <w:t xml:space="preserve">Program je potrebno koncipirati kao nastavak provedbe Programa energetske obnove višestambenih zgrada iz razdoblja od 2014. do 2020. U tu svrhu, potrebno je planirati sredstva iz ESI fondova za sljedeće programsko razdoblje 2021.-2027. (s provedbom do 2030.), a provedbene procedure je potrebno značajno olakšati, poglavito u dijelu provedbe javne nabave. </w:t>
      </w:r>
      <w:r w:rsidR="00BD60A4" w:rsidRPr="00BD60A4">
        <w:rPr>
          <w:rFonts w:ascii="Arial" w:hAnsi="Arial"/>
          <w:sz w:val="22"/>
          <w:szCs w:val="22"/>
        </w:rPr>
        <w:t>Potrebno je poticati dubinsku obnovu zgrada</w:t>
      </w:r>
      <w:r w:rsidR="00BD60A4">
        <w:rPr>
          <w:rFonts w:ascii="Arial" w:hAnsi="Arial"/>
          <w:sz w:val="22"/>
          <w:szCs w:val="22"/>
        </w:rPr>
        <w:t>.</w:t>
      </w:r>
      <w:r w:rsidR="00BD60A4" w:rsidRPr="00BD60A4">
        <w:rPr>
          <w:rFonts w:ascii="Arial" w:hAnsi="Arial"/>
          <w:sz w:val="22"/>
          <w:szCs w:val="22"/>
        </w:rPr>
        <w:t xml:space="preserve"> </w:t>
      </w:r>
      <w:r w:rsidRPr="00286B4C">
        <w:rPr>
          <w:rFonts w:ascii="Arial" w:hAnsi="Arial"/>
          <w:sz w:val="22"/>
          <w:szCs w:val="22"/>
        </w:rPr>
        <w:t>Snažnije je potrebno poticati obnovu do nZEB standarda. Dodatno, potrebno je razmotriti osnivanje posebnog fonda iz kojega će se troškovi refundirati energetski siromašnim kućanstvima ili kućanstvima u riziku od energetskog siromaštva, kako bi se uklonila prepreka osiguravanja dovoljnog broja suglasnosti suvlasnika za energetsku obnovu. Provedba Programa mora biti praćena snažnim promotivnim aktivnostima, osiguranom tehničkom pomoći prijaviteljima te je nužno osigurati praćenje potrošnje energije prije i nakon energetske obnove, za što je potrebno stvoriti preduvjete u sklopu ISGE-a. Predviđa se obnavljati oko 520.000 m</w:t>
      </w:r>
      <w:r w:rsidRPr="0050718D">
        <w:rPr>
          <w:rFonts w:ascii="Arial" w:hAnsi="Arial"/>
          <w:sz w:val="22"/>
          <w:szCs w:val="22"/>
          <w:vertAlign w:val="superscript"/>
        </w:rPr>
        <w:t>2</w:t>
      </w:r>
      <w:r w:rsidRPr="00286B4C">
        <w:rPr>
          <w:rFonts w:ascii="Arial" w:hAnsi="Arial"/>
          <w:sz w:val="22"/>
          <w:szCs w:val="22"/>
        </w:rPr>
        <w:t xml:space="preserve"> višestambenih zgrada godišnje. Uštede su izračunate uz pretpostavku energetske obnove zgrada na razinu zadovoljavanja uvjeta iz Tehničkog propisa propisom o racionalnoj uporabi energije i toplinskoj zaštiti u zgradama, prema razdobljima izgradnje zgrada. Godišnje uštede iznose 0,148 PJ. Pretpostavljeni trošak energetske obnove je 1.500 kn/m</w:t>
      </w:r>
      <w:r w:rsidRPr="0050718D">
        <w:rPr>
          <w:rFonts w:ascii="Arial" w:hAnsi="Arial"/>
          <w:sz w:val="22"/>
          <w:szCs w:val="22"/>
          <w:vertAlign w:val="superscript"/>
        </w:rPr>
        <w:t>2</w:t>
      </w:r>
      <w:r w:rsidR="005D1C71">
        <w:rPr>
          <w:rFonts w:ascii="Arial" w:hAnsi="Arial"/>
          <w:sz w:val="22"/>
          <w:szCs w:val="22"/>
        </w:rPr>
        <w:t xml:space="preserve"> </w:t>
      </w:r>
    </w:p>
    <w:p w14:paraId="6C277572" w14:textId="560EE453" w:rsidR="00283711" w:rsidRPr="0023001E" w:rsidRDefault="0023001E" w:rsidP="00286B4C">
      <w:pPr>
        <w:pStyle w:val="NormalWeb"/>
        <w:spacing w:after="120" w:line="288" w:lineRule="auto"/>
        <w:jc w:val="both"/>
        <w:rPr>
          <w:b/>
        </w:rPr>
      </w:pPr>
      <w:r w:rsidRPr="0023001E">
        <w:rPr>
          <w:rFonts w:ascii="Arial" w:hAnsi="Arial"/>
          <w:b/>
          <w:sz w:val="22"/>
          <w:szCs w:val="22"/>
        </w:rPr>
        <w:t>N</w:t>
      </w:r>
      <w:r w:rsidR="005D1C71" w:rsidRPr="0023001E">
        <w:rPr>
          <w:rFonts w:ascii="Arial" w:hAnsi="Arial"/>
          <w:b/>
          <w:sz w:val="22"/>
          <w:szCs w:val="22"/>
        </w:rPr>
        <w:t>apomena: ciljevi</w:t>
      </w:r>
      <w:r w:rsidR="00B56FE8" w:rsidRPr="0023001E">
        <w:rPr>
          <w:rFonts w:ascii="Arial" w:hAnsi="Arial"/>
          <w:b/>
          <w:sz w:val="22"/>
          <w:szCs w:val="22"/>
        </w:rPr>
        <w:t>, uvjeti</w:t>
      </w:r>
      <w:r w:rsidR="008145DE" w:rsidRPr="0023001E">
        <w:rPr>
          <w:rFonts w:ascii="Arial" w:hAnsi="Arial"/>
          <w:b/>
          <w:sz w:val="22"/>
          <w:szCs w:val="22"/>
        </w:rPr>
        <w:t xml:space="preserve"> i aktivnosti</w:t>
      </w:r>
      <w:r w:rsidR="00646F50" w:rsidRPr="0023001E">
        <w:rPr>
          <w:rFonts w:ascii="Arial" w:hAnsi="Arial"/>
          <w:b/>
          <w:sz w:val="22"/>
          <w:szCs w:val="22"/>
        </w:rPr>
        <w:t xml:space="preserve"> </w:t>
      </w:r>
      <w:r w:rsidRPr="0023001E">
        <w:rPr>
          <w:rFonts w:ascii="Arial" w:hAnsi="Arial"/>
          <w:b/>
          <w:sz w:val="22"/>
          <w:szCs w:val="22"/>
        </w:rPr>
        <w:t>te navedene brojčane vrijednosti</w:t>
      </w:r>
      <w:r w:rsidR="00646F50" w:rsidRPr="0023001E">
        <w:rPr>
          <w:rFonts w:ascii="Arial" w:hAnsi="Arial"/>
          <w:b/>
          <w:sz w:val="22"/>
          <w:szCs w:val="22"/>
        </w:rPr>
        <w:t xml:space="preserve"> su okvirn</w:t>
      </w:r>
      <w:r w:rsidRPr="0023001E">
        <w:rPr>
          <w:rFonts w:ascii="Arial" w:hAnsi="Arial"/>
          <w:b/>
          <w:sz w:val="22"/>
          <w:szCs w:val="22"/>
        </w:rPr>
        <w:t>e</w:t>
      </w:r>
      <w:r w:rsidR="00646F50" w:rsidRPr="0023001E">
        <w:rPr>
          <w:rFonts w:ascii="Arial" w:hAnsi="Arial"/>
          <w:b/>
          <w:sz w:val="22"/>
          <w:szCs w:val="22"/>
        </w:rPr>
        <w:t xml:space="preserve">, a detaljno će se utvrditi u </w:t>
      </w:r>
      <w:r w:rsidR="00F13914" w:rsidRPr="0023001E">
        <w:rPr>
          <w:rFonts w:ascii="Arial" w:hAnsi="Arial"/>
          <w:b/>
          <w:sz w:val="22"/>
          <w:szCs w:val="22"/>
        </w:rPr>
        <w:t xml:space="preserve">samom </w:t>
      </w:r>
      <w:r w:rsidR="009E1DE1" w:rsidRPr="0023001E">
        <w:rPr>
          <w:rFonts w:ascii="Arial" w:hAnsi="Arial"/>
          <w:b/>
          <w:sz w:val="22"/>
          <w:szCs w:val="22"/>
        </w:rPr>
        <w:t>Programu</w:t>
      </w:r>
      <w:r w:rsidR="00F13914" w:rsidRPr="0023001E">
        <w:rPr>
          <w:rFonts w:ascii="Arial" w:hAnsi="Arial"/>
          <w:b/>
          <w:sz w:val="22"/>
          <w:szCs w:val="22"/>
        </w:rPr>
        <w:t xml:space="preserve"> energetske obnove višestambenih zgrada za razdoblje od 2021. do 2030.</w:t>
      </w:r>
    </w:p>
    <w:p w14:paraId="40D17653" w14:textId="77777777" w:rsidR="00283711" w:rsidRPr="00283711" w:rsidRDefault="00283711" w:rsidP="00283711">
      <w:pPr>
        <w:suppressAutoHyphens w:val="0"/>
        <w:spacing w:before="0" w:after="0" w:line="240" w:lineRule="auto"/>
        <w:rPr>
          <w:rFonts w:eastAsia="Calibri" w:cs="Arial"/>
          <w:color w:val="000000"/>
        </w:rPr>
      </w:pPr>
    </w:p>
    <w:p w14:paraId="3EB514CF" w14:textId="77777777" w:rsidR="00283711" w:rsidRPr="00283711" w:rsidRDefault="00283711" w:rsidP="00283711">
      <w:pPr>
        <w:suppressAutoHyphens w:val="0"/>
        <w:spacing w:before="0" w:after="0" w:line="240" w:lineRule="auto"/>
        <w:rPr>
          <w:rFonts w:cs="Arial"/>
          <w:color w:val="000000"/>
          <w:lang w:eastAsia="en-GB"/>
        </w:rPr>
      </w:pPr>
      <w:r w:rsidRPr="00283711">
        <w:rPr>
          <w:rFonts w:cs="Arial"/>
          <w:b/>
          <w:bCs/>
          <w:color w:val="000000"/>
          <w:lang w:eastAsia="en-GB"/>
        </w:rPr>
        <w:t>Aktivnosti:</w:t>
      </w:r>
      <w:r w:rsidRPr="00283711">
        <w:rPr>
          <w:rFonts w:cs="Arial"/>
          <w:color w:val="000000"/>
          <w:lang w:eastAsia="en-GB"/>
        </w:rPr>
        <w:t xml:space="preserve"> U okviru mjere provest će se sljedeće aktivnosti: </w:t>
      </w:r>
    </w:p>
    <w:p w14:paraId="7E5476CA" w14:textId="2C50B06D" w:rsidR="00283711" w:rsidRPr="00283711" w:rsidRDefault="00283711" w:rsidP="003B3956">
      <w:pPr>
        <w:numPr>
          <w:ilvl w:val="0"/>
          <w:numId w:val="91"/>
        </w:numPr>
        <w:suppressAutoHyphens w:val="0"/>
        <w:spacing w:before="0" w:after="0" w:line="240" w:lineRule="auto"/>
        <w:rPr>
          <w:rFonts w:eastAsia="Calibri" w:cs="Arial"/>
          <w:color w:val="000000"/>
        </w:rPr>
      </w:pPr>
      <w:r w:rsidRPr="00283711">
        <w:rPr>
          <w:rFonts w:eastAsia="Calibri" w:cs="Arial"/>
          <w:color w:val="000000"/>
        </w:rPr>
        <w:t>Tijekom 2020. godine MGIPU će izraditi Program energetske obnove višestambenih zgrada za razdoblje od 2021. do 2030. godine, kojega usvaja Vlada, a koji je temelj za korištenje sredstava ESI fondova u programskom razdoblju od 2021. do 2027. godine</w:t>
      </w:r>
    </w:p>
    <w:p w14:paraId="4AF4CC5C" w14:textId="1A6A7F99" w:rsidR="003B3956" w:rsidRPr="003B3956" w:rsidRDefault="00283711" w:rsidP="003B3956">
      <w:pPr>
        <w:numPr>
          <w:ilvl w:val="0"/>
          <w:numId w:val="91"/>
        </w:numPr>
        <w:suppressAutoHyphens w:val="0"/>
        <w:spacing w:before="0" w:after="0" w:line="240" w:lineRule="auto"/>
        <w:rPr>
          <w:rFonts w:eastAsia="Calibri" w:cs="Arial"/>
          <w:color w:val="000000"/>
        </w:rPr>
      </w:pPr>
      <w:r w:rsidRPr="00283711">
        <w:rPr>
          <w:rFonts w:eastAsia="Calibri" w:cs="Arial"/>
          <w:color w:val="000000"/>
        </w:rPr>
        <w:t xml:space="preserve">Provedba </w:t>
      </w:r>
      <w:r w:rsidR="00124B02" w:rsidRPr="003B3956">
        <w:rPr>
          <w:rFonts w:eastAsia="Calibri" w:cs="Arial"/>
          <w:color w:val="000000"/>
        </w:rPr>
        <w:t>na način utvrđen Programom</w:t>
      </w:r>
      <w:r w:rsidRPr="00283711">
        <w:rPr>
          <w:rFonts w:eastAsia="Calibri" w:cs="Arial"/>
          <w:color w:val="000000"/>
        </w:rPr>
        <w:t xml:space="preserve"> </w:t>
      </w:r>
    </w:p>
    <w:p w14:paraId="0376EAEE" w14:textId="77777777" w:rsidR="00283711" w:rsidRPr="00283711" w:rsidRDefault="00283711" w:rsidP="003B3956">
      <w:pPr>
        <w:suppressAutoHyphens w:val="0"/>
        <w:spacing w:before="0" w:after="0" w:line="240" w:lineRule="auto"/>
        <w:ind w:left="720"/>
        <w:rPr>
          <w:rFonts w:cs="Arial"/>
          <w:b/>
          <w:bCs/>
          <w:color w:val="000000"/>
          <w:lang w:eastAsia="en-GB"/>
        </w:rPr>
      </w:pPr>
    </w:p>
    <w:p w14:paraId="041F6EED" w14:textId="77777777" w:rsidR="00283711" w:rsidRPr="00283711" w:rsidRDefault="00283711" w:rsidP="00283711">
      <w:pPr>
        <w:suppressAutoHyphens w:val="0"/>
        <w:spacing w:before="0" w:after="0" w:line="240" w:lineRule="auto"/>
        <w:rPr>
          <w:rFonts w:eastAsia="Calibri" w:cs="Arial"/>
          <w:color w:val="000000"/>
        </w:rPr>
      </w:pPr>
      <w:r w:rsidRPr="00283711">
        <w:rPr>
          <w:rFonts w:cs="Arial"/>
          <w:b/>
          <w:bCs/>
          <w:color w:val="000000"/>
          <w:lang w:eastAsia="en-GB"/>
        </w:rPr>
        <w:t xml:space="preserve">Sredstva potrebna za provedbu: </w:t>
      </w:r>
      <w:r w:rsidRPr="00283711">
        <w:rPr>
          <w:rFonts w:cs="Arial"/>
          <w:color w:val="000000"/>
          <w:lang w:eastAsia="en-GB"/>
        </w:rPr>
        <w:t>Procijenjeni investicijski trošak u razdoblju 2021.-2030 je 7,80 milijardi kn.</w:t>
      </w:r>
    </w:p>
    <w:p w14:paraId="44EF31FF" w14:textId="38C8DCED" w:rsidR="00283711" w:rsidRPr="00283711" w:rsidRDefault="00283711" w:rsidP="00283711">
      <w:pPr>
        <w:suppressAutoHyphens w:val="0"/>
        <w:spacing w:before="0" w:after="0" w:line="240" w:lineRule="auto"/>
        <w:rPr>
          <w:rFonts w:eastAsia="Calibri" w:cs="Arial"/>
          <w:color w:val="000000"/>
        </w:rPr>
      </w:pPr>
      <w:r w:rsidRPr="00283711">
        <w:rPr>
          <w:rFonts w:cs="Arial"/>
          <w:b/>
          <w:bCs/>
          <w:color w:val="000000"/>
          <w:lang w:eastAsia="en-GB"/>
        </w:rPr>
        <w:t xml:space="preserve">Izvori financiranja: </w:t>
      </w:r>
      <w:r w:rsidRPr="00283711">
        <w:rPr>
          <w:rFonts w:cs="Arial"/>
          <w:color w:val="000000"/>
          <w:lang w:eastAsia="en-GB"/>
        </w:rPr>
        <w:t>Potrebno je osigurati bespovratna sredstava iz ESI fondova u iznosu do 60% opravdanih troškova, uz maksimalno sufinanciranje energetskih pregleda, energetskih certifikata, projektne dokumentacije i tehničke pomoći u pripremi i provedbi projekta.</w:t>
      </w:r>
      <w:r w:rsidR="0023001E">
        <w:rPr>
          <w:rFonts w:cs="Arial"/>
          <w:color w:val="000000"/>
          <w:lang w:eastAsia="en-GB"/>
        </w:rPr>
        <w:t xml:space="preserve"> Potrebno je razmotriti mogućnost korištenja nacionalnih sredstava i drugih izvora financiranja.</w:t>
      </w:r>
    </w:p>
    <w:p w14:paraId="275DCA72" w14:textId="20CDF0AF" w:rsidR="00283711" w:rsidRPr="00283711" w:rsidRDefault="00283711" w:rsidP="00283711">
      <w:pPr>
        <w:suppressAutoHyphens w:val="0"/>
        <w:spacing w:before="0" w:after="0" w:line="240" w:lineRule="auto"/>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MGIPU – Posredničko tijelo razine 1 (PT1) u sustavu upravljanja i kontrole korištenja sredstava ESI fondova; MGIPU – operativno praćenje provedbe programa; FZOEU -</w:t>
      </w:r>
      <w:r w:rsidR="00E223DA">
        <w:rPr>
          <w:rFonts w:cs="Arial"/>
          <w:color w:val="000000"/>
          <w:lang w:eastAsia="en-GB"/>
        </w:rPr>
        <w:t xml:space="preserve"> </w:t>
      </w:r>
      <w:r w:rsidRPr="00283711">
        <w:rPr>
          <w:rFonts w:cs="Arial"/>
          <w:color w:val="000000"/>
          <w:lang w:eastAsia="en-GB"/>
        </w:rPr>
        <w:t>Posredničko tijelo razine 2 (PT2) u sustavu upravljanja i kontrole korištenja sredstava ESI fondova</w:t>
      </w:r>
    </w:p>
    <w:p w14:paraId="542C43D7" w14:textId="77777777" w:rsidR="00283711" w:rsidRPr="00283711" w:rsidRDefault="00283711" w:rsidP="00283711">
      <w:pPr>
        <w:suppressAutoHyphens w:val="0"/>
        <w:spacing w:before="0" w:after="0" w:line="240" w:lineRule="auto"/>
        <w:rPr>
          <w:rFonts w:eastAsia="Calibri" w:cs="Arial"/>
          <w:color w:val="000000"/>
        </w:rPr>
      </w:pPr>
      <w:r w:rsidRPr="00283711">
        <w:rPr>
          <w:rFonts w:cs="Arial"/>
          <w:b/>
          <w:bCs/>
          <w:color w:val="000000"/>
          <w:lang w:eastAsia="en-GB"/>
        </w:rPr>
        <w:t>Tijela za praćenje (nadzor):</w:t>
      </w:r>
      <w:r w:rsidRPr="00283711">
        <w:rPr>
          <w:rFonts w:cs="Arial"/>
          <w:color w:val="000000"/>
          <w:lang w:eastAsia="en-GB"/>
        </w:rPr>
        <w:t xml:space="preserve"> MZOE-NKT</w:t>
      </w:r>
    </w:p>
    <w:p w14:paraId="4133736F" w14:textId="77777777" w:rsidR="00283711" w:rsidRPr="00283711" w:rsidRDefault="00283711" w:rsidP="00283711">
      <w:pPr>
        <w:suppressAutoHyphens w:val="0"/>
        <w:spacing w:before="0" w:after="0" w:line="240" w:lineRule="auto"/>
        <w:rPr>
          <w:rFonts w:cs="Arial"/>
          <w:color w:val="000000"/>
          <w:lang w:eastAsia="en-GB"/>
        </w:rPr>
      </w:pPr>
      <w:r w:rsidRPr="00283711">
        <w:rPr>
          <w:rFonts w:cs="Arial"/>
          <w:b/>
          <w:bCs/>
          <w:color w:val="000000"/>
          <w:lang w:eastAsia="en-GB"/>
        </w:rPr>
        <w:t xml:space="preserve">Učinak: </w:t>
      </w:r>
      <w:r w:rsidRPr="00283711">
        <w:rPr>
          <w:rFonts w:cs="Arial"/>
          <w:color w:val="000000"/>
          <w:lang w:eastAsia="en-GB"/>
        </w:rPr>
        <w:t>Smanjenje toplinskih potreba i potrošnje energije u višestambenim zgradama i povećanje korištenja OIE te posljedično smanjenje emisija CO</w:t>
      </w:r>
      <w:r w:rsidRPr="00283711">
        <w:rPr>
          <w:rFonts w:cs="Arial"/>
          <w:color w:val="000000"/>
          <w:vertAlign w:val="subscript"/>
          <w:lang w:eastAsia="en-GB"/>
        </w:rPr>
        <w:t>2</w:t>
      </w:r>
      <w:r w:rsidRPr="00283711">
        <w:rPr>
          <w:rFonts w:cs="Arial"/>
          <w:color w:val="000000"/>
          <w:lang w:eastAsia="en-GB"/>
        </w:rPr>
        <w:t>; procijenjene uštede u 2030. 1,48 PJ (35,40 ktoe); procijenjeno smanjenje emisija CO</w:t>
      </w:r>
      <w:r w:rsidRPr="00283711">
        <w:rPr>
          <w:rFonts w:cs="Arial"/>
          <w:color w:val="000000"/>
          <w:vertAlign w:val="subscript"/>
          <w:lang w:eastAsia="en-GB"/>
        </w:rPr>
        <w:t>2</w:t>
      </w:r>
      <w:r w:rsidRPr="00283711">
        <w:rPr>
          <w:rFonts w:cs="Arial"/>
          <w:color w:val="000000"/>
          <w:lang w:eastAsia="en-GB"/>
        </w:rPr>
        <w:t xml:space="preserve"> u 2030. 40,74 ktCO</w:t>
      </w:r>
      <w:r w:rsidRPr="00283711">
        <w:rPr>
          <w:rFonts w:cs="Arial"/>
          <w:color w:val="000000"/>
          <w:vertAlign w:val="subscript"/>
          <w:lang w:eastAsia="en-GB"/>
        </w:rPr>
        <w:t>2e</w:t>
      </w:r>
      <w:r w:rsidRPr="00283711">
        <w:rPr>
          <w:rFonts w:cs="Arial"/>
          <w:color w:val="000000"/>
          <w:lang w:eastAsia="en-GB"/>
        </w:rPr>
        <w:t>; kumulativne uštede energije u razdoblju 2021.-2030. 8,15 PJ (194,70 ktoe); kumulativno smanjenje emisija CO</w:t>
      </w:r>
      <w:r w:rsidRPr="00283711">
        <w:rPr>
          <w:rFonts w:cs="Arial"/>
          <w:color w:val="000000"/>
          <w:vertAlign w:val="subscript"/>
          <w:lang w:eastAsia="en-GB"/>
        </w:rPr>
        <w:t>2</w:t>
      </w:r>
      <w:r w:rsidRPr="00283711">
        <w:rPr>
          <w:rFonts w:cs="Arial"/>
          <w:color w:val="000000"/>
          <w:lang w:eastAsia="en-GB"/>
        </w:rPr>
        <w:t xml:space="preserve"> u razdoblju 2021.-2030. 232,17 ktCO</w:t>
      </w:r>
      <w:r w:rsidRPr="00283711">
        <w:rPr>
          <w:rFonts w:cs="Arial"/>
          <w:color w:val="000000"/>
          <w:vertAlign w:val="subscript"/>
          <w:lang w:eastAsia="en-GB"/>
        </w:rPr>
        <w:t>2e</w:t>
      </w:r>
    </w:p>
    <w:p w14:paraId="6DE04B7A" w14:textId="77777777" w:rsidR="00283711" w:rsidRPr="00283711" w:rsidRDefault="00283711" w:rsidP="00283711">
      <w:pPr>
        <w:suppressAutoHyphens w:val="0"/>
        <w:spacing w:before="0" w:after="0" w:line="240" w:lineRule="auto"/>
        <w:rPr>
          <w:rFonts w:eastAsia="Calibri" w:cs="Arial"/>
          <w:color w:val="000000"/>
        </w:rPr>
      </w:pPr>
      <w:r w:rsidRPr="00283711">
        <w:rPr>
          <w:rFonts w:cs="Arial"/>
          <w:b/>
          <w:bCs/>
          <w:color w:val="000000"/>
          <w:lang w:eastAsia="en-GB"/>
        </w:rPr>
        <w:t>Metoda praćenja:</w:t>
      </w:r>
      <w:r w:rsidRPr="00283711">
        <w:rPr>
          <w:rFonts w:cs="Arial"/>
          <w:color w:val="000000"/>
          <w:lang w:eastAsia="en-GB"/>
        </w:rPr>
        <w:t xml:space="preserve"> Sustav za praćenje, mjerenje i verifikaciju ušteda energije (SMiV), metodom odozdo-prema-gore za integralnu obnovu zgrada</w:t>
      </w:r>
    </w:p>
    <w:p w14:paraId="50BC8593" w14:textId="77777777" w:rsidR="00283711" w:rsidRPr="00283711" w:rsidRDefault="00283711" w:rsidP="00283711">
      <w:pPr>
        <w:suppressAutoHyphens w:val="0"/>
        <w:spacing w:before="0" w:after="0" w:line="240" w:lineRule="auto"/>
        <w:rPr>
          <w:rFonts w:eastAsia="Calibri" w:cs="Arial"/>
          <w:color w:val="000000"/>
        </w:rPr>
      </w:pPr>
      <w:r w:rsidRPr="00283711">
        <w:rPr>
          <w:rFonts w:cs="Arial"/>
          <w:b/>
          <w:bCs/>
          <w:color w:val="000000"/>
          <w:lang w:eastAsia="en-GB"/>
        </w:rPr>
        <w:t xml:space="preserve">Povezanost s drugim dimenzijama: </w:t>
      </w:r>
      <w:r w:rsidRPr="00283711">
        <w:rPr>
          <w:rFonts w:cs="Arial"/>
          <w:color w:val="000000"/>
          <w:lang w:eastAsia="en-GB"/>
        </w:rPr>
        <w:t xml:space="preserve">izravna povezanost s dimenzijom dekarbonizacije, jer se kroz energetsku obnovu potiče i korištenje OIE u zgradama </w:t>
      </w:r>
    </w:p>
    <w:p w14:paraId="6B5D34C9" w14:textId="77777777" w:rsidR="00283711" w:rsidRPr="00283711" w:rsidRDefault="00283711" w:rsidP="00283711">
      <w:pPr>
        <w:suppressAutoHyphens w:val="0"/>
        <w:spacing w:before="0" w:after="0" w:line="240" w:lineRule="auto"/>
        <w:rPr>
          <w:rFonts w:eastAsia="Calibri" w:cs="Arial"/>
          <w:color w:val="000000"/>
        </w:rPr>
      </w:pPr>
      <w:r w:rsidRPr="00283711">
        <w:rPr>
          <w:rFonts w:cs="Arial"/>
          <w:b/>
          <w:bCs/>
          <w:color w:val="000000"/>
          <w:lang w:eastAsia="en-GB"/>
        </w:rPr>
        <w:t xml:space="preserve">Povezanost s prilagodbom klimatskim promjenama: </w:t>
      </w:r>
      <w:r w:rsidRPr="00283711">
        <w:rPr>
          <w:rFonts w:cs="Arial"/>
          <w:color w:val="000000"/>
          <w:lang w:eastAsia="en-GB"/>
        </w:rPr>
        <w:t>energetskom obnovom zgrade postaju otpornije na neke od posljedica klimatskih promjena, kao što su ekstremni temperaturni uvjeti</w:t>
      </w:r>
    </w:p>
    <w:p w14:paraId="71BF01CC" w14:textId="77777777" w:rsidR="00283711" w:rsidRPr="00283711" w:rsidRDefault="00283711" w:rsidP="00283711">
      <w:pPr>
        <w:suppressAutoHyphens w:val="0"/>
        <w:spacing w:before="0" w:after="0" w:line="240" w:lineRule="auto"/>
        <w:rPr>
          <w:rFonts w:eastAsia="Calibri" w:cs="Arial"/>
        </w:rPr>
      </w:pPr>
      <w:r w:rsidRPr="00283711">
        <w:rPr>
          <w:rFonts w:cs="Arial"/>
          <w:b/>
          <w:bCs/>
          <w:color w:val="000000"/>
          <w:lang w:eastAsia="en-GB"/>
        </w:rPr>
        <w:t>Istraživanje i razvoj</w:t>
      </w:r>
      <w:r w:rsidRPr="00283711">
        <w:rPr>
          <w:rFonts w:cs="Arial"/>
          <w:color w:val="000000"/>
          <w:lang w:eastAsia="en-GB"/>
        </w:rPr>
        <w:t>: energetska obnova, pogotovo njezino usmjeravanje na nZEB standard, poticajna je za istraživanje i razvoj u području novih građevinskih materijala, naprednih tehničkih sustava u zgradama i sustava upravljanja i automatizacije temeljenih na informacijsko-komunikacijskim tehnologijama</w:t>
      </w:r>
    </w:p>
    <w:p w14:paraId="6685F715" w14:textId="77777777" w:rsidR="00BB64DD" w:rsidRDefault="00BB64DD" w:rsidP="00286B4C">
      <w:pPr>
        <w:pStyle w:val="NormalWeb"/>
        <w:spacing w:after="120" w:line="288" w:lineRule="auto"/>
        <w:jc w:val="both"/>
        <w:rPr>
          <w:rFonts w:ascii="Arial" w:hAnsi="Arial" w:cs="Arial"/>
          <w:b/>
          <w:bCs/>
          <w:color w:val="000000"/>
          <w:sz w:val="22"/>
          <w:szCs w:val="22"/>
        </w:rPr>
      </w:pPr>
    </w:p>
    <w:p w14:paraId="0734561B" w14:textId="2E3C9DFE" w:rsidR="00C550CA" w:rsidRPr="00286B4C" w:rsidRDefault="009B0451"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ENU-4: </w:t>
      </w:r>
      <w:r w:rsidR="00961B1F" w:rsidRPr="00286B4C">
        <w:rPr>
          <w:rFonts w:ascii="Arial" w:hAnsi="Arial" w:cs="Arial"/>
          <w:b/>
          <w:bCs/>
          <w:color w:val="000000"/>
          <w:sz w:val="22"/>
          <w:szCs w:val="22"/>
        </w:rPr>
        <w:t>Program energetske obnove obiteljskih kuća</w:t>
      </w:r>
    </w:p>
    <w:p w14:paraId="29F7FBA7" w14:textId="77777777" w:rsidR="00725360" w:rsidRPr="00286B4C" w:rsidRDefault="00725360" w:rsidP="00286B4C">
      <w:pPr>
        <w:pStyle w:val="NormalWeb"/>
        <w:spacing w:after="120" w:line="288" w:lineRule="auto"/>
        <w:jc w:val="both"/>
        <w:rPr>
          <w:rFonts w:cs="Arial"/>
          <w:b/>
          <w:bCs/>
          <w:color w:val="000000"/>
        </w:rPr>
      </w:pPr>
      <w:r w:rsidRPr="00286B4C">
        <w:rPr>
          <w:rFonts w:ascii="Arial" w:hAnsi="Arial" w:cs="Arial"/>
          <w:b/>
          <w:bCs/>
          <w:color w:val="000000"/>
          <w:sz w:val="22"/>
          <w:szCs w:val="22"/>
        </w:rPr>
        <w:t>Financijska mjera; provedba 2021. -2030.</w:t>
      </w:r>
    </w:p>
    <w:p w14:paraId="2AF6634F" w14:textId="4D56D970" w:rsidR="00294E35" w:rsidRDefault="00725360" w:rsidP="00286B4C">
      <w:pPr>
        <w:pStyle w:val="NormalWeb"/>
        <w:spacing w:after="120" w:line="288" w:lineRule="auto"/>
        <w:jc w:val="both"/>
        <w:rPr>
          <w:rFonts w:ascii="Arial" w:hAnsi="Arial"/>
          <w:sz w:val="22"/>
          <w:szCs w:val="22"/>
        </w:rPr>
      </w:pPr>
      <w:r w:rsidRPr="00286B4C">
        <w:rPr>
          <w:rFonts w:ascii="Arial" w:hAnsi="Arial" w:cs="Arial"/>
          <w:b/>
          <w:bCs/>
          <w:color w:val="000000"/>
          <w:sz w:val="22"/>
          <w:szCs w:val="22"/>
        </w:rPr>
        <w:t>Cilj i opis mjere</w:t>
      </w:r>
      <w:r w:rsidRPr="00223709">
        <w:rPr>
          <w:rFonts w:cs="Arial"/>
          <w:b/>
          <w:bCs/>
          <w:color w:val="000000"/>
          <w:lang w:eastAsia="en-GB"/>
        </w:rPr>
        <w:t>:</w:t>
      </w:r>
      <w:r w:rsidRPr="00223709">
        <w:rPr>
          <w:rFonts w:cs="Arial"/>
          <w:color w:val="000000"/>
          <w:lang w:eastAsia="en-GB"/>
        </w:rPr>
        <w:t xml:space="preserve"> </w:t>
      </w:r>
      <w:r w:rsidRPr="00286B4C">
        <w:rPr>
          <w:rFonts w:ascii="Arial" w:hAnsi="Arial"/>
          <w:sz w:val="22"/>
          <w:szCs w:val="22"/>
        </w:rPr>
        <w:t xml:space="preserve">Program je potrebno koncipirati kao nastavak provedbe Programa energetske obnove obiteljskih kuća iz razdoblja od 2014. do 2020., uz sufinanciranje iz sredstava Fonda za zaštitu okoliša i energetsku učinkovitost. </w:t>
      </w:r>
      <w:r w:rsidR="00294E35" w:rsidRPr="00294E35">
        <w:rPr>
          <w:rFonts w:ascii="Arial" w:hAnsi="Arial"/>
          <w:sz w:val="22"/>
          <w:szCs w:val="22"/>
        </w:rPr>
        <w:t>Potrebno je osigurati kontinuiranu provedbu obnove obiteljskih kuća obnovom javnih poziva za dodjelu bespovratnih sredstava svake godine u razdoblju 2021.-2030.</w:t>
      </w:r>
      <w:r w:rsidR="00294E35">
        <w:rPr>
          <w:rFonts w:ascii="Arial" w:hAnsi="Arial"/>
          <w:sz w:val="22"/>
          <w:szCs w:val="22"/>
        </w:rPr>
        <w:t xml:space="preserve"> </w:t>
      </w:r>
      <w:r w:rsidRPr="00286B4C">
        <w:rPr>
          <w:rFonts w:ascii="Arial" w:hAnsi="Arial"/>
          <w:sz w:val="22"/>
          <w:szCs w:val="22"/>
        </w:rPr>
        <w:t>Primarni izvori sufinanciranja trebaju biti prihodi od prodaje emisijskih jedinica stakleničkih plinova na dražbama te prihodi od naknada koju plaćaju opskrbljivači u sustavu obveze energetske učinkovitosti u slučaju neispunjenja svojih obveza. Programom se treba ostaviti mogućnost provedbe individualnih mjera, ali uz uvažavanje redoslijeda provedbe mjera (npr. zamjenu sustava grijanja učinkovitijim sustavom koji koristi OIE treba omogućiti samo onim kućama koje imaju dobre toplinske karakteristike i ne trebaju zahvate na ovojnici). Snažnije je potrebno poticati obnovu do nZEB standarda. Provedba Programa mora biti praćena snažnim promotivnim aktivnostima. Predviđa se obnavljati oko 350.000 m</w:t>
      </w:r>
      <w:r w:rsidRPr="00286B4C">
        <w:rPr>
          <w:rFonts w:ascii="Arial" w:hAnsi="Arial"/>
          <w:sz w:val="22"/>
          <w:szCs w:val="22"/>
          <w:vertAlign w:val="superscript"/>
        </w:rPr>
        <w:t>2</w:t>
      </w:r>
      <w:r w:rsidRPr="00286B4C">
        <w:rPr>
          <w:rFonts w:ascii="Arial" w:hAnsi="Arial"/>
          <w:sz w:val="22"/>
          <w:szCs w:val="22"/>
        </w:rPr>
        <w:t xml:space="preserve"> obiteljskih kuća godišnje. Uštede su izračunate uz pretpostavku energetske obnove zgrada na razinu zadovoljavanja uvjeta iz Tehničkog propisa propisom o racionalnoj uporabi energije i toplinskoj zaštiti u zgradama, prema razdobljima izgradnje zgrada. Godišnje uštede iznose 0,191 PJ. Pretpostavljeni trošak energetske obnove je 1.500 kn/m</w:t>
      </w:r>
      <w:r w:rsidRPr="00286B4C">
        <w:rPr>
          <w:rFonts w:ascii="Arial" w:hAnsi="Arial"/>
          <w:sz w:val="22"/>
          <w:szCs w:val="22"/>
          <w:vertAlign w:val="superscript"/>
        </w:rPr>
        <w:t>2</w:t>
      </w:r>
      <w:r w:rsidR="00294E35">
        <w:rPr>
          <w:rFonts w:ascii="Arial" w:hAnsi="Arial"/>
          <w:sz w:val="22"/>
          <w:szCs w:val="22"/>
        </w:rPr>
        <w:t>.</w:t>
      </w:r>
    </w:p>
    <w:p w14:paraId="18C3AE50" w14:textId="69CF0E73" w:rsidR="00294E35" w:rsidRPr="0023001E" w:rsidRDefault="00294E35" w:rsidP="00294E35">
      <w:pPr>
        <w:pStyle w:val="NormalWeb"/>
        <w:spacing w:after="120" w:line="288" w:lineRule="auto"/>
        <w:jc w:val="both"/>
        <w:rPr>
          <w:b/>
        </w:rPr>
      </w:pPr>
      <w:r w:rsidRPr="0023001E">
        <w:rPr>
          <w:rFonts w:ascii="Arial" w:hAnsi="Arial"/>
          <w:b/>
          <w:sz w:val="22"/>
          <w:szCs w:val="22"/>
        </w:rPr>
        <w:t xml:space="preserve">Napomena: ciljevi, uvjeti i aktivnosti te navedene brojčane vrijednosti su okvirne, a detaljno će se utvrditi u samom Programu energetske obnove </w:t>
      </w:r>
      <w:r>
        <w:rPr>
          <w:rFonts w:ascii="Arial" w:hAnsi="Arial"/>
          <w:b/>
          <w:sz w:val="22"/>
          <w:szCs w:val="22"/>
        </w:rPr>
        <w:t>obiteljskih kuća</w:t>
      </w:r>
      <w:r w:rsidRPr="0023001E">
        <w:rPr>
          <w:rFonts w:ascii="Arial" w:hAnsi="Arial"/>
          <w:b/>
          <w:sz w:val="22"/>
          <w:szCs w:val="22"/>
        </w:rPr>
        <w:t xml:space="preserve"> za razdoblje od 2021. do 2030.</w:t>
      </w:r>
    </w:p>
    <w:p w14:paraId="19E146A7" w14:textId="77777777" w:rsidR="00725360" w:rsidRPr="00223709" w:rsidRDefault="00725360" w:rsidP="00725360">
      <w:pPr>
        <w:suppressAutoHyphens w:val="0"/>
        <w:spacing w:before="0" w:after="0" w:line="240" w:lineRule="auto"/>
        <w:rPr>
          <w:rFonts w:eastAsia="Calibri" w:cs="Arial"/>
          <w:color w:val="000000"/>
        </w:rPr>
      </w:pPr>
    </w:p>
    <w:p w14:paraId="7260315B" w14:textId="77777777" w:rsidR="00725360" w:rsidRPr="00223709" w:rsidRDefault="00725360" w:rsidP="00725360">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6F527534" w14:textId="77777777" w:rsidR="00725360" w:rsidRPr="00223709" w:rsidRDefault="00725360" w:rsidP="007632F8">
      <w:pPr>
        <w:numPr>
          <w:ilvl w:val="0"/>
          <w:numId w:val="91"/>
        </w:numPr>
        <w:suppressAutoHyphens w:val="0"/>
        <w:spacing w:before="0" w:after="0" w:line="240" w:lineRule="auto"/>
        <w:rPr>
          <w:rFonts w:eastAsia="Calibri" w:cs="Arial"/>
          <w:color w:val="000000"/>
        </w:rPr>
      </w:pPr>
      <w:r w:rsidRPr="00223709">
        <w:rPr>
          <w:rFonts w:eastAsia="Calibri" w:cs="Arial"/>
          <w:color w:val="000000"/>
        </w:rPr>
        <w:t>Tijekom 2020. godine MGIPU će izraditi Program energetske obnove obiteljskih kuća za razdoblje od 2021. do 2030. godine, kojega usvaja Vlada;</w:t>
      </w:r>
    </w:p>
    <w:p w14:paraId="4967438D" w14:textId="77777777" w:rsidR="00725360" w:rsidRPr="00223709" w:rsidRDefault="00725360" w:rsidP="007632F8">
      <w:pPr>
        <w:numPr>
          <w:ilvl w:val="0"/>
          <w:numId w:val="91"/>
        </w:numPr>
        <w:suppressAutoHyphens w:val="0"/>
        <w:spacing w:before="0" w:after="0" w:line="240" w:lineRule="auto"/>
        <w:rPr>
          <w:rFonts w:eastAsia="Calibri" w:cs="Arial"/>
          <w:color w:val="000000"/>
        </w:rPr>
      </w:pPr>
      <w:r w:rsidRPr="00223709">
        <w:rPr>
          <w:rFonts w:eastAsia="Calibri" w:cs="Arial"/>
          <w:color w:val="000000"/>
        </w:rPr>
        <w:t>Tijekom 2020. godine Vlada usvaja novi Plan korištenja financijskih sredstava dobivenih od prodaje emisijskih jedinica putem dražbi u Republici Hrvatskoj za razdoblje od 2021. godine u kojem se predviđaju dostatna sredstva za provedbu ove mjere kao i Plan korištenja sredstava od naknade koju plaćaju opskrbljivači u sustavu obveze energetske učinkovitosti;</w:t>
      </w:r>
    </w:p>
    <w:p w14:paraId="19975536" w14:textId="17973BB3" w:rsidR="00725360" w:rsidRPr="00223709" w:rsidRDefault="00725360" w:rsidP="007632F8">
      <w:pPr>
        <w:numPr>
          <w:ilvl w:val="0"/>
          <w:numId w:val="91"/>
        </w:numPr>
        <w:suppressAutoHyphens w:val="0"/>
        <w:spacing w:before="0" w:after="0" w:line="240" w:lineRule="auto"/>
        <w:rPr>
          <w:rFonts w:eastAsia="Calibri" w:cs="Arial"/>
          <w:color w:val="000000"/>
        </w:rPr>
      </w:pPr>
      <w:r w:rsidRPr="00223709">
        <w:rPr>
          <w:rFonts w:eastAsia="Calibri" w:cs="Arial"/>
          <w:color w:val="000000"/>
        </w:rPr>
        <w:t xml:space="preserve">FZOEU se zadužuje za cjelokupnu provedbu ove mjere raspisivanjem godišnjih javnih poziva, čije kriterije razvija u suradnji s MGIPU. </w:t>
      </w:r>
    </w:p>
    <w:p w14:paraId="5DACBC0D" w14:textId="77777777" w:rsidR="00725360" w:rsidRPr="00223709" w:rsidRDefault="00725360" w:rsidP="00725360">
      <w:pPr>
        <w:suppressAutoHyphens w:val="0"/>
        <w:spacing w:before="0" w:after="0" w:line="240" w:lineRule="auto"/>
        <w:rPr>
          <w:rFonts w:cs="Arial"/>
          <w:b/>
          <w:bCs/>
          <w:color w:val="000000"/>
          <w:lang w:eastAsia="en-GB"/>
        </w:rPr>
      </w:pPr>
    </w:p>
    <w:p w14:paraId="46B72AD8" w14:textId="77777777" w:rsidR="00725360" w:rsidRPr="00223709" w:rsidRDefault="00725360" w:rsidP="00725360">
      <w:pPr>
        <w:suppressAutoHyphens w:val="0"/>
        <w:spacing w:before="0" w:after="0" w:line="240" w:lineRule="auto"/>
        <w:rPr>
          <w:rFonts w:eastAsia="Calibri" w:cs="Arial"/>
          <w:color w:val="000000"/>
        </w:rPr>
      </w:pPr>
      <w:r w:rsidRPr="00223709">
        <w:rPr>
          <w:rFonts w:cs="Arial"/>
          <w:b/>
          <w:bCs/>
          <w:color w:val="000000"/>
          <w:lang w:eastAsia="en-GB"/>
        </w:rPr>
        <w:t xml:space="preserve">Sredstva potrebna za provedbu: </w:t>
      </w:r>
      <w:r w:rsidRPr="00223709">
        <w:rPr>
          <w:rFonts w:cs="Arial"/>
          <w:color w:val="000000"/>
          <w:lang w:eastAsia="en-GB"/>
        </w:rPr>
        <w:t>Procijenjeni investicijski trošak u razdoblju 2021.-2030. je 5,25 milijardi kn.</w:t>
      </w:r>
    </w:p>
    <w:p w14:paraId="7BF37E6D" w14:textId="77777777" w:rsidR="00725360" w:rsidRPr="00223709" w:rsidRDefault="00725360" w:rsidP="00725360">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Potrebno je osigurati bespovratna sredstava iz FZOEU u iznosu do 60% opravdanih troškova opreme i radova energetske obnove. Sredstva FZOEU osigurava iz prihoda dobivenih od prodaje emisijskih jedinica putem dražbi te prihoda iz sustava obveza energetske učinkovitosti kao i drugih izvora prihoda FZOEU-a.</w:t>
      </w:r>
    </w:p>
    <w:p w14:paraId="47461342" w14:textId="48C20BEC" w:rsidR="00725360" w:rsidRPr="00223709" w:rsidRDefault="00725360" w:rsidP="00725360">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MGIPU – izrada Programa, definiranje kriterija, operativno praćenje provedbe Programa; FZOEU – cjelokupna provedba Programa putem godišnjih javnih poziva</w:t>
      </w:r>
    </w:p>
    <w:p w14:paraId="665DA7F6" w14:textId="77777777" w:rsidR="00725360" w:rsidRPr="00223709" w:rsidRDefault="00725360" w:rsidP="00725360">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3201722B" w14:textId="77777777" w:rsidR="00725360" w:rsidRPr="00223709" w:rsidRDefault="00725360" w:rsidP="00725360">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toplinskih potreba i potrošnje energije u obiteljskim kućama i povećanje korištenja OIE te posljedično smanjenje emisija CO</w:t>
      </w:r>
      <w:r w:rsidRPr="00223709">
        <w:rPr>
          <w:rFonts w:cs="Arial"/>
          <w:color w:val="000000"/>
          <w:vertAlign w:val="subscript"/>
          <w:lang w:eastAsia="en-GB"/>
        </w:rPr>
        <w:t>2</w:t>
      </w:r>
      <w:r w:rsidRPr="00223709">
        <w:rPr>
          <w:rFonts w:cs="Arial"/>
          <w:color w:val="000000"/>
          <w:lang w:eastAsia="en-GB"/>
        </w:rPr>
        <w:t>; procijenjene uštede u 2030.</w:t>
      </w:r>
      <w:r w:rsidRPr="00223709">
        <w:rPr>
          <w:rFonts w:eastAsia="Calibri" w:cs="Arial"/>
        </w:rPr>
        <w:t xml:space="preserve"> </w:t>
      </w:r>
      <w:r w:rsidRPr="00223709">
        <w:rPr>
          <w:rFonts w:cs="Arial"/>
          <w:color w:val="000000"/>
          <w:lang w:eastAsia="en-GB"/>
        </w:rPr>
        <w:t>1,91 PJ (45,60 ktoe); procijenjeno smanjenje emisija CO</w:t>
      </w:r>
      <w:r w:rsidRPr="00223709">
        <w:rPr>
          <w:rFonts w:cs="Arial"/>
          <w:color w:val="000000"/>
          <w:vertAlign w:val="subscript"/>
          <w:lang w:eastAsia="en-GB"/>
        </w:rPr>
        <w:t>2</w:t>
      </w:r>
      <w:r w:rsidRPr="00223709">
        <w:rPr>
          <w:rFonts w:cs="Arial"/>
          <w:color w:val="000000"/>
          <w:lang w:eastAsia="en-GB"/>
        </w:rPr>
        <w:t xml:space="preserve"> u 2030. 52,57 ktCO</w:t>
      </w:r>
      <w:r w:rsidRPr="00223709">
        <w:rPr>
          <w:rFonts w:cs="Arial"/>
          <w:color w:val="000000"/>
          <w:vertAlign w:val="subscript"/>
          <w:lang w:eastAsia="en-GB"/>
        </w:rPr>
        <w:t>2e</w:t>
      </w:r>
      <w:r w:rsidRPr="00223709">
        <w:rPr>
          <w:rFonts w:cs="Arial"/>
          <w:color w:val="000000"/>
          <w:lang w:eastAsia="en-GB"/>
        </w:rPr>
        <w:t>; kumulativne uštede energije u razdoblju 2021.-2030. 10,50 PJ (250,80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299,12 ktCO</w:t>
      </w:r>
      <w:r w:rsidRPr="00223709">
        <w:rPr>
          <w:rFonts w:cs="Arial"/>
          <w:color w:val="000000"/>
          <w:vertAlign w:val="subscript"/>
          <w:lang w:eastAsia="en-GB"/>
        </w:rPr>
        <w:t>2e</w:t>
      </w:r>
    </w:p>
    <w:p w14:paraId="7C85A160" w14:textId="77777777" w:rsidR="00725360" w:rsidRPr="00223709" w:rsidRDefault="00725360" w:rsidP="00725360">
      <w:pPr>
        <w:suppressAutoHyphens w:val="0"/>
        <w:spacing w:before="0" w:after="0" w:line="240" w:lineRule="auto"/>
        <w:rPr>
          <w:rFonts w:eastAsia="Calibri" w:cs="Arial"/>
          <w:color w:val="000000"/>
        </w:rPr>
      </w:pPr>
      <w:r w:rsidRPr="00223709">
        <w:rPr>
          <w:rFonts w:cs="Arial"/>
          <w:b/>
          <w:bCs/>
          <w:color w:val="000000"/>
          <w:lang w:eastAsia="en-GB"/>
        </w:rPr>
        <w:t>Metoda praćenja:</w:t>
      </w:r>
      <w:r w:rsidRPr="00223709">
        <w:rPr>
          <w:rFonts w:cs="Arial"/>
          <w:color w:val="000000"/>
          <w:lang w:eastAsia="en-GB"/>
        </w:rPr>
        <w:t xml:space="preserve"> Sustav za praćenje, mjerenje i verifikaciju ušteda energije (SMiV), metodom odozdo-prema-gore za integralnu obnovu zgrada ili drugom odgovarajućom metodom, ako se radi o provedbi individualnih mjera</w:t>
      </w:r>
    </w:p>
    <w:p w14:paraId="2D8CE433" w14:textId="77777777" w:rsidR="00725360" w:rsidRPr="00223709" w:rsidRDefault="00725360" w:rsidP="00725360">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 xml:space="preserve">izravna povezanost s dimenzijom dekarbonizacije, jer se kroz energetsku obnovu potiče i korištenje OIE u zgradama </w:t>
      </w:r>
    </w:p>
    <w:p w14:paraId="111B49FA" w14:textId="77777777" w:rsidR="00725360" w:rsidRPr="00223709" w:rsidRDefault="00725360" w:rsidP="00725360">
      <w:pPr>
        <w:suppressAutoHyphens w:val="0"/>
        <w:spacing w:before="0" w:after="0" w:line="240" w:lineRule="auto"/>
        <w:rPr>
          <w:rFonts w:cs="Arial"/>
          <w:b/>
          <w:bCs/>
          <w:color w:val="000000"/>
          <w:lang w:eastAsia="en-GB"/>
        </w:rPr>
      </w:pPr>
      <w:r w:rsidRPr="00223709">
        <w:rPr>
          <w:rFonts w:cs="Arial"/>
          <w:b/>
          <w:bCs/>
          <w:color w:val="000000"/>
          <w:lang w:eastAsia="en-GB"/>
        </w:rPr>
        <w:t xml:space="preserve">Povezanost s prilagodbom klimatskim promjenama: </w:t>
      </w:r>
      <w:r w:rsidRPr="00223709">
        <w:rPr>
          <w:rFonts w:cs="Arial"/>
          <w:color w:val="000000"/>
          <w:lang w:eastAsia="en-GB"/>
        </w:rPr>
        <w:t>energetskom obnovom zgrade postaju otpornije na neke od posljedica klimatskih promjena, kao što su ekstremni temperaturni uvjeti</w:t>
      </w:r>
      <w:r w:rsidRPr="00223709">
        <w:rPr>
          <w:rFonts w:cs="Arial"/>
          <w:b/>
          <w:bCs/>
          <w:color w:val="000000"/>
          <w:lang w:eastAsia="en-GB"/>
        </w:rPr>
        <w:t xml:space="preserve"> </w:t>
      </w:r>
    </w:p>
    <w:p w14:paraId="5EF1C04E" w14:textId="77777777" w:rsidR="00725360" w:rsidRPr="00223709" w:rsidRDefault="00725360" w:rsidP="00725360">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energetska obnova, pogotovo njezino usmjeravanje na nZEB standard, poticajna je za istraživanje i razvoj u području novih građevinskih materijala, naprednih tehničkih sustava u zgradama i sustava upravljanja i automatizacije temeljenih na informacijsko-komunikacijskim tehnologijama</w:t>
      </w:r>
    </w:p>
    <w:p w14:paraId="3176E0EE" w14:textId="3946A77D" w:rsidR="00961B1F" w:rsidRPr="00286B4C" w:rsidRDefault="00DA25AD"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ENU-5: </w:t>
      </w:r>
      <w:r w:rsidR="00961B1F" w:rsidRPr="00286B4C">
        <w:rPr>
          <w:rFonts w:ascii="Arial" w:hAnsi="Arial" w:cs="Arial"/>
          <w:b/>
          <w:bCs/>
          <w:color w:val="000000"/>
          <w:sz w:val="22"/>
          <w:szCs w:val="22"/>
        </w:rPr>
        <w:t xml:space="preserve">Program energetske obnove zgrada javnog sektora </w:t>
      </w:r>
    </w:p>
    <w:p w14:paraId="3D5C1EB5" w14:textId="77777777" w:rsidR="00D3659E" w:rsidRPr="00286B4C" w:rsidRDefault="00D3659E" w:rsidP="00286B4C">
      <w:pPr>
        <w:pStyle w:val="NormalWeb"/>
        <w:spacing w:after="120" w:line="288" w:lineRule="auto"/>
        <w:jc w:val="both"/>
        <w:rPr>
          <w:rFonts w:cs="Arial"/>
          <w:b/>
          <w:bCs/>
          <w:color w:val="000000"/>
        </w:rPr>
      </w:pPr>
      <w:r w:rsidRPr="00286B4C">
        <w:rPr>
          <w:rFonts w:ascii="Arial" w:hAnsi="Arial" w:cs="Arial"/>
          <w:b/>
          <w:bCs/>
          <w:color w:val="000000"/>
          <w:sz w:val="22"/>
          <w:szCs w:val="22"/>
        </w:rPr>
        <w:t>Financijska mjera; provedba 2021. -2030.</w:t>
      </w:r>
    </w:p>
    <w:p w14:paraId="3764FAE2" w14:textId="77CF5B04" w:rsidR="0023001E" w:rsidRDefault="00D3659E" w:rsidP="00286B4C">
      <w:pPr>
        <w:pStyle w:val="NormalWeb"/>
        <w:spacing w:after="120" w:line="288" w:lineRule="auto"/>
        <w:jc w:val="both"/>
        <w:rPr>
          <w:rFonts w:ascii="Arial" w:hAnsi="Arial"/>
          <w:sz w:val="22"/>
          <w:szCs w:val="22"/>
        </w:rPr>
      </w:pPr>
      <w:r w:rsidRPr="00286B4C">
        <w:rPr>
          <w:rFonts w:ascii="Arial" w:hAnsi="Arial" w:cs="Arial"/>
          <w:b/>
          <w:bCs/>
          <w:color w:val="000000"/>
          <w:sz w:val="22"/>
          <w:szCs w:val="22"/>
        </w:rPr>
        <w:t>Cilj i opis mjere</w:t>
      </w:r>
      <w:r w:rsidRPr="00223709">
        <w:rPr>
          <w:rFonts w:cs="Arial"/>
          <w:b/>
          <w:bCs/>
          <w:color w:val="000000"/>
          <w:lang w:eastAsia="en-GB"/>
        </w:rPr>
        <w:t>:</w:t>
      </w:r>
      <w:r w:rsidRPr="00223709">
        <w:rPr>
          <w:rFonts w:cs="Arial"/>
          <w:color w:val="000000"/>
          <w:lang w:eastAsia="en-GB"/>
        </w:rPr>
        <w:t xml:space="preserve"> </w:t>
      </w:r>
      <w:r w:rsidRPr="00286B4C">
        <w:rPr>
          <w:rFonts w:ascii="Arial" w:hAnsi="Arial"/>
          <w:sz w:val="22"/>
          <w:szCs w:val="22"/>
        </w:rPr>
        <w:t>Mjera predstavlja nastavak provedbe Programa energetske obnove zgrada javnog sektora iz razdoblja 2016. do 2020. U tu svrhu, potrebno je planirati sredstva iz ESI fondova za sljedeće programsko razdoblje 2021. -2027. (s provedbom do 2030). Sredstva je potrebno planirati 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 Tržišne modele potrebno je kombinirati s bespovratnim sredstvima s ciljem postizanja nZEB standarda. Osim ESI sredstava, FZOEU je također dužan planirati sredstva za ovaj Program i to u dijelu koji se odnosi na sufinanciranje energetske obnove zgrada središnje države po ESCO modelu. Za zgrade koje nisu prikladne za tržišne modele, potrebno je osigurati bespovratna sredstva prema istim uvjetima kao u dosadašnjem programu. Obnovu zgrada javnog sektora nužno je usmjeriti prema nZEB standardu svugdje gdje je to tehnički izvedivo. Predviđa se obnavljati oko 350.000 m</w:t>
      </w:r>
      <w:r w:rsidRPr="00286B4C">
        <w:rPr>
          <w:rFonts w:ascii="Arial" w:hAnsi="Arial"/>
          <w:sz w:val="22"/>
          <w:szCs w:val="22"/>
          <w:vertAlign w:val="superscript"/>
        </w:rPr>
        <w:t>2</w:t>
      </w:r>
      <w:r w:rsidRPr="00286B4C">
        <w:rPr>
          <w:rFonts w:ascii="Arial" w:hAnsi="Arial"/>
          <w:sz w:val="22"/>
          <w:szCs w:val="22"/>
        </w:rPr>
        <w:t xml:space="preserve"> javnih zgrada godišnje. Uštede su izračunate uz pretpostavku energetske obnove zgrada na razinu zadovoljavanja uvjeta iz Tehničkog propisa propisom o racionalnoj uporabi energije i toplinskoj zaštiti u zgradama, prema razdobljima izgradnje zgrada. Godišnje uštede iznose 0,169 PJ. Pretpostavljeni trošak energetske obnove je 2.500 kn/m</w:t>
      </w:r>
      <w:r w:rsidRPr="00286B4C">
        <w:rPr>
          <w:rFonts w:ascii="Arial" w:hAnsi="Arial"/>
          <w:sz w:val="22"/>
          <w:szCs w:val="22"/>
          <w:vertAlign w:val="superscript"/>
        </w:rPr>
        <w:t>2</w:t>
      </w:r>
      <w:r w:rsidR="0023001E">
        <w:rPr>
          <w:rFonts w:ascii="Arial" w:hAnsi="Arial"/>
          <w:sz w:val="22"/>
          <w:szCs w:val="22"/>
        </w:rPr>
        <w:t>.</w:t>
      </w:r>
    </w:p>
    <w:p w14:paraId="0206388E" w14:textId="3DE4263F" w:rsidR="0023001E" w:rsidRPr="00286B4C" w:rsidRDefault="0023001E" w:rsidP="00286B4C">
      <w:pPr>
        <w:pStyle w:val="NormalWeb"/>
        <w:spacing w:after="120" w:line="288" w:lineRule="auto"/>
        <w:jc w:val="both"/>
      </w:pPr>
      <w:r w:rsidRPr="0023001E">
        <w:rPr>
          <w:rFonts w:ascii="Arial" w:hAnsi="Arial"/>
          <w:b/>
          <w:sz w:val="22"/>
          <w:szCs w:val="22"/>
        </w:rPr>
        <w:t>Napomena: ciljevi, uvjeti i aktivnosti te navedene brojčane vrijednosti su okvirne, a detaljno će se utvrditi u samom Programu energetske obnove zgrada javnog sektora za razdoblje od 2021. do 2030.</w:t>
      </w:r>
    </w:p>
    <w:p w14:paraId="5D6EE1C1" w14:textId="77777777" w:rsidR="00D3659E" w:rsidRPr="00223709" w:rsidRDefault="00D3659E" w:rsidP="00D3659E">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01D78880" w14:textId="77777777" w:rsidR="00D3659E" w:rsidRPr="00223709" w:rsidRDefault="00D3659E"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Tijekom 2020. godine MGIPU će izraditi Program energetske obnove zgrada javnog sektora za razdoblje od 2021. do 2030. godine, kojega usvaja Vlada, a koji je temelj za korištenje sredstava ESI fondova u programskom razdoblju od 2021. do 2027. godine kao i temelj za planiranje sredstva FZOEU-a;</w:t>
      </w:r>
    </w:p>
    <w:p w14:paraId="449C52BE" w14:textId="267B573B" w:rsidR="00D3659E" w:rsidRPr="00223709" w:rsidRDefault="007632F8" w:rsidP="00840E2E">
      <w:pPr>
        <w:numPr>
          <w:ilvl w:val="0"/>
          <w:numId w:val="91"/>
        </w:numPr>
        <w:suppressAutoHyphens w:val="0"/>
        <w:spacing w:before="0" w:after="0" w:line="240" w:lineRule="auto"/>
        <w:rPr>
          <w:rFonts w:eastAsia="Calibri" w:cs="Arial"/>
          <w:color w:val="000000"/>
        </w:rPr>
      </w:pPr>
      <w:r>
        <w:rPr>
          <w:rFonts w:eastAsia="Calibri" w:cs="Arial"/>
          <w:color w:val="000000"/>
        </w:rPr>
        <w:t>P</w:t>
      </w:r>
      <w:r w:rsidR="00D3659E" w:rsidRPr="00223709">
        <w:rPr>
          <w:rFonts w:eastAsia="Calibri" w:cs="Arial"/>
          <w:color w:val="000000"/>
        </w:rPr>
        <w:t xml:space="preserve">rovedba </w:t>
      </w:r>
      <w:r>
        <w:rPr>
          <w:rFonts w:eastAsia="Calibri" w:cs="Arial"/>
          <w:color w:val="000000"/>
        </w:rPr>
        <w:t>na način utvrđen Programom</w:t>
      </w:r>
      <w:r w:rsidR="00D3659E" w:rsidRPr="00223709">
        <w:rPr>
          <w:rFonts w:eastAsia="Calibri" w:cs="Arial"/>
          <w:color w:val="000000"/>
        </w:rPr>
        <w:t xml:space="preserve"> </w:t>
      </w:r>
    </w:p>
    <w:p w14:paraId="758CCBD3" w14:textId="6315D86D" w:rsidR="00D3659E" w:rsidRPr="00223709" w:rsidRDefault="00D3659E" w:rsidP="00840E2E">
      <w:pPr>
        <w:numPr>
          <w:ilvl w:val="0"/>
          <w:numId w:val="93"/>
        </w:numPr>
        <w:suppressAutoHyphens w:val="0"/>
        <w:spacing w:before="0" w:after="0" w:line="240" w:lineRule="auto"/>
        <w:rPr>
          <w:rFonts w:eastAsia="Calibri" w:cs="Arial"/>
          <w:color w:val="000000"/>
        </w:rPr>
      </w:pPr>
      <w:r w:rsidRPr="00223709">
        <w:rPr>
          <w:rFonts w:eastAsia="Calibri" w:cs="Arial"/>
          <w:color w:val="000000"/>
        </w:rPr>
        <w:t xml:space="preserve">Za energetsku obnovu zgrada središnje države kao i drugih zgrada javnog sektora , gdje je to izvedivo primjenjivat će se model energetske usluge (ESCO), za čiju je provedbu zadužen APN, a sufinanciranje </w:t>
      </w:r>
      <w:r w:rsidR="00D76DA5">
        <w:rPr>
          <w:rFonts w:eastAsia="Calibri" w:cs="Arial"/>
          <w:color w:val="000000"/>
        </w:rPr>
        <w:t xml:space="preserve">se </w:t>
      </w:r>
      <w:r w:rsidRPr="00223709">
        <w:rPr>
          <w:rFonts w:eastAsia="Calibri" w:cs="Arial"/>
          <w:color w:val="000000"/>
        </w:rPr>
        <w:t xml:space="preserve">osigurava </w:t>
      </w:r>
      <w:r w:rsidR="00D76DA5">
        <w:rPr>
          <w:rFonts w:eastAsia="Calibri" w:cs="Arial"/>
          <w:color w:val="000000"/>
        </w:rPr>
        <w:t xml:space="preserve">iz </w:t>
      </w:r>
      <w:r w:rsidRPr="00223709">
        <w:rPr>
          <w:rFonts w:eastAsia="Calibri" w:cs="Arial"/>
          <w:color w:val="000000"/>
        </w:rPr>
        <w:t>FZOEU</w:t>
      </w:r>
      <w:r w:rsidR="00D76DA5">
        <w:rPr>
          <w:rFonts w:eastAsia="Calibri" w:cs="Arial"/>
          <w:color w:val="000000"/>
        </w:rPr>
        <w:t xml:space="preserve"> i iz drugih izvora uključujući ESI fondove</w:t>
      </w:r>
      <w:r w:rsidRPr="00223709">
        <w:rPr>
          <w:rFonts w:eastAsia="Calibri" w:cs="Arial"/>
          <w:color w:val="000000"/>
        </w:rPr>
        <w:t xml:space="preserve"> – ovaj segment Programa je nužan kako bi se mobilizirao privatni kapital, razvilo tržište energetskih usluga i ostvarili ciljevi bez dodatnog zaduživanja javnog sektora.</w:t>
      </w:r>
    </w:p>
    <w:p w14:paraId="357459F6" w14:textId="77777777" w:rsidR="00D3659E" w:rsidRPr="00223709" w:rsidRDefault="00D3659E" w:rsidP="00D3659E">
      <w:pPr>
        <w:suppressAutoHyphens w:val="0"/>
        <w:spacing w:before="0" w:after="0" w:line="240" w:lineRule="auto"/>
        <w:rPr>
          <w:rFonts w:cs="Arial"/>
          <w:b/>
          <w:bCs/>
          <w:color w:val="000000"/>
          <w:lang w:eastAsia="en-GB"/>
        </w:rPr>
      </w:pPr>
    </w:p>
    <w:p w14:paraId="4BABF308" w14:textId="77777777" w:rsidR="00D3659E" w:rsidRPr="00223709" w:rsidRDefault="00D3659E" w:rsidP="00D3659E">
      <w:pPr>
        <w:suppressAutoHyphens w:val="0"/>
        <w:spacing w:before="0" w:after="0" w:line="240" w:lineRule="auto"/>
        <w:rPr>
          <w:rFonts w:eastAsia="Calibri" w:cs="Arial"/>
          <w:color w:val="000000"/>
        </w:rPr>
      </w:pPr>
      <w:r w:rsidRPr="00223709">
        <w:rPr>
          <w:rFonts w:cs="Arial"/>
          <w:b/>
          <w:bCs/>
          <w:color w:val="000000"/>
          <w:lang w:eastAsia="en-GB"/>
        </w:rPr>
        <w:t xml:space="preserve">Sredstva potrebna za provedbu: </w:t>
      </w:r>
      <w:r w:rsidRPr="00223709">
        <w:rPr>
          <w:rFonts w:cs="Arial"/>
          <w:color w:val="000000"/>
          <w:lang w:eastAsia="en-GB"/>
        </w:rPr>
        <w:t>Procijenjeni investicijski trošak u razdoblju 2021.-2030. je 8,75 milijardi kn.</w:t>
      </w:r>
    </w:p>
    <w:p w14:paraId="1E974A62" w14:textId="77777777" w:rsidR="00D3659E" w:rsidRPr="00223709" w:rsidRDefault="00D3659E" w:rsidP="00D3659E">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Potrebno je osigurati bespovratna sredstava iz ESI fondova kao i u prethodnom Programu u ovisnosti o klimatskoj zoni (primorska ili kontinentalna) i indeksu razvijenosti, uz maksimalno sufinanciranje energetskih pregleda, energetskih certifikata, projektne dokumentacije i tehničke pomoći u pripremi i provedbi projekta. Za ESCO model, FZOEU osigurava sredstva iz prihoda dobivenih od prodaje emisijskih jedinica putem dražbi te prihoda iz sustava obveza energetske učinkovitosti kao i drugih izvora prihoda FZOEU-a.</w:t>
      </w:r>
    </w:p>
    <w:p w14:paraId="2D0D483A" w14:textId="2FCC7457" w:rsidR="00D3659E" w:rsidRPr="00223709" w:rsidRDefault="00D3659E" w:rsidP="00D3659E">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MGIPU – Posredničko tijelo razine 1 (PT1) u sustavu upravljanja i kontrole korištenja sredstava ESI fondova; MGIPU – operativno praćenje provedbe programa;; FZOEU -</w:t>
      </w:r>
      <w:r w:rsidR="00E223DA">
        <w:rPr>
          <w:rFonts w:cs="Arial"/>
          <w:color w:val="000000"/>
          <w:lang w:eastAsia="en-GB"/>
        </w:rPr>
        <w:t xml:space="preserve"> </w:t>
      </w:r>
      <w:r w:rsidRPr="00223709">
        <w:rPr>
          <w:rFonts w:cs="Arial"/>
          <w:color w:val="000000"/>
          <w:lang w:eastAsia="en-GB"/>
        </w:rPr>
        <w:t>Posredničko tijelo razine 2 (PT2) u sustavu upravljanja i kontrole korištenja sredstava ESI fondova</w:t>
      </w:r>
      <w:r w:rsidR="00797546">
        <w:rPr>
          <w:rFonts w:cs="Arial"/>
          <w:color w:val="000000"/>
          <w:lang w:eastAsia="en-GB"/>
        </w:rPr>
        <w:t xml:space="preserve"> / sufinanciranje projekata iz vlastitih sredstava</w:t>
      </w:r>
      <w:r w:rsidRPr="00223709">
        <w:rPr>
          <w:rFonts w:cs="Arial"/>
          <w:color w:val="000000"/>
          <w:lang w:eastAsia="en-GB"/>
        </w:rPr>
        <w:t>; APN – provedba po modelu ugovaranja energetske usluge</w:t>
      </w:r>
    </w:p>
    <w:p w14:paraId="71989C81" w14:textId="77777777" w:rsidR="00D3659E" w:rsidRPr="00223709" w:rsidRDefault="00D3659E" w:rsidP="00D3659E">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06B8ECFD" w14:textId="77777777" w:rsidR="00D3659E" w:rsidRPr="00223709" w:rsidRDefault="00D3659E" w:rsidP="00D3659E">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toplinskih potreba i potrošnje energije u zgradama javnog sektora i povećanje korištenja OIE te posljedično smanjenje emisija CO</w:t>
      </w:r>
      <w:r w:rsidRPr="00223709">
        <w:rPr>
          <w:rFonts w:cs="Arial"/>
          <w:color w:val="000000"/>
          <w:vertAlign w:val="subscript"/>
          <w:lang w:eastAsia="en-GB"/>
        </w:rPr>
        <w:t>2</w:t>
      </w:r>
      <w:r w:rsidRPr="00223709">
        <w:rPr>
          <w:rFonts w:cs="Arial"/>
          <w:color w:val="000000"/>
          <w:lang w:eastAsia="en-GB"/>
        </w:rPr>
        <w:t>; procijenjene uštede u 2030.</w:t>
      </w:r>
      <w:r w:rsidRPr="00223709">
        <w:rPr>
          <w:rFonts w:eastAsia="Calibri" w:cs="Arial"/>
        </w:rPr>
        <w:t xml:space="preserve"> </w:t>
      </w:r>
      <w:r w:rsidRPr="00223709">
        <w:rPr>
          <w:rFonts w:cs="Arial"/>
          <w:color w:val="000000"/>
          <w:lang w:eastAsia="en-GB"/>
        </w:rPr>
        <w:t>1,69 PJ (40,40 ktoe); procijenjeno smanjenje emisija CO</w:t>
      </w:r>
      <w:r w:rsidRPr="00223709">
        <w:rPr>
          <w:rFonts w:cs="Arial"/>
          <w:color w:val="000000"/>
          <w:vertAlign w:val="subscript"/>
          <w:lang w:eastAsia="en-GB"/>
        </w:rPr>
        <w:t>2</w:t>
      </w:r>
      <w:r w:rsidRPr="00223709">
        <w:rPr>
          <w:rFonts w:cs="Arial"/>
          <w:color w:val="000000"/>
          <w:lang w:eastAsia="en-GB"/>
        </w:rPr>
        <w:t xml:space="preserve"> u 2030. 46,52 ktCO</w:t>
      </w:r>
      <w:r w:rsidRPr="00223709">
        <w:rPr>
          <w:rFonts w:cs="Arial"/>
          <w:color w:val="000000"/>
          <w:vertAlign w:val="subscript"/>
          <w:lang w:eastAsia="en-GB"/>
        </w:rPr>
        <w:t>2e</w:t>
      </w:r>
      <w:r w:rsidRPr="00223709">
        <w:rPr>
          <w:rFonts w:cs="Arial"/>
          <w:color w:val="000000"/>
          <w:lang w:eastAsia="en-GB"/>
        </w:rPr>
        <w:t>; kumulativne uštede energije u razdoblju 2021.-2030. 9,30 PJ (222,20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264,93 ktCO</w:t>
      </w:r>
      <w:r w:rsidRPr="00223709">
        <w:rPr>
          <w:rFonts w:cs="Arial"/>
          <w:color w:val="000000"/>
          <w:vertAlign w:val="subscript"/>
          <w:lang w:eastAsia="en-GB"/>
        </w:rPr>
        <w:t>2e</w:t>
      </w:r>
    </w:p>
    <w:p w14:paraId="7F685D94" w14:textId="77777777" w:rsidR="00D3659E" w:rsidRPr="00223709" w:rsidRDefault="00D3659E" w:rsidP="00D3659E">
      <w:pPr>
        <w:suppressAutoHyphens w:val="0"/>
        <w:spacing w:before="0" w:after="0" w:line="240" w:lineRule="auto"/>
        <w:rPr>
          <w:rFonts w:eastAsia="Calibri" w:cs="Arial"/>
          <w:color w:val="000000"/>
        </w:rPr>
      </w:pPr>
      <w:r w:rsidRPr="00223709">
        <w:rPr>
          <w:rFonts w:cs="Arial"/>
          <w:b/>
          <w:bCs/>
          <w:color w:val="000000"/>
          <w:lang w:eastAsia="en-GB"/>
        </w:rPr>
        <w:t>Metoda praćenja:</w:t>
      </w:r>
      <w:r w:rsidRPr="00223709">
        <w:rPr>
          <w:rFonts w:cs="Arial"/>
          <w:color w:val="000000"/>
          <w:lang w:eastAsia="en-GB"/>
        </w:rPr>
        <w:t xml:space="preserve"> Sustav za praćenje, mjerenje i verifikaciju ušteda energije (SMiV), metodom odozdo-prema-gore za integralnu obnovu zgrada</w:t>
      </w:r>
    </w:p>
    <w:p w14:paraId="61DAF565" w14:textId="77777777" w:rsidR="00D3659E" w:rsidRPr="00223709" w:rsidRDefault="00D3659E" w:rsidP="00D3659E">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 xml:space="preserve">izravna povezanost s dimenzijom dekarbonizacije, jer se kroz energetsku obnovu potiče i korištenje OIE u zgradama </w:t>
      </w:r>
    </w:p>
    <w:p w14:paraId="2804FCA2" w14:textId="77777777" w:rsidR="00D3659E" w:rsidRPr="00223709" w:rsidRDefault="00D3659E" w:rsidP="00D3659E">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energetskom obnovom zgrade postaju otpornije na neke od posljedica klimatskih promjena, kao što su ekstremni temperaturni uvjeti</w:t>
      </w:r>
    </w:p>
    <w:p w14:paraId="625C9DA1" w14:textId="4EDE7FFD" w:rsidR="00D3659E" w:rsidRDefault="00D3659E" w:rsidP="00D3659E">
      <w:pPr>
        <w:suppressAutoHyphens w:val="0"/>
        <w:spacing w:before="0" w:after="0" w:line="240" w:lineRule="auto"/>
        <w:rPr>
          <w:rFonts w:cs="Arial"/>
          <w:color w:val="000000"/>
          <w:lang w:eastAsia="en-GB"/>
        </w:rPr>
      </w:pPr>
      <w:r w:rsidRPr="00223709">
        <w:rPr>
          <w:rFonts w:cs="Arial"/>
          <w:b/>
          <w:bCs/>
          <w:color w:val="000000"/>
          <w:lang w:eastAsia="en-GB"/>
        </w:rPr>
        <w:t>Istraživanje i razvoj</w:t>
      </w:r>
      <w:r w:rsidRPr="00223709">
        <w:rPr>
          <w:rFonts w:cs="Arial"/>
          <w:color w:val="000000"/>
          <w:lang w:eastAsia="en-GB"/>
        </w:rPr>
        <w:t>: energetska obnova, pogotovo njezino usmjeravanje na nZEB standard, poticajna je za istraživanje i razvoj u području novih građevinskih materijala, naprednih tehničkih sustava u zgradama i sustava upravljanja i automatizacije temeljenih na informacijsko-komunikacijskim tehnologijama</w:t>
      </w:r>
    </w:p>
    <w:p w14:paraId="48E0EFD1" w14:textId="77777777" w:rsidR="00184324" w:rsidRPr="00223709" w:rsidRDefault="00184324" w:rsidP="00D3659E">
      <w:pPr>
        <w:suppressAutoHyphens w:val="0"/>
        <w:spacing w:before="0" w:after="0" w:line="240" w:lineRule="auto"/>
        <w:rPr>
          <w:rFonts w:cs="Arial"/>
          <w:color w:val="000000"/>
          <w:lang w:eastAsia="en-GB"/>
        </w:rPr>
      </w:pPr>
    </w:p>
    <w:p w14:paraId="19A6F0F6" w14:textId="72D121C1" w:rsidR="00184324" w:rsidRPr="00286B4C" w:rsidRDefault="00184324" w:rsidP="00184324">
      <w:pPr>
        <w:pStyle w:val="NormalWeb"/>
        <w:spacing w:after="120" w:line="288" w:lineRule="auto"/>
        <w:jc w:val="both"/>
        <w:rPr>
          <w:rFonts w:cs="Arial"/>
          <w:b/>
          <w:bCs/>
          <w:color w:val="000000"/>
        </w:rPr>
      </w:pPr>
      <w:r w:rsidRPr="00286B4C">
        <w:rPr>
          <w:rFonts w:ascii="Arial" w:hAnsi="Arial" w:cs="Arial"/>
          <w:b/>
          <w:bCs/>
          <w:color w:val="000000"/>
          <w:sz w:val="22"/>
          <w:szCs w:val="22"/>
        </w:rPr>
        <w:t>ENU-</w:t>
      </w:r>
      <w:r>
        <w:rPr>
          <w:rFonts w:ascii="Arial" w:hAnsi="Arial" w:cs="Arial"/>
          <w:b/>
          <w:bCs/>
          <w:color w:val="000000"/>
          <w:sz w:val="22"/>
          <w:szCs w:val="22"/>
        </w:rPr>
        <w:t>6</w:t>
      </w:r>
      <w:r w:rsidRPr="00286B4C">
        <w:rPr>
          <w:rFonts w:ascii="Arial" w:hAnsi="Arial" w:cs="Arial"/>
          <w:b/>
          <w:bCs/>
          <w:color w:val="000000"/>
          <w:sz w:val="22"/>
          <w:szCs w:val="22"/>
        </w:rPr>
        <w:t xml:space="preserve">: </w:t>
      </w:r>
      <w:r w:rsidRPr="00184324">
        <w:rPr>
          <w:rFonts w:ascii="Arial" w:hAnsi="Arial" w:cs="Arial"/>
          <w:b/>
          <w:bCs/>
          <w:color w:val="000000"/>
          <w:sz w:val="22"/>
          <w:szCs w:val="22"/>
        </w:rPr>
        <w:t>Program energetske obnove zgrada koje imaju status kulturnog dobra</w:t>
      </w:r>
    </w:p>
    <w:p w14:paraId="3476CBDC" w14:textId="77777777" w:rsidR="00184324" w:rsidRPr="00286B4C" w:rsidRDefault="00184324" w:rsidP="00184324">
      <w:pPr>
        <w:pStyle w:val="NormalWeb"/>
        <w:spacing w:after="120" w:line="288" w:lineRule="auto"/>
        <w:jc w:val="both"/>
        <w:rPr>
          <w:rFonts w:cs="Arial"/>
          <w:b/>
          <w:bCs/>
          <w:color w:val="000000"/>
        </w:rPr>
      </w:pPr>
      <w:r w:rsidRPr="00286B4C">
        <w:rPr>
          <w:rFonts w:ascii="Arial" w:hAnsi="Arial" w:cs="Arial"/>
          <w:b/>
          <w:bCs/>
          <w:color w:val="000000"/>
          <w:sz w:val="22"/>
          <w:szCs w:val="22"/>
        </w:rPr>
        <w:t>Financijska mjera; provedba 2021. -2030.</w:t>
      </w:r>
    </w:p>
    <w:p w14:paraId="1F083C66" w14:textId="27653A49" w:rsidR="00184324" w:rsidRDefault="00184324" w:rsidP="00DE7226">
      <w:pPr>
        <w:pStyle w:val="NormalWeb"/>
        <w:spacing w:after="120" w:line="288" w:lineRule="auto"/>
        <w:jc w:val="both"/>
        <w:rPr>
          <w:rFonts w:ascii="Arial" w:hAnsi="Arial"/>
          <w:sz w:val="22"/>
          <w:szCs w:val="22"/>
        </w:rPr>
      </w:pPr>
      <w:r w:rsidRPr="00286B4C">
        <w:rPr>
          <w:rFonts w:ascii="Arial" w:hAnsi="Arial" w:cs="Arial"/>
          <w:b/>
          <w:bCs/>
          <w:color w:val="000000"/>
          <w:sz w:val="22"/>
          <w:szCs w:val="22"/>
        </w:rPr>
        <w:t>Cilj i opis mjere</w:t>
      </w:r>
      <w:r w:rsidRPr="00223709">
        <w:rPr>
          <w:rFonts w:cs="Arial"/>
          <w:b/>
          <w:bCs/>
          <w:color w:val="000000"/>
          <w:lang w:eastAsia="en-GB"/>
        </w:rPr>
        <w:t>:</w:t>
      </w:r>
      <w:r w:rsidRPr="00223709">
        <w:rPr>
          <w:rFonts w:cs="Arial"/>
          <w:color w:val="000000"/>
          <w:lang w:eastAsia="en-GB"/>
        </w:rPr>
        <w:t xml:space="preserve"> </w:t>
      </w:r>
      <w:r w:rsidR="00DE7226" w:rsidRPr="00DE7226">
        <w:rPr>
          <w:rFonts w:ascii="Arial" w:hAnsi="Arial"/>
          <w:sz w:val="22"/>
          <w:szCs w:val="22"/>
        </w:rPr>
        <w:t>Zaštićene zgrade u smislu</w:t>
      </w:r>
      <w:r w:rsidR="00DE7226">
        <w:rPr>
          <w:rFonts w:ascii="Arial" w:hAnsi="Arial"/>
          <w:sz w:val="22"/>
          <w:szCs w:val="22"/>
        </w:rPr>
        <w:t xml:space="preserve"> ovog</w:t>
      </w:r>
      <w:r w:rsidR="00DE7226" w:rsidRPr="00DE7226">
        <w:rPr>
          <w:rFonts w:ascii="Arial" w:hAnsi="Arial"/>
          <w:sz w:val="22"/>
          <w:szCs w:val="22"/>
        </w:rPr>
        <w:t xml:space="preserve"> Programa su one koje se mogu svrstati u dvije kategorije: Pojedinačno zaštićena kulturna dobra (pojedinačne građevine i graditeljski sklopovi</w:t>
      </w:r>
      <w:r w:rsidR="00DE7226">
        <w:rPr>
          <w:rFonts w:ascii="Arial" w:hAnsi="Arial"/>
          <w:sz w:val="22"/>
          <w:szCs w:val="22"/>
        </w:rPr>
        <w:t>)</w:t>
      </w:r>
      <w:r w:rsidR="00DE7226" w:rsidRPr="00DE7226">
        <w:rPr>
          <w:rFonts w:ascii="Arial" w:hAnsi="Arial"/>
          <w:sz w:val="22"/>
          <w:szCs w:val="22"/>
        </w:rPr>
        <w:t xml:space="preserve"> i Zgrade koje se nalaze unutar zaštićene kulturno-povijesne cjeline.</w:t>
      </w:r>
      <w:r w:rsidR="00DE7226">
        <w:rPr>
          <w:rFonts w:ascii="Arial" w:hAnsi="Arial"/>
          <w:sz w:val="22"/>
          <w:szCs w:val="22"/>
        </w:rPr>
        <w:t xml:space="preserve"> </w:t>
      </w:r>
      <w:r w:rsidR="00DE7226" w:rsidRPr="00DE7226">
        <w:rPr>
          <w:rFonts w:ascii="Arial" w:hAnsi="Arial"/>
          <w:sz w:val="22"/>
          <w:szCs w:val="22"/>
        </w:rPr>
        <w:t>Program ne obuhvaća zgrade zaštićene kao preventivno zaštićeno kulturno dobro, niti zgrade</w:t>
      </w:r>
      <w:r w:rsidR="00DE7226">
        <w:rPr>
          <w:rFonts w:ascii="Arial" w:hAnsi="Arial"/>
          <w:sz w:val="22"/>
          <w:szCs w:val="22"/>
        </w:rPr>
        <w:t xml:space="preserve"> zaštićene</w:t>
      </w:r>
      <w:r w:rsidR="00DE7226" w:rsidRPr="00DE7226">
        <w:rPr>
          <w:rFonts w:ascii="Arial" w:hAnsi="Arial"/>
          <w:sz w:val="22"/>
          <w:szCs w:val="22"/>
        </w:rPr>
        <w:t xml:space="preserve"> kao evidentirano kulturno dobro. Kroz Program razvijena su dva osnovna pristupa energetskoj obnovi zgrada koje su predmet ovog Programa: cjeloviti (integralni) pristup te pristup s primjenom pojedinačnih mjera energetske obnove.</w:t>
      </w:r>
    </w:p>
    <w:p w14:paraId="3ECBFC97" w14:textId="77777777" w:rsidR="00DE7226" w:rsidRPr="00DE7226" w:rsidRDefault="00DE7226" w:rsidP="00DE7226">
      <w:pPr>
        <w:pStyle w:val="NormalWeb"/>
        <w:spacing w:after="120" w:line="288" w:lineRule="auto"/>
        <w:jc w:val="both"/>
        <w:rPr>
          <w:rFonts w:ascii="Arial" w:hAnsi="Arial"/>
          <w:sz w:val="22"/>
          <w:szCs w:val="22"/>
        </w:rPr>
      </w:pPr>
      <w:r w:rsidRPr="00DE7226">
        <w:rPr>
          <w:rFonts w:ascii="Arial" w:hAnsi="Arial"/>
          <w:sz w:val="22"/>
          <w:szCs w:val="22"/>
        </w:rPr>
        <w:t>Sukladno nacrtu programa dane su potrebe kako slijedi:</w:t>
      </w:r>
    </w:p>
    <w:p w14:paraId="32A60C51" w14:textId="20003066" w:rsidR="00DE7226" w:rsidRPr="00DE7226" w:rsidRDefault="00DE7226" w:rsidP="00DE7226">
      <w:pPr>
        <w:pStyle w:val="NormalWeb"/>
        <w:numPr>
          <w:ilvl w:val="0"/>
          <w:numId w:val="93"/>
        </w:numPr>
        <w:spacing w:after="120" w:line="288" w:lineRule="auto"/>
        <w:jc w:val="both"/>
        <w:rPr>
          <w:rFonts w:ascii="Arial" w:hAnsi="Arial"/>
          <w:sz w:val="22"/>
          <w:szCs w:val="22"/>
        </w:rPr>
      </w:pPr>
      <w:r w:rsidRPr="00DE7226">
        <w:rPr>
          <w:rFonts w:ascii="Arial" w:hAnsi="Arial"/>
          <w:sz w:val="22"/>
          <w:szCs w:val="22"/>
        </w:rPr>
        <w:t>Ukupna investicija (</w:t>
      </w:r>
      <w:r>
        <w:rPr>
          <w:rFonts w:ascii="Arial" w:hAnsi="Arial"/>
          <w:sz w:val="22"/>
          <w:szCs w:val="22"/>
        </w:rPr>
        <w:t>kn</w:t>
      </w:r>
      <w:r w:rsidRPr="00DE7226">
        <w:rPr>
          <w:rFonts w:ascii="Arial" w:hAnsi="Arial"/>
          <w:sz w:val="22"/>
          <w:szCs w:val="22"/>
        </w:rPr>
        <w:t>):</w:t>
      </w:r>
      <w:r>
        <w:rPr>
          <w:rFonts w:ascii="Arial" w:hAnsi="Arial"/>
          <w:sz w:val="22"/>
          <w:szCs w:val="22"/>
        </w:rPr>
        <w:t xml:space="preserve"> </w:t>
      </w:r>
      <w:r w:rsidRPr="00DE7226">
        <w:rPr>
          <w:rFonts w:ascii="Arial" w:hAnsi="Arial"/>
          <w:sz w:val="22"/>
          <w:szCs w:val="22"/>
        </w:rPr>
        <w:t>13,674 milijardi</w:t>
      </w:r>
    </w:p>
    <w:p w14:paraId="273342A3" w14:textId="03EA34F9" w:rsidR="00DE7226" w:rsidRPr="00DE7226" w:rsidRDefault="00DE7226" w:rsidP="00DE7226">
      <w:pPr>
        <w:pStyle w:val="NormalWeb"/>
        <w:numPr>
          <w:ilvl w:val="0"/>
          <w:numId w:val="93"/>
        </w:numPr>
        <w:spacing w:after="120" w:line="288" w:lineRule="auto"/>
        <w:jc w:val="both"/>
        <w:rPr>
          <w:rFonts w:ascii="Arial" w:hAnsi="Arial"/>
          <w:sz w:val="22"/>
          <w:szCs w:val="22"/>
        </w:rPr>
      </w:pPr>
      <w:r w:rsidRPr="00DE7226">
        <w:rPr>
          <w:rFonts w:ascii="Arial" w:hAnsi="Arial"/>
          <w:sz w:val="22"/>
          <w:szCs w:val="22"/>
        </w:rPr>
        <w:t>Trošak održavanja (</w:t>
      </w:r>
      <w:r>
        <w:rPr>
          <w:rFonts w:ascii="Arial" w:hAnsi="Arial"/>
          <w:sz w:val="22"/>
          <w:szCs w:val="22"/>
        </w:rPr>
        <w:t>kn</w:t>
      </w:r>
      <w:r w:rsidRPr="00DE7226">
        <w:rPr>
          <w:rFonts w:ascii="Arial" w:hAnsi="Arial"/>
          <w:sz w:val="22"/>
          <w:szCs w:val="22"/>
        </w:rPr>
        <w:t>):</w:t>
      </w:r>
      <w:r>
        <w:rPr>
          <w:rFonts w:ascii="Arial" w:hAnsi="Arial"/>
          <w:sz w:val="22"/>
          <w:szCs w:val="22"/>
        </w:rPr>
        <w:t xml:space="preserve"> </w:t>
      </w:r>
      <w:r w:rsidRPr="00DE7226">
        <w:rPr>
          <w:rFonts w:ascii="Arial" w:hAnsi="Arial"/>
          <w:sz w:val="22"/>
          <w:szCs w:val="22"/>
        </w:rPr>
        <w:t>5,066 milijarde</w:t>
      </w:r>
    </w:p>
    <w:p w14:paraId="74903E6E" w14:textId="29FCA5C2" w:rsidR="00DE7226" w:rsidRPr="00DE7226" w:rsidRDefault="00DE7226" w:rsidP="00DE7226">
      <w:pPr>
        <w:pStyle w:val="NormalWeb"/>
        <w:numPr>
          <w:ilvl w:val="0"/>
          <w:numId w:val="93"/>
        </w:numPr>
        <w:spacing w:after="120" w:line="288" w:lineRule="auto"/>
        <w:jc w:val="both"/>
        <w:rPr>
          <w:rFonts w:ascii="Arial" w:hAnsi="Arial"/>
          <w:sz w:val="22"/>
          <w:szCs w:val="22"/>
        </w:rPr>
      </w:pPr>
      <w:r w:rsidRPr="00DE7226">
        <w:rPr>
          <w:rFonts w:ascii="Arial" w:hAnsi="Arial"/>
          <w:sz w:val="22"/>
          <w:szCs w:val="22"/>
        </w:rPr>
        <w:t>Prosječna godišnja stopa obnove (%):</w:t>
      </w:r>
      <w:r>
        <w:rPr>
          <w:rFonts w:ascii="Arial" w:hAnsi="Arial"/>
          <w:sz w:val="22"/>
          <w:szCs w:val="22"/>
        </w:rPr>
        <w:t xml:space="preserve"> </w:t>
      </w:r>
      <w:r w:rsidRPr="00DE7226">
        <w:rPr>
          <w:rFonts w:ascii="Arial" w:hAnsi="Arial"/>
          <w:sz w:val="22"/>
          <w:szCs w:val="22"/>
        </w:rPr>
        <w:t>3,5</w:t>
      </w:r>
    </w:p>
    <w:p w14:paraId="5CB7EC48" w14:textId="7576EF8E" w:rsidR="00DE7226" w:rsidRPr="00DE7226" w:rsidRDefault="00DE7226" w:rsidP="00DE7226">
      <w:pPr>
        <w:pStyle w:val="NormalWeb"/>
        <w:numPr>
          <w:ilvl w:val="0"/>
          <w:numId w:val="93"/>
        </w:numPr>
        <w:spacing w:after="120" w:line="288" w:lineRule="auto"/>
        <w:jc w:val="both"/>
        <w:rPr>
          <w:rFonts w:ascii="Arial" w:hAnsi="Arial"/>
          <w:sz w:val="22"/>
          <w:szCs w:val="22"/>
        </w:rPr>
      </w:pPr>
      <w:r w:rsidRPr="00DE7226">
        <w:rPr>
          <w:rFonts w:ascii="Arial" w:hAnsi="Arial"/>
          <w:sz w:val="22"/>
          <w:szCs w:val="22"/>
        </w:rPr>
        <w:t>Ukupno obnovljena površina (m2):</w:t>
      </w:r>
      <w:r>
        <w:rPr>
          <w:rFonts w:ascii="Arial" w:hAnsi="Arial"/>
          <w:sz w:val="22"/>
          <w:szCs w:val="22"/>
        </w:rPr>
        <w:t xml:space="preserve"> </w:t>
      </w:r>
      <w:r w:rsidRPr="00DE7226">
        <w:rPr>
          <w:rFonts w:ascii="Arial" w:hAnsi="Arial"/>
          <w:sz w:val="22"/>
          <w:szCs w:val="22"/>
        </w:rPr>
        <w:t>8.975.943</w:t>
      </w:r>
    </w:p>
    <w:p w14:paraId="16F07CC5" w14:textId="66947A3C" w:rsidR="00DE7226" w:rsidRPr="00DE7226" w:rsidRDefault="00DE7226" w:rsidP="00DE7226">
      <w:pPr>
        <w:pStyle w:val="NormalWeb"/>
        <w:numPr>
          <w:ilvl w:val="0"/>
          <w:numId w:val="93"/>
        </w:numPr>
        <w:spacing w:after="120" w:line="288" w:lineRule="auto"/>
        <w:jc w:val="both"/>
        <w:rPr>
          <w:rFonts w:ascii="Arial" w:hAnsi="Arial"/>
          <w:sz w:val="22"/>
          <w:szCs w:val="22"/>
        </w:rPr>
      </w:pPr>
      <w:r w:rsidRPr="00DE7226">
        <w:rPr>
          <w:rFonts w:ascii="Arial" w:hAnsi="Arial"/>
          <w:sz w:val="22"/>
          <w:szCs w:val="22"/>
        </w:rPr>
        <w:t>Energetska ušteda (GWh):</w:t>
      </w:r>
      <w:r>
        <w:rPr>
          <w:rFonts w:ascii="Arial" w:hAnsi="Arial"/>
          <w:sz w:val="22"/>
          <w:szCs w:val="22"/>
        </w:rPr>
        <w:t xml:space="preserve"> </w:t>
      </w:r>
      <w:r w:rsidRPr="00DE7226">
        <w:rPr>
          <w:rFonts w:ascii="Arial" w:hAnsi="Arial"/>
          <w:sz w:val="22"/>
          <w:szCs w:val="22"/>
        </w:rPr>
        <w:t>5 073 234,38</w:t>
      </w:r>
    </w:p>
    <w:p w14:paraId="22EF59A6" w14:textId="02622C0A" w:rsidR="00DE7226" w:rsidRPr="00DE7226" w:rsidRDefault="00DE7226" w:rsidP="00DE7226">
      <w:pPr>
        <w:pStyle w:val="NormalWeb"/>
        <w:numPr>
          <w:ilvl w:val="0"/>
          <w:numId w:val="93"/>
        </w:numPr>
        <w:spacing w:after="120" w:line="288" w:lineRule="auto"/>
        <w:jc w:val="both"/>
        <w:rPr>
          <w:rFonts w:ascii="Arial" w:hAnsi="Arial"/>
          <w:sz w:val="22"/>
          <w:szCs w:val="22"/>
        </w:rPr>
      </w:pPr>
      <w:r w:rsidRPr="00DE7226">
        <w:rPr>
          <w:rFonts w:ascii="Arial" w:hAnsi="Arial"/>
          <w:sz w:val="22"/>
          <w:szCs w:val="22"/>
        </w:rPr>
        <w:t>Financijska ušteda (</w:t>
      </w:r>
      <w:r>
        <w:rPr>
          <w:rFonts w:ascii="Arial" w:hAnsi="Arial"/>
          <w:sz w:val="22"/>
          <w:szCs w:val="22"/>
        </w:rPr>
        <w:t>kn</w:t>
      </w:r>
      <w:r w:rsidRPr="00DE7226">
        <w:rPr>
          <w:rFonts w:ascii="Arial" w:hAnsi="Arial"/>
          <w:sz w:val="22"/>
          <w:szCs w:val="22"/>
        </w:rPr>
        <w:t>):</w:t>
      </w:r>
      <w:r>
        <w:rPr>
          <w:rFonts w:ascii="Arial" w:hAnsi="Arial"/>
          <w:sz w:val="22"/>
          <w:szCs w:val="22"/>
        </w:rPr>
        <w:t xml:space="preserve"> </w:t>
      </w:r>
      <w:r w:rsidRPr="00DE7226">
        <w:rPr>
          <w:rFonts w:ascii="Arial" w:hAnsi="Arial"/>
          <w:sz w:val="22"/>
          <w:szCs w:val="22"/>
        </w:rPr>
        <w:t>1,393 milijarde</w:t>
      </w:r>
    </w:p>
    <w:p w14:paraId="534F051A" w14:textId="1CE858DF" w:rsidR="00DE7226" w:rsidRPr="00DE7226" w:rsidRDefault="00DE7226" w:rsidP="00DE7226">
      <w:pPr>
        <w:pStyle w:val="NormalWeb"/>
        <w:numPr>
          <w:ilvl w:val="0"/>
          <w:numId w:val="93"/>
        </w:numPr>
        <w:spacing w:after="120" w:line="288" w:lineRule="auto"/>
        <w:jc w:val="both"/>
        <w:rPr>
          <w:rFonts w:ascii="Arial" w:hAnsi="Arial"/>
          <w:sz w:val="22"/>
          <w:szCs w:val="22"/>
        </w:rPr>
      </w:pPr>
      <w:r w:rsidRPr="00DE7226">
        <w:rPr>
          <w:rFonts w:ascii="Arial" w:hAnsi="Arial"/>
          <w:sz w:val="22"/>
          <w:szCs w:val="22"/>
        </w:rPr>
        <w:t>Smanjenje emisija CO2 (kt):</w:t>
      </w:r>
      <w:r>
        <w:rPr>
          <w:rFonts w:ascii="Arial" w:hAnsi="Arial"/>
          <w:sz w:val="22"/>
          <w:szCs w:val="22"/>
        </w:rPr>
        <w:t xml:space="preserve"> </w:t>
      </w:r>
      <w:r w:rsidRPr="00DE7226">
        <w:rPr>
          <w:rFonts w:ascii="Arial" w:hAnsi="Arial"/>
          <w:sz w:val="22"/>
          <w:szCs w:val="22"/>
        </w:rPr>
        <w:t>709,02</w:t>
      </w:r>
    </w:p>
    <w:p w14:paraId="7179DD08" w14:textId="3A9CC691" w:rsidR="00DE7226" w:rsidRPr="00DE7226" w:rsidRDefault="00DE7226" w:rsidP="00DE7226">
      <w:pPr>
        <w:pStyle w:val="NormalWeb"/>
        <w:spacing w:after="120" w:line="288" w:lineRule="auto"/>
        <w:jc w:val="both"/>
        <w:rPr>
          <w:rFonts w:ascii="Arial" w:hAnsi="Arial"/>
          <w:sz w:val="22"/>
          <w:szCs w:val="22"/>
        </w:rPr>
      </w:pPr>
      <w:r w:rsidRPr="00DE7226">
        <w:rPr>
          <w:rFonts w:ascii="Arial" w:hAnsi="Arial"/>
          <w:sz w:val="22"/>
          <w:szCs w:val="22"/>
        </w:rPr>
        <w:t xml:space="preserve">Ukupne potrebe za realizaciju programa energetske obnove zgrada koje imaju status kulturnog dobra a sa svrhom dostizanja nacionalnih ciljeva iznose 18,74 milijardi </w:t>
      </w:r>
      <w:r>
        <w:rPr>
          <w:rFonts w:ascii="Arial" w:hAnsi="Arial"/>
          <w:sz w:val="22"/>
          <w:szCs w:val="22"/>
        </w:rPr>
        <w:t>kn</w:t>
      </w:r>
      <w:r w:rsidRPr="00DE7226">
        <w:rPr>
          <w:rFonts w:ascii="Arial" w:hAnsi="Arial"/>
          <w:sz w:val="22"/>
          <w:szCs w:val="22"/>
        </w:rPr>
        <w:t xml:space="preserve"> u razdoblju od 2021. do 2030. godine. Navedeni iznos uključuje potrebne investicije u iznosu od 13,67 milijardi </w:t>
      </w:r>
      <w:r>
        <w:rPr>
          <w:rFonts w:ascii="Arial" w:hAnsi="Arial"/>
          <w:sz w:val="22"/>
          <w:szCs w:val="22"/>
        </w:rPr>
        <w:t>kn</w:t>
      </w:r>
      <w:r w:rsidRPr="00DE7226">
        <w:rPr>
          <w:rFonts w:ascii="Arial" w:hAnsi="Arial"/>
          <w:sz w:val="22"/>
          <w:szCs w:val="22"/>
        </w:rPr>
        <w:t xml:space="preserve"> te troškove održavanja u iznosu od 5,07 milijardi </w:t>
      </w:r>
      <w:r>
        <w:rPr>
          <w:rFonts w:ascii="Arial" w:hAnsi="Arial"/>
          <w:sz w:val="22"/>
          <w:szCs w:val="22"/>
        </w:rPr>
        <w:t>kn</w:t>
      </w:r>
      <w:r w:rsidRPr="00DE7226">
        <w:rPr>
          <w:rFonts w:ascii="Arial" w:hAnsi="Arial"/>
          <w:sz w:val="22"/>
          <w:szCs w:val="22"/>
        </w:rPr>
        <w:t xml:space="preserve">. S obzirom na vrlo visoke perioda povrata investicija biti će potrebno maksimalno iskoristiti mogućnosti sufinanciranja programa bespovratnim sredstvima kako bi se smanjili jednostavni periodi povrata investicije te kako bi se potaknula energetska obnova ovakvih građevina. Kao izvore financiranja bespovratnih sredstava prepoznaju se Fondovi EU te sredstva prikupljena kroz spomeničku rentu. S obzirom na ukupne investicijske potrebe, ukupne potrebne investicije iznose oko 1,37 milijardi </w:t>
      </w:r>
      <w:r>
        <w:rPr>
          <w:rFonts w:ascii="Arial" w:hAnsi="Arial"/>
          <w:sz w:val="22"/>
          <w:szCs w:val="22"/>
        </w:rPr>
        <w:t>kn</w:t>
      </w:r>
      <w:r w:rsidRPr="00DE7226">
        <w:rPr>
          <w:rFonts w:ascii="Arial" w:hAnsi="Arial"/>
          <w:sz w:val="22"/>
          <w:szCs w:val="22"/>
        </w:rPr>
        <w:t xml:space="preserve"> godišnje tijekom perioda od 2021. do 2030. godine, od čega bi</w:t>
      </w:r>
      <w:r w:rsidRPr="00DE7226">
        <w:rPr>
          <w:rFonts w:eastAsia="Calibri" w:cs="Arial"/>
          <w:color w:val="000000"/>
        </w:rPr>
        <w:t xml:space="preserve"> </w:t>
      </w:r>
      <w:r w:rsidRPr="00DE7226">
        <w:rPr>
          <w:rFonts w:ascii="Arial" w:hAnsi="Arial"/>
          <w:sz w:val="22"/>
          <w:szCs w:val="22"/>
        </w:rPr>
        <w:t xml:space="preserve">potrebno sufinanciranje iznosilo 1,02 milijardi </w:t>
      </w:r>
      <w:r>
        <w:rPr>
          <w:rFonts w:ascii="Arial" w:hAnsi="Arial"/>
          <w:sz w:val="22"/>
          <w:szCs w:val="22"/>
        </w:rPr>
        <w:t>kn</w:t>
      </w:r>
      <w:r w:rsidRPr="00DE7226">
        <w:rPr>
          <w:rFonts w:ascii="Arial" w:hAnsi="Arial"/>
          <w:sz w:val="22"/>
          <w:szCs w:val="22"/>
        </w:rPr>
        <w:t xml:space="preserve">. S obzirom da se na godišnjoj razini od spomeničke rente prikupi oko 100 milijuna </w:t>
      </w:r>
      <w:r>
        <w:rPr>
          <w:rFonts w:ascii="Arial" w:hAnsi="Arial"/>
          <w:sz w:val="22"/>
          <w:szCs w:val="22"/>
        </w:rPr>
        <w:t>kn</w:t>
      </w:r>
      <w:r w:rsidRPr="00DE7226">
        <w:rPr>
          <w:rFonts w:ascii="Arial" w:hAnsi="Arial"/>
          <w:sz w:val="22"/>
          <w:szCs w:val="22"/>
        </w:rPr>
        <w:t xml:space="preserve">, preostali iznos od oko 920 milijuna </w:t>
      </w:r>
      <w:r>
        <w:rPr>
          <w:rFonts w:ascii="Arial" w:hAnsi="Arial"/>
          <w:sz w:val="22"/>
          <w:szCs w:val="22"/>
        </w:rPr>
        <w:t>kn</w:t>
      </w:r>
      <w:r w:rsidRPr="00DE7226">
        <w:rPr>
          <w:rFonts w:ascii="Arial" w:hAnsi="Arial"/>
          <w:sz w:val="22"/>
          <w:szCs w:val="22"/>
        </w:rPr>
        <w:t xml:space="preserve"> na godišnjoj razini potrebno je osigurati iz Fondova EU. Kako bi se potaknula energetska obnova zgrada koje imaju status kulturnog dobra potrebno je sufinancirati isti bespovratnim sredstvima i to sa znatnim udjelom istih u ukupnoj investiciji.</w:t>
      </w:r>
    </w:p>
    <w:p w14:paraId="21349C9F" w14:textId="0B5DC542" w:rsidR="00841D05" w:rsidRDefault="00841D05" w:rsidP="00184324"/>
    <w:p w14:paraId="2EC9A8F2" w14:textId="77777777" w:rsidR="007271FF" w:rsidRPr="00A2724B" w:rsidRDefault="007271FF" w:rsidP="00840E2E">
      <w:pPr>
        <w:pStyle w:val="Heading3"/>
        <w:numPr>
          <w:ilvl w:val="0"/>
          <w:numId w:val="70"/>
        </w:numPr>
      </w:pPr>
      <w:r w:rsidRPr="00A2724B">
        <w:t xml:space="preserve">Opis politika i mjera za poticanje energetskih usluga u javnom sektoru i mjera za uklanjanje regulatornih i neregulatornih prepreka koje onemogućuju uvođenje ugovora o energetskom učinku i drugih modela usluga energetske učinkovitosti </w:t>
      </w:r>
    </w:p>
    <w:p w14:paraId="31C582C7" w14:textId="35696F25" w:rsidR="00BB04AA" w:rsidRDefault="00BB04AA" w:rsidP="000627D5">
      <w:pPr>
        <w:suppressAutoHyphens w:val="0"/>
        <w:spacing w:after="160" w:line="259" w:lineRule="auto"/>
      </w:pPr>
      <w:r>
        <w:t xml:space="preserve">Prema čl. 25 </w:t>
      </w:r>
      <w:r w:rsidRPr="00223709">
        <w:rPr>
          <w:i/>
          <w:iCs/>
        </w:rPr>
        <w:t>Zakona o energetskoj učinkovitosti</w:t>
      </w:r>
      <w:r>
        <w:t xml:space="preserve"> (NN</w:t>
      </w:r>
      <w:r w:rsidR="006119C9">
        <w:t xml:space="preserve"> br</w:t>
      </w:r>
      <w:r>
        <w:t xml:space="preserve"> 127/14) definirana je energetska usluga kao okvir za provedbu projekata energetske učinkovitosti i ostalih povezanih aktivnosti, a temelji se na ugovoru o energetskom učinku s jamstvom da u referentnim uvjetima vodi do provjerljivog i mjerljivog ili procjenjivog poboljšanja energetske učinkovitosti i/ili ušteda energije i/ili vode. Prema </w:t>
      </w:r>
      <w:r w:rsidR="006119C9" w:rsidRPr="00223709">
        <w:rPr>
          <w:i/>
          <w:iCs/>
        </w:rPr>
        <w:t xml:space="preserve">Zakonu </w:t>
      </w:r>
      <w:r w:rsidRPr="00223709">
        <w:rPr>
          <w:i/>
          <w:iCs/>
        </w:rPr>
        <w:t>o izmjenama i dopunama Zakona o energetskoj učinkovitosti</w:t>
      </w:r>
      <w:r>
        <w:t xml:space="preserve"> </w:t>
      </w:r>
      <w:r w:rsidR="006119C9">
        <w:t>(</w:t>
      </w:r>
      <w:r w:rsidR="00880054">
        <w:t>NN</w:t>
      </w:r>
      <w:r w:rsidR="006119C9">
        <w:t xml:space="preserve"> 116/18) </w:t>
      </w:r>
      <w:r>
        <w:t>definicija se proširuje čime je moguće uključiti i slučajeve gdje pružatelj energetske usluge pruža stručno znanje upravljanja energetikom bez izravnih ulaganja te je uključena mogućnost smanjenja troškova povezanih s energijom bez smanjenja potrošnje energije.</w:t>
      </w:r>
    </w:p>
    <w:p w14:paraId="0136D919" w14:textId="05F3AE46" w:rsidR="00BB04AA" w:rsidRDefault="00BB04AA" w:rsidP="000627D5">
      <w:pPr>
        <w:suppressAutoHyphens w:val="0"/>
        <w:spacing w:after="160" w:line="259" w:lineRule="auto"/>
      </w:pPr>
      <w:r>
        <w:t xml:space="preserve">Sadržaj ugovora o energetskom učinku se prema </w:t>
      </w:r>
      <w:r w:rsidR="006119C9" w:rsidRPr="00223709">
        <w:rPr>
          <w:i/>
          <w:iCs/>
        </w:rPr>
        <w:t xml:space="preserve">Zakonu </w:t>
      </w:r>
      <w:r w:rsidRPr="00223709">
        <w:rPr>
          <w:i/>
          <w:iCs/>
        </w:rPr>
        <w:t>o izmjenama i dopunama Zakona o energetskoj učinkovitosti</w:t>
      </w:r>
      <w:r>
        <w:t xml:space="preserve"> definira samo za javne zgrade</w:t>
      </w:r>
      <w:r w:rsidR="00812B02">
        <w:t xml:space="preserve">, a u </w:t>
      </w:r>
      <w:r>
        <w:t xml:space="preserve">privatnom </w:t>
      </w:r>
      <w:r w:rsidR="00812B02">
        <w:t xml:space="preserve">se </w:t>
      </w:r>
      <w:r>
        <w:t xml:space="preserve">sektoru pristup ovoj problematici liberalizira </w:t>
      </w:r>
      <w:r w:rsidR="00B90DFB">
        <w:t>pa</w:t>
      </w:r>
      <w:r w:rsidR="001E3701">
        <w:t xml:space="preserve"> se</w:t>
      </w:r>
      <w:r w:rsidR="00B90DFB">
        <w:t xml:space="preserve"> </w:t>
      </w:r>
      <w:r>
        <w:t>može očekivati pozitivan utjecaj na tržište.</w:t>
      </w:r>
    </w:p>
    <w:p w14:paraId="30334E87" w14:textId="7C7361FF" w:rsidR="00BB04AA" w:rsidRDefault="00BB04AA" w:rsidP="000627D5">
      <w:pPr>
        <w:suppressAutoHyphens w:val="0"/>
        <w:spacing w:after="160" w:line="259" w:lineRule="auto"/>
      </w:pPr>
      <w:r w:rsidRPr="00260048">
        <w:t>Pravilnik o sustavu za praćenje, mjerenje i verifikaciju ušteda energije</w:t>
      </w:r>
      <w:r>
        <w:t xml:space="preserve"> (</w:t>
      </w:r>
      <w:r w:rsidR="00880054">
        <w:t>NN</w:t>
      </w:r>
      <w:r>
        <w:t xml:space="preserve"> 71/15) je potrebno kompletno revidirati</w:t>
      </w:r>
      <w:r w:rsidR="00BC7E10">
        <w:t>,</w:t>
      </w:r>
      <w:r>
        <w:t xml:space="preserve"> jer se </w:t>
      </w:r>
      <w:r w:rsidR="006119C9" w:rsidRPr="00223709">
        <w:rPr>
          <w:i/>
          <w:iCs/>
        </w:rPr>
        <w:t xml:space="preserve">Zakonom </w:t>
      </w:r>
      <w:r w:rsidRPr="00223709">
        <w:rPr>
          <w:i/>
          <w:iCs/>
        </w:rPr>
        <w:t>o izmjenama i dopunama Zakona o energetskoj učinkovitosti</w:t>
      </w:r>
      <w:r>
        <w:t xml:space="preserve"> propisuje detaljna razrada načina verifikacije ušteda navedenim pravilnikom. Ključne zamjerke su zastarjeli referentni podaci koji se koriste za izračun ušteda (pogotovo kod tehnologija koje su u prethodnom razdoblju imale značajan tehnološki razvoj), limitiran broj obrađenih mjera te, najvažnije, nedostatak metoda ili referenciranje na metode verifikacije ušteda prema stvarnim mjerenjima.</w:t>
      </w:r>
    </w:p>
    <w:p w14:paraId="3B585E98" w14:textId="53307BEC" w:rsidR="00BB04AA" w:rsidRDefault="006119C9" w:rsidP="000627D5">
      <w:pPr>
        <w:suppressAutoHyphens w:val="0"/>
        <w:spacing w:after="160" w:line="259" w:lineRule="auto"/>
      </w:pPr>
      <w:r w:rsidRPr="00223709">
        <w:rPr>
          <w:i/>
          <w:iCs/>
        </w:rPr>
        <w:t>Z</w:t>
      </w:r>
      <w:r w:rsidR="00BB04AA" w:rsidRPr="00223709">
        <w:rPr>
          <w:i/>
          <w:iCs/>
        </w:rPr>
        <w:t>akon</w:t>
      </w:r>
      <w:r w:rsidRPr="00223709">
        <w:rPr>
          <w:i/>
          <w:iCs/>
        </w:rPr>
        <w:t>om</w:t>
      </w:r>
      <w:r w:rsidR="00BB04AA" w:rsidRPr="00223709">
        <w:rPr>
          <w:i/>
          <w:iCs/>
        </w:rPr>
        <w:t xml:space="preserve"> o izmjenama i dopunama Zakona o energetskoj učinkovitosti</w:t>
      </w:r>
      <w:r w:rsidR="00BB04AA">
        <w:t xml:space="preserve"> ispravlja se većina uočenih nedostataka, poput poreza na dodanu vrijednost, uključenost stručnih usluga bez investiranja ili smanjenje isključivo troškova vezanih uz energiju.</w:t>
      </w:r>
    </w:p>
    <w:p w14:paraId="67F5543B" w14:textId="77777777" w:rsidR="009830B2" w:rsidRPr="00BE1ECD" w:rsidRDefault="00BB04AA" w:rsidP="009830B2">
      <w:pPr>
        <w:suppressAutoHyphens w:val="0"/>
        <w:spacing w:after="160" w:line="259" w:lineRule="auto"/>
      </w:pPr>
      <w:r>
        <w:t xml:space="preserve">Zakonska regulativa i dosadašnja provedbena politika osigurava poticaj implementaciji mjera energetske učinkovitosti kroz financijske instrumente, pogotovo kroz energetsku uslugu. Potrebno je osigurati i uključenost novčanih sredstava iz Europskih strukturnih i investicijskih fondova uz kombinaciju energetske usluge ili javno-privatnog partnerstva. Potrebno je još uskladiti sekundarnu legislativu (pravilnike) i izraditi javno dostupnu dokumentaciju kojim bi se detaljnije pojasnila složena tematika ugovora o energetskom učinku poput modela ugovaranja energetske usluge, detalje ugovaranja i osiguravanja dobave energenta i energetskog učinka, proračunsko-pravne probleme, hodogram projekata, identifikaciju projekata te razne tehničke priloge vezane uz intenzivnost potrošnje pojedinih javnih zgrada, primjere iz prakse te prijedlog ugovora sa svim stavkama. </w:t>
      </w:r>
    </w:p>
    <w:p w14:paraId="6E4689C3" w14:textId="77777777" w:rsidR="004424D1" w:rsidRPr="00A2724B" w:rsidRDefault="004424D1" w:rsidP="00840E2E">
      <w:pPr>
        <w:pStyle w:val="Heading3"/>
        <w:numPr>
          <w:ilvl w:val="0"/>
          <w:numId w:val="70"/>
        </w:numPr>
      </w:pPr>
      <w:r w:rsidRPr="00A2724B">
        <w:t>Druge planirane politike, mjere i programi za ostvarivanje okvirnog nacionalnog cilja povećanja energetske učinkovitosti za 2030., kao i drugi ciljevi iz odjeljka 2.2. (primjerice mjere kojima se postiže da javne zgrade i energetski učinkovita javna nabava budu uzor, mjere za promicanje energetskih pregleda i sustava gospodarenja energijom , informiranje potrošača i mjere osposobljavanja te druge mjere za promicanje energetske učinkovitosti )</w:t>
      </w:r>
    </w:p>
    <w:p w14:paraId="6E7D76A1" w14:textId="77777777" w:rsidR="00C21988" w:rsidRPr="00114C23" w:rsidRDefault="00C21988" w:rsidP="00725326">
      <w:pPr>
        <w:shd w:val="clear" w:color="auto" w:fill="DEEAF6" w:themeFill="accent1" w:themeFillTint="33"/>
        <w:ind w:left="705" w:hanging="705"/>
        <w:rPr>
          <w:rFonts w:cstheme="minorHAnsi"/>
          <w:i/>
        </w:rPr>
      </w:pPr>
      <w:r w:rsidRPr="00114C23">
        <w:rPr>
          <w:rFonts w:cstheme="minorHAnsi"/>
          <w:i/>
        </w:rPr>
        <w:t>Mjere u javnom sektoru</w:t>
      </w:r>
    </w:p>
    <w:p w14:paraId="1CE16A1D" w14:textId="2911BB7A" w:rsidR="00D61BE5" w:rsidRPr="00D54686" w:rsidRDefault="00D61BE5" w:rsidP="00D235FB">
      <w:pPr>
        <w:rPr>
          <w:rFonts w:cstheme="minorHAnsi"/>
        </w:rPr>
      </w:pPr>
      <w:r w:rsidRPr="00D54686">
        <w:rPr>
          <w:rFonts w:cstheme="minorHAnsi"/>
        </w:rPr>
        <w:t>Za javni sektor predviđa se nastavak provedbe postojećih mjera, uz širenje njihovog obuhvata</w:t>
      </w:r>
      <w:r w:rsidR="00D235FB" w:rsidRPr="00D54686">
        <w:rPr>
          <w:rFonts w:cstheme="minorHAnsi"/>
        </w:rPr>
        <w:t>.</w:t>
      </w:r>
      <w:r w:rsidRPr="00D54686">
        <w:rPr>
          <w:rFonts w:cstheme="minorHAnsi"/>
        </w:rPr>
        <w:t xml:space="preserve"> </w:t>
      </w:r>
    </w:p>
    <w:p w14:paraId="2751B8F5" w14:textId="5FE9ACFB" w:rsidR="00730965"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ENU-7</w:t>
      </w:r>
      <w:r w:rsidR="00DA25AD" w:rsidRPr="00286B4C">
        <w:rPr>
          <w:rFonts w:ascii="Arial" w:hAnsi="Arial" w:cs="Arial"/>
          <w:b/>
          <w:bCs/>
          <w:color w:val="000000"/>
          <w:sz w:val="22"/>
          <w:szCs w:val="22"/>
        </w:rPr>
        <w:t xml:space="preserve">: </w:t>
      </w:r>
      <w:r w:rsidR="00C21988" w:rsidRPr="00286B4C">
        <w:rPr>
          <w:rFonts w:ascii="Arial" w:hAnsi="Arial" w:cs="Arial"/>
          <w:b/>
          <w:bCs/>
          <w:color w:val="000000"/>
          <w:sz w:val="22"/>
          <w:szCs w:val="22"/>
        </w:rPr>
        <w:t xml:space="preserve">Sustavno gospodarenje energijom u javnom sektoru </w:t>
      </w:r>
    </w:p>
    <w:p w14:paraId="43DB6A3A" w14:textId="62E4DA83" w:rsidR="005A4DCE" w:rsidRPr="00840E2E" w:rsidRDefault="005A4DCE" w:rsidP="00286B4C">
      <w:pPr>
        <w:pStyle w:val="NormalWeb"/>
        <w:spacing w:after="120" w:line="288" w:lineRule="auto"/>
        <w:jc w:val="both"/>
        <w:rPr>
          <w:rFonts w:ascii="Arial" w:hAnsi="Arial" w:cs="Arial"/>
          <w:b/>
          <w:color w:val="000000"/>
          <w:sz w:val="22"/>
          <w:szCs w:val="22"/>
        </w:rPr>
      </w:pPr>
      <w:r w:rsidRPr="00840E2E">
        <w:rPr>
          <w:rFonts w:ascii="Arial" w:hAnsi="Arial" w:cs="Arial"/>
          <w:b/>
          <w:color w:val="000000"/>
          <w:sz w:val="22"/>
          <w:szCs w:val="22"/>
        </w:rPr>
        <w:t xml:space="preserve">Informacijska mjera; provedba 2014. -2030. </w:t>
      </w:r>
    </w:p>
    <w:p w14:paraId="5387159A" w14:textId="009FCB8E" w:rsidR="005A4DCE" w:rsidRPr="00286B4C" w:rsidRDefault="005A4DCE" w:rsidP="00286B4C">
      <w:pPr>
        <w:pStyle w:val="NormalWeb"/>
        <w:spacing w:after="120" w:line="288" w:lineRule="auto"/>
        <w:jc w:val="both"/>
      </w:pPr>
      <w:r w:rsidRPr="00286B4C">
        <w:rPr>
          <w:rFonts w:ascii="Arial" w:hAnsi="Arial" w:cs="Arial"/>
          <w:b/>
          <w:bCs/>
          <w:color w:val="000000"/>
          <w:sz w:val="22"/>
          <w:szCs w:val="22"/>
        </w:rPr>
        <w:t>Cilj i opis mjere</w:t>
      </w:r>
      <w:r w:rsidRPr="00223709">
        <w:rPr>
          <w:rFonts w:cs="Arial"/>
          <w:b/>
          <w:bCs/>
          <w:color w:val="000000"/>
          <w:lang w:eastAsia="en-GB"/>
        </w:rPr>
        <w:t>:</w:t>
      </w:r>
      <w:r w:rsidRPr="00223709">
        <w:rPr>
          <w:rFonts w:cs="Arial"/>
          <w:color w:val="000000"/>
          <w:lang w:eastAsia="en-GB"/>
        </w:rPr>
        <w:t xml:space="preserve"> </w:t>
      </w:r>
      <w:r w:rsidRPr="00286B4C">
        <w:rPr>
          <w:rFonts w:ascii="Arial" w:hAnsi="Arial"/>
          <w:sz w:val="22"/>
          <w:szCs w:val="22"/>
        </w:rPr>
        <w:t>Javni sektor u Hrvatskoj obvezan je sustavno gospodariti energijom, što je posebno propisano Zakonom o energetskoj učinkovitosti odnosno Pravilnikom o sustavnom gospodarenju energijom (</w:t>
      </w:r>
      <w:r w:rsidR="00880054" w:rsidRPr="00286B4C">
        <w:rPr>
          <w:rFonts w:ascii="Arial" w:hAnsi="Arial"/>
          <w:sz w:val="22"/>
          <w:szCs w:val="22"/>
        </w:rPr>
        <w:t>NN</w:t>
      </w:r>
      <w:r w:rsidRPr="00286B4C">
        <w:rPr>
          <w:rFonts w:ascii="Arial" w:hAnsi="Arial"/>
          <w:sz w:val="22"/>
          <w:szCs w:val="22"/>
        </w:rPr>
        <w:t xml:space="preserve"> 18/15, 06/16). Temelj mjere je informacijski sustav za gospodarenje energijom (ISGE). Cilj je obuhvatiti i redovno pratiti ISGE-om sve zgrade javnog sektora i sustave javne rasvjete do kraja 2030. godine. Uštede temeljene na aktivnostima sustavnog gospodarenja energijom i uvođenja daljinskog mjerenja u prethodnom razdoblju su utvrđene na oko 335 TJ godišnje (prema 4.NAPEnU). S obzirom da se na ovoj mjeri radi sustavno od 2014. godine, pretpostavljeni potencijal za uštede je smanjen na 100 TJ godišnje radi konzervativnosti procjene.</w:t>
      </w:r>
    </w:p>
    <w:p w14:paraId="4624B022" w14:textId="77777777" w:rsidR="005A4DCE" w:rsidRPr="00223709" w:rsidRDefault="005A4DCE" w:rsidP="005A4DCE">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0885DBAD" w14:textId="3E4D7A6B" w:rsidR="005A4DCE" w:rsidRPr="00223709" w:rsidRDefault="005A4DCE"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U razdoblju do 2021. godine provodit će se automatizacija prikupljanja podataka o potrošnji energenata i vode (daljinsko očitanje), povezivanje ISGE-a sa sustavima dobavljača energenata i vode, edukacija energetskih suradnika i savjetnika zaduženih za gospodarenje energijom u svojim zgradama te daljnji razvoj i unaprjeđenje ISGE-a. Naglasak će biti na razvoju modula</w:t>
      </w:r>
      <w:r w:rsidR="00E223DA">
        <w:rPr>
          <w:rFonts w:eastAsia="Calibri" w:cs="Arial"/>
          <w:color w:val="000000"/>
        </w:rPr>
        <w:t xml:space="preserve"> </w:t>
      </w:r>
      <w:r w:rsidRPr="00223709">
        <w:rPr>
          <w:rFonts w:eastAsia="Calibri" w:cs="Arial"/>
          <w:color w:val="000000"/>
        </w:rPr>
        <w:t xml:space="preserve">za praćenje i verificiranje ostvarenih ušteda nastalih po energetskoj obnovi kao i ispunjenja zadanog režima korištenja zgrade u svrhu postizanja i održavanja razine ugode. Ciljevi su: daljinskim očitanje do 2020. godine obuhvatiti sve lokacije unutar javnog sektora čija je potrošnje energije i vode veća od 400.000,00 kn/god, spojiti baze podatka opskrbljivača s bazom ISGE-a u svrhu automatskog prikupljanja podataka te spojiti ISGE sa svim relevantnim bazama energetskih podataka. Dodatno se do 2021. godine planira provedba mjera koje uključuju: </w:t>
      </w:r>
      <w:r w:rsidR="00AD2768">
        <w:rPr>
          <w:rFonts w:eastAsia="Calibri" w:cs="Arial"/>
          <w:color w:val="000000"/>
        </w:rPr>
        <w:t xml:space="preserve">analizu potencijala i </w:t>
      </w:r>
      <w:r w:rsidRPr="00223709">
        <w:rPr>
          <w:rFonts w:eastAsia="Calibri" w:cs="Arial"/>
          <w:color w:val="000000"/>
        </w:rPr>
        <w:t>optimizaciju ugovaranja vršne</w:t>
      </w:r>
      <w:r w:rsidR="00F47FB7">
        <w:rPr>
          <w:rFonts w:eastAsia="Calibri" w:cs="Arial"/>
          <w:color w:val="000000"/>
        </w:rPr>
        <w:t xml:space="preserve"> električne</w:t>
      </w:r>
      <w:r w:rsidRPr="00223709">
        <w:rPr>
          <w:rFonts w:eastAsia="Calibri" w:cs="Arial"/>
          <w:color w:val="000000"/>
        </w:rPr>
        <w:t xml:space="preserve"> snage, smanjenje prekomjerno preuzete jalove energije</w:t>
      </w:r>
      <w:r w:rsidR="005B3D40">
        <w:rPr>
          <w:rFonts w:eastAsia="Calibri" w:cs="Arial"/>
          <w:color w:val="000000"/>
        </w:rPr>
        <w:t xml:space="preserve"> te analizu potencijala i </w:t>
      </w:r>
      <w:r w:rsidRPr="00223709">
        <w:rPr>
          <w:rFonts w:eastAsia="Calibri" w:cs="Arial"/>
          <w:color w:val="000000"/>
        </w:rPr>
        <w:t>optimizaciju ugovaranja toplinske snage</w:t>
      </w:r>
      <w:r w:rsidR="005B3D40">
        <w:rPr>
          <w:rFonts w:eastAsia="Calibri" w:cs="Arial"/>
          <w:color w:val="000000"/>
        </w:rPr>
        <w:t>.</w:t>
      </w:r>
      <w:r w:rsidRPr="00223709">
        <w:rPr>
          <w:rFonts w:eastAsia="Calibri" w:cs="Arial"/>
          <w:color w:val="000000"/>
        </w:rPr>
        <w:t xml:space="preserve"> </w:t>
      </w:r>
    </w:p>
    <w:p w14:paraId="12493D1D" w14:textId="77777777" w:rsidR="005A4DCE" w:rsidRPr="00223709" w:rsidRDefault="005A4DCE"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U razdoblju od 2021. do 2030. godine planira se u svim objektima javnog sektora uvesti sustav gospodarenja energijom te primjena ISGE-a te unaprijediti i proširiti cijeli sustav kroz sljedeće aktivnosti:</w:t>
      </w:r>
    </w:p>
    <w:p w14:paraId="1EBA3D08" w14:textId="77777777" w:rsidR="005A4DCE" w:rsidRPr="00223709" w:rsidRDefault="005A4DCE" w:rsidP="00840E2E">
      <w:pPr>
        <w:numPr>
          <w:ilvl w:val="0"/>
          <w:numId w:val="94"/>
        </w:numPr>
        <w:suppressAutoHyphens w:val="0"/>
        <w:spacing w:before="0" w:after="0" w:line="240" w:lineRule="auto"/>
        <w:rPr>
          <w:rFonts w:eastAsia="Calibri" w:cs="Arial"/>
          <w:color w:val="000000"/>
        </w:rPr>
      </w:pPr>
      <w:r w:rsidRPr="00223709">
        <w:rPr>
          <w:rFonts w:eastAsia="Calibri" w:cs="Arial"/>
          <w:color w:val="000000"/>
        </w:rPr>
        <w:t>Objediniti sve instalirane sustave daljinskog očitanja u ISGE;</w:t>
      </w:r>
    </w:p>
    <w:p w14:paraId="69C417EC" w14:textId="77777777" w:rsidR="005A4DCE" w:rsidRPr="00223709" w:rsidRDefault="005A4DCE" w:rsidP="00840E2E">
      <w:pPr>
        <w:numPr>
          <w:ilvl w:val="0"/>
          <w:numId w:val="94"/>
        </w:numPr>
        <w:suppressAutoHyphens w:val="0"/>
        <w:spacing w:before="0" w:after="0" w:line="240" w:lineRule="auto"/>
        <w:rPr>
          <w:rFonts w:eastAsia="Calibri" w:cs="Arial"/>
          <w:color w:val="000000"/>
        </w:rPr>
      </w:pPr>
      <w:r w:rsidRPr="00223709">
        <w:rPr>
          <w:rFonts w:eastAsia="Calibri" w:cs="Arial"/>
          <w:color w:val="000000"/>
        </w:rPr>
        <w:t>Integrirati ISGE s ostalim bazama: DGU (Geoportal Državne geodetske uprave), katastar, registar zaštićenih objekata, IEC, SMIV i dr.);</w:t>
      </w:r>
    </w:p>
    <w:p w14:paraId="22D6A588" w14:textId="3D5E2174" w:rsidR="005A4DCE" w:rsidRPr="00223709" w:rsidRDefault="005A4DCE" w:rsidP="00840E2E">
      <w:pPr>
        <w:numPr>
          <w:ilvl w:val="0"/>
          <w:numId w:val="94"/>
        </w:numPr>
        <w:suppressAutoHyphens w:val="0"/>
        <w:spacing w:before="0" w:after="0" w:line="240" w:lineRule="auto"/>
        <w:rPr>
          <w:rFonts w:eastAsia="Calibri" w:cs="Arial"/>
          <w:color w:val="000000"/>
        </w:rPr>
      </w:pPr>
      <w:r w:rsidRPr="00223709">
        <w:rPr>
          <w:rFonts w:eastAsia="Calibri" w:cs="Arial"/>
          <w:color w:val="000000"/>
        </w:rPr>
        <w:t>Propisati ISGE kao sustav za verifikaciju stvarnih ušteda nastalih nakon obnove zgrade (definirati koje podatke senzori u prostorijama šalju u sustav, ISGE je već spreman primati podatke)</w:t>
      </w:r>
      <w:r w:rsidR="00213498">
        <w:rPr>
          <w:rFonts w:eastAsia="Calibri" w:cs="Arial"/>
          <w:color w:val="000000"/>
        </w:rPr>
        <w:t xml:space="preserve"> te izraditi metodologiju </w:t>
      </w:r>
      <w:r w:rsidR="00D83008">
        <w:rPr>
          <w:rFonts w:eastAsia="Calibri" w:cs="Arial"/>
          <w:color w:val="000000"/>
        </w:rPr>
        <w:t>izračuna i verifikacije stvarnih ušteda</w:t>
      </w:r>
      <w:r w:rsidR="00BF7C66">
        <w:rPr>
          <w:rFonts w:eastAsia="Calibri" w:cs="Arial"/>
          <w:color w:val="000000"/>
        </w:rPr>
        <w:t xml:space="preserve"> nastalih nakon obnove zgrade uzimajući u obzir </w:t>
      </w:r>
      <w:r w:rsidR="002A1606">
        <w:rPr>
          <w:rFonts w:eastAsia="Calibri" w:cs="Arial"/>
          <w:color w:val="000000"/>
        </w:rPr>
        <w:t>zadovoljavanje zadanog režima korištenja zgrade;</w:t>
      </w:r>
    </w:p>
    <w:p w14:paraId="1F99225B" w14:textId="77777777" w:rsidR="005A4DCE" w:rsidRPr="00223709" w:rsidRDefault="005A4DCE" w:rsidP="00840E2E">
      <w:pPr>
        <w:numPr>
          <w:ilvl w:val="0"/>
          <w:numId w:val="94"/>
        </w:numPr>
        <w:suppressAutoHyphens w:val="0"/>
        <w:spacing w:before="0" w:after="0" w:line="240" w:lineRule="auto"/>
        <w:rPr>
          <w:rFonts w:eastAsia="Calibri" w:cs="Arial"/>
          <w:color w:val="000000"/>
        </w:rPr>
      </w:pPr>
      <w:r w:rsidRPr="00223709">
        <w:rPr>
          <w:rFonts w:eastAsia="Calibri" w:cs="Arial"/>
          <w:color w:val="000000"/>
        </w:rPr>
        <w:t>Širenje upotrebe ISGE-a u sve sektore (privatni, industrijski...) na dobrovoljnoj bazi i/ili kao obveza vezana uz primitak financijske pomoći za obnovu odnosno provedbu mjera energetske učinkovitosti;</w:t>
      </w:r>
    </w:p>
    <w:p w14:paraId="50C7CFA1" w14:textId="77777777" w:rsidR="005A4DCE" w:rsidRPr="00223709" w:rsidRDefault="005A4DCE" w:rsidP="00840E2E">
      <w:pPr>
        <w:numPr>
          <w:ilvl w:val="0"/>
          <w:numId w:val="94"/>
        </w:numPr>
        <w:suppressAutoHyphens w:val="0"/>
        <w:spacing w:before="0" w:after="0" w:line="240" w:lineRule="auto"/>
        <w:rPr>
          <w:rFonts w:eastAsia="Calibri" w:cs="Arial"/>
          <w:color w:val="000000"/>
        </w:rPr>
      </w:pPr>
      <w:r w:rsidRPr="00223709">
        <w:rPr>
          <w:rFonts w:eastAsia="Calibri" w:cs="Arial"/>
          <w:color w:val="000000"/>
        </w:rPr>
        <w:t>Unaprjeđenje ISGE-a tako da je njime moguće provesti financijske analize isplativosti obnove na temelju stvarnih podataka;</w:t>
      </w:r>
    </w:p>
    <w:p w14:paraId="1C7533C6" w14:textId="00839607" w:rsidR="005A4DCE" w:rsidRDefault="005A4DCE" w:rsidP="00840E2E">
      <w:pPr>
        <w:numPr>
          <w:ilvl w:val="0"/>
          <w:numId w:val="94"/>
        </w:numPr>
        <w:suppressAutoHyphens w:val="0"/>
        <w:spacing w:before="0" w:after="0" w:line="240" w:lineRule="auto"/>
        <w:rPr>
          <w:rFonts w:eastAsia="Calibri" w:cs="Arial"/>
          <w:color w:val="000000"/>
        </w:rPr>
      </w:pPr>
      <w:r w:rsidRPr="00223709">
        <w:rPr>
          <w:rFonts w:eastAsia="Calibri" w:cs="Arial"/>
          <w:color w:val="000000"/>
        </w:rPr>
        <w:t>Razvoj ISGE-a u smjeru tzv. umjetne inteligencije, pri čemu bi sustav prema unesenim parametrima sam predlagao mjere u svrhu povećanja energetske učinkovitosti</w:t>
      </w:r>
      <w:r w:rsidR="001D6C93">
        <w:rPr>
          <w:rFonts w:eastAsia="Calibri" w:cs="Arial"/>
          <w:color w:val="000000"/>
        </w:rPr>
        <w:t>;</w:t>
      </w:r>
    </w:p>
    <w:p w14:paraId="5A3F3B05" w14:textId="531F4A62" w:rsidR="001D6C93" w:rsidRPr="00286B4C" w:rsidRDefault="001D6C93" w:rsidP="00840E2E">
      <w:pPr>
        <w:pStyle w:val="ListParagraph"/>
        <w:numPr>
          <w:ilvl w:val="0"/>
          <w:numId w:val="94"/>
        </w:numPr>
        <w:rPr>
          <w:rFonts w:eastAsia="Calibri" w:cs="Arial"/>
          <w:color w:val="000000"/>
        </w:rPr>
      </w:pPr>
      <w:r w:rsidRPr="001D6C93">
        <w:rPr>
          <w:rFonts w:eastAsia="Calibri" w:cs="Arial"/>
          <w:color w:val="000000"/>
          <w:lang w:eastAsia="hr-HR"/>
        </w:rPr>
        <w:t>Uvođenje mjernih uređaja/senzora za mjerenje unutrašnje temperature i kvalitete zraka u zgrade javne namjene i povezivanje s ISGE</w:t>
      </w:r>
      <w:r w:rsidR="005E6EF6">
        <w:rPr>
          <w:rFonts w:eastAsia="Calibri" w:cs="Arial"/>
          <w:color w:val="000000"/>
          <w:lang w:eastAsia="hr-HR"/>
        </w:rPr>
        <w:t>.</w:t>
      </w:r>
    </w:p>
    <w:p w14:paraId="574FF610" w14:textId="77777777" w:rsidR="005A4DCE" w:rsidRPr="00223709" w:rsidRDefault="005A4DCE"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Osim unaprjeđenja ISGE, ova mjera predviđa nastavak i povećanje opsega edukacija za institucije javnog i ostalih sektora, stvaranje baze korisnika koji su dobro upoznati s energetskom učinkovitošću i kapacitirani po tom pitanju djelovati unutar svojih institucija te razradu prijedloga da 'energetski menadžer' postane radno mjesto u javnim institucijama.</w:t>
      </w:r>
    </w:p>
    <w:p w14:paraId="319FBA6D" w14:textId="77777777" w:rsidR="005A4DCE" w:rsidRPr="00223709" w:rsidRDefault="005A4DCE" w:rsidP="005A4DCE">
      <w:pPr>
        <w:suppressAutoHyphens w:val="0"/>
        <w:spacing w:before="0" w:after="0" w:line="240" w:lineRule="auto"/>
        <w:ind w:left="720"/>
        <w:rPr>
          <w:rFonts w:eastAsia="Calibri" w:cs="Arial"/>
          <w:color w:val="000000"/>
        </w:rPr>
      </w:pPr>
    </w:p>
    <w:p w14:paraId="57BFAFAD" w14:textId="77777777" w:rsidR="005A4DCE" w:rsidRPr="00223709" w:rsidRDefault="005A4DCE" w:rsidP="005A4DCE">
      <w:pPr>
        <w:suppressAutoHyphens w:val="0"/>
        <w:spacing w:before="0" w:after="0" w:line="240" w:lineRule="auto"/>
        <w:rPr>
          <w:rFonts w:eastAsia="Calibri" w:cs="Arial"/>
          <w:color w:val="000000"/>
        </w:rPr>
      </w:pPr>
      <w:r w:rsidRPr="00223709">
        <w:rPr>
          <w:rFonts w:cs="Arial"/>
          <w:b/>
          <w:bCs/>
          <w:color w:val="000000"/>
          <w:lang w:eastAsia="en-GB"/>
        </w:rPr>
        <w:t xml:space="preserve">Sredstva potrebna za provedbu: </w:t>
      </w:r>
      <w:r w:rsidRPr="00223709">
        <w:rPr>
          <w:rFonts w:cs="Arial"/>
          <w:color w:val="000000"/>
          <w:lang w:eastAsia="en-GB"/>
        </w:rPr>
        <w:t>Sredstva potrebna za provedbu svih predviđenih aktivnosti planira APN u sklopu svojih redovnih aktivnosti i proračuna</w:t>
      </w:r>
    </w:p>
    <w:p w14:paraId="6FC37602" w14:textId="77777777" w:rsidR="005A4DCE" w:rsidRPr="00223709" w:rsidRDefault="005A4DCE" w:rsidP="005A4DCE">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Državni proračun (APN)</w:t>
      </w:r>
    </w:p>
    <w:p w14:paraId="389315BA" w14:textId="72756226" w:rsidR="005A4DCE" w:rsidRPr="00223709" w:rsidRDefault="005A4DCE" w:rsidP="005A4DCE">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APN</w:t>
      </w:r>
    </w:p>
    <w:p w14:paraId="7DB542BB" w14:textId="77777777" w:rsidR="005A4DCE" w:rsidRPr="00223709" w:rsidRDefault="005A4DCE" w:rsidP="005A4DCE">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2DCDE8AF" w14:textId="77777777" w:rsidR="005A4DCE" w:rsidRPr="00223709" w:rsidRDefault="005A4DCE" w:rsidP="005A4DCE">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potrošnje energije u javnim zgradama; promjene navika i ponašanja korisnika zgrada javnog sektora; procijenjene uštede u 2030.</w:t>
      </w:r>
      <w:r w:rsidRPr="00223709">
        <w:rPr>
          <w:rFonts w:eastAsia="Calibri" w:cs="Arial"/>
        </w:rPr>
        <w:t xml:space="preserve"> </w:t>
      </w:r>
      <w:r w:rsidRPr="00223709">
        <w:rPr>
          <w:rFonts w:cs="Arial"/>
          <w:color w:val="000000"/>
          <w:lang w:eastAsia="en-GB"/>
        </w:rPr>
        <w:t>0,20 PJ (4,78 ktoe); procijenjeno smanjenje emisija CO</w:t>
      </w:r>
      <w:r w:rsidRPr="00223709">
        <w:rPr>
          <w:rFonts w:cs="Arial"/>
          <w:color w:val="000000"/>
          <w:vertAlign w:val="subscript"/>
          <w:lang w:eastAsia="en-GB"/>
        </w:rPr>
        <w:t>2</w:t>
      </w:r>
      <w:r w:rsidRPr="00223709">
        <w:rPr>
          <w:rFonts w:cs="Arial"/>
          <w:color w:val="000000"/>
          <w:lang w:eastAsia="en-GB"/>
        </w:rPr>
        <w:t xml:space="preserve"> u 2030. 5,50 ktCO</w:t>
      </w:r>
      <w:r w:rsidRPr="00223709">
        <w:rPr>
          <w:rFonts w:cs="Arial"/>
          <w:color w:val="000000"/>
          <w:vertAlign w:val="subscript"/>
          <w:lang w:eastAsia="en-GB"/>
        </w:rPr>
        <w:t>2e</w:t>
      </w:r>
      <w:r w:rsidRPr="00223709">
        <w:rPr>
          <w:rFonts w:cs="Arial"/>
          <w:color w:val="000000"/>
          <w:lang w:eastAsia="en-GB"/>
        </w:rPr>
        <w:t>; kumulativne uštede energije u razdoblju 2021.-2030. 1,90 PJ (45,41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54,13 ktCO</w:t>
      </w:r>
      <w:r w:rsidRPr="00223709">
        <w:rPr>
          <w:rFonts w:cs="Arial"/>
          <w:color w:val="000000"/>
          <w:vertAlign w:val="subscript"/>
          <w:lang w:eastAsia="en-GB"/>
        </w:rPr>
        <w:t>2e</w:t>
      </w:r>
    </w:p>
    <w:p w14:paraId="4F645904" w14:textId="1C433B3A" w:rsidR="005A4DCE" w:rsidRPr="00223709" w:rsidRDefault="005A4DCE" w:rsidP="005A4DCE">
      <w:pPr>
        <w:suppressAutoHyphens w:val="0"/>
        <w:spacing w:before="0" w:after="0" w:line="240" w:lineRule="auto"/>
        <w:rPr>
          <w:rFonts w:eastAsia="Calibri" w:cs="Arial"/>
          <w:color w:val="000000"/>
        </w:rPr>
      </w:pPr>
      <w:r w:rsidRPr="00223709">
        <w:rPr>
          <w:rFonts w:cs="Arial"/>
          <w:b/>
          <w:bCs/>
          <w:color w:val="000000"/>
          <w:lang w:eastAsia="en-GB"/>
        </w:rPr>
        <w:t>Metoda praćenja:</w:t>
      </w:r>
      <w:r w:rsidRPr="00223709">
        <w:rPr>
          <w:rFonts w:cs="Arial"/>
          <w:color w:val="000000"/>
          <w:lang w:eastAsia="en-GB"/>
        </w:rPr>
        <w:t xml:space="preserve"> Do sada je praćenje ostvarenih ušteda energije omogućeno ISGE sustavom osnovnim i naprednim analizama baze podataka. Ostvarene uštede temelje se na mjerenim podacima o potrošnji svih oblika energije. Sinkronizacijom baza dobivaju se provjereni</w:t>
      </w:r>
      <w:r w:rsidR="00E223DA">
        <w:rPr>
          <w:rFonts w:cs="Arial"/>
          <w:color w:val="000000"/>
          <w:lang w:eastAsia="en-GB"/>
        </w:rPr>
        <w:t xml:space="preserve"> </w:t>
      </w:r>
      <w:r w:rsidRPr="00223709">
        <w:rPr>
          <w:rFonts w:cs="Arial"/>
          <w:color w:val="000000"/>
          <w:lang w:eastAsia="en-GB"/>
        </w:rPr>
        <w:t>podaci, a povezivanjem s mjernim sustavima dobivaju se „real-time“ podaci koji omogućuju strateško planiranje i provođenje mjera. Na temelju direktnog satnog praćenja potrošnje energije i vode putem ISGE sustava dobivaju se kvalitetni pokazatelji energetskih potreba te se prema njima može bolje planirati i raspolagati sredstvima.</w:t>
      </w:r>
    </w:p>
    <w:p w14:paraId="57B7C751" w14:textId="77777777" w:rsidR="005A4DCE" w:rsidRPr="00223709" w:rsidRDefault="005A4DCE" w:rsidP="005A4DCE">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 xml:space="preserve">sustavnim praćenjem i razumijevanjem potrošnje energije, javni sektor će se kapacitirati da postane informirani sudionik na energetskom tržištu </w:t>
      </w:r>
    </w:p>
    <w:p w14:paraId="40665899" w14:textId="77777777" w:rsidR="005A4DCE" w:rsidRPr="00223709" w:rsidRDefault="005A4DCE" w:rsidP="005A4DCE">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3161CE2F" w14:textId="77777777" w:rsidR="005A4DCE" w:rsidRPr="00223709" w:rsidRDefault="005A4DCE" w:rsidP="005A4DCE">
      <w:pPr>
        <w:suppressAutoHyphens w:val="0"/>
        <w:spacing w:before="0" w:after="0" w:line="240" w:lineRule="auto"/>
        <w:rPr>
          <w:rFonts w:cs="Arial"/>
          <w:color w:val="000000"/>
          <w:highlight w:val="yellow"/>
          <w:lang w:eastAsia="en-GB"/>
        </w:rPr>
      </w:pPr>
      <w:r w:rsidRPr="00223709">
        <w:rPr>
          <w:rFonts w:cs="Arial"/>
          <w:b/>
          <w:bCs/>
          <w:color w:val="000000"/>
          <w:lang w:eastAsia="en-GB"/>
        </w:rPr>
        <w:t>Istraživanje i razvoj</w:t>
      </w:r>
      <w:r w:rsidRPr="00223709">
        <w:rPr>
          <w:rFonts w:cs="Arial"/>
          <w:color w:val="000000"/>
          <w:lang w:eastAsia="en-GB"/>
        </w:rPr>
        <w:t>: obveza sustavnog gospodarenja energijom u javnom sektoru poticajna je za istraživanje i razvoj u domeni praćenja i upravljanja energetskom potrošnjom u zgradama temeljenih na informacijsko-komunikacijskim tehnologijama</w:t>
      </w:r>
    </w:p>
    <w:p w14:paraId="3069FC85" w14:textId="6C15684E" w:rsidR="00C21988"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ENU-8</w:t>
      </w:r>
      <w:r w:rsidR="00DA25AD" w:rsidRPr="00286B4C">
        <w:rPr>
          <w:rFonts w:ascii="Arial" w:hAnsi="Arial" w:cs="Arial"/>
          <w:b/>
          <w:bCs/>
          <w:color w:val="000000"/>
          <w:sz w:val="22"/>
          <w:szCs w:val="22"/>
        </w:rPr>
        <w:t xml:space="preserve">: </w:t>
      </w:r>
      <w:r w:rsidR="00C21988" w:rsidRPr="00286B4C">
        <w:rPr>
          <w:rFonts w:ascii="Arial" w:hAnsi="Arial" w:cs="Arial"/>
          <w:b/>
          <w:bCs/>
          <w:color w:val="000000"/>
          <w:sz w:val="22"/>
          <w:szCs w:val="22"/>
        </w:rPr>
        <w:t xml:space="preserve">Program </w:t>
      </w:r>
      <w:r w:rsidR="001E1A76" w:rsidRPr="00286B4C">
        <w:rPr>
          <w:rFonts w:ascii="Arial" w:hAnsi="Arial" w:cs="Arial"/>
          <w:b/>
          <w:bCs/>
          <w:color w:val="000000"/>
          <w:sz w:val="22"/>
          <w:szCs w:val="22"/>
        </w:rPr>
        <w:t xml:space="preserve">energetske obnove </w:t>
      </w:r>
      <w:r w:rsidR="00C21988" w:rsidRPr="00286B4C">
        <w:rPr>
          <w:rFonts w:ascii="Arial" w:hAnsi="Arial" w:cs="Arial"/>
          <w:b/>
          <w:bCs/>
          <w:color w:val="000000"/>
          <w:sz w:val="22"/>
          <w:szCs w:val="22"/>
        </w:rPr>
        <w:t>javn</w:t>
      </w:r>
      <w:r w:rsidR="001E1A76" w:rsidRPr="00286B4C">
        <w:rPr>
          <w:rFonts w:ascii="Arial" w:hAnsi="Arial" w:cs="Arial"/>
          <w:b/>
          <w:bCs/>
          <w:color w:val="000000"/>
          <w:sz w:val="22"/>
          <w:szCs w:val="22"/>
        </w:rPr>
        <w:t>e</w:t>
      </w:r>
      <w:r w:rsidR="00C21988" w:rsidRPr="00286B4C">
        <w:rPr>
          <w:rFonts w:ascii="Arial" w:hAnsi="Arial" w:cs="Arial"/>
          <w:b/>
          <w:bCs/>
          <w:color w:val="000000"/>
          <w:sz w:val="22"/>
          <w:szCs w:val="22"/>
        </w:rPr>
        <w:t xml:space="preserve"> </w:t>
      </w:r>
      <w:r w:rsidR="001E1A76" w:rsidRPr="00286B4C">
        <w:rPr>
          <w:rFonts w:ascii="Arial" w:hAnsi="Arial" w:cs="Arial"/>
          <w:b/>
          <w:bCs/>
          <w:color w:val="000000"/>
          <w:sz w:val="22"/>
          <w:szCs w:val="22"/>
        </w:rPr>
        <w:t>rasvjete</w:t>
      </w:r>
    </w:p>
    <w:p w14:paraId="5C4E60EB" w14:textId="77777777" w:rsidR="00265693" w:rsidRPr="00286B4C" w:rsidRDefault="00265693"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Financijska mjera, energetske usluge; provedba 2021. -2030. </w:t>
      </w:r>
    </w:p>
    <w:p w14:paraId="15019037" w14:textId="7208A6EB" w:rsidR="00265693" w:rsidRPr="003A0358" w:rsidRDefault="00265693" w:rsidP="00286B4C">
      <w:pPr>
        <w:pStyle w:val="NormalWeb"/>
        <w:spacing w:after="120" w:line="288" w:lineRule="auto"/>
        <w:jc w:val="both"/>
        <w:rPr>
          <w:rFonts w:cs="Arial"/>
          <w:color w:val="000000"/>
          <w:lang w:eastAsia="en-GB"/>
        </w:rPr>
      </w:pPr>
      <w:r w:rsidRPr="00286B4C">
        <w:rPr>
          <w:rFonts w:ascii="Arial" w:hAnsi="Arial" w:cs="Arial"/>
          <w:b/>
          <w:bCs/>
          <w:color w:val="000000"/>
          <w:sz w:val="22"/>
          <w:szCs w:val="22"/>
        </w:rPr>
        <w:t>Cilj i opis mjere</w:t>
      </w:r>
      <w:r w:rsidRPr="00223709">
        <w:rPr>
          <w:rFonts w:cs="Arial"/>
          <w:b/>
          <w:bCs/>
          <w:color w:val="000000"/>
          <w:lang w:eastAsia="en-GB"/>
        </w:rPr>
        <w:t>:</w:t>
      </w:r>
      <w:r w:rsidRPr="00223709">
        <w:rPr>
          <w:rFonts w:cs="Arial"/>
          <w:color w:val="000000"/>
          <w:lang w:eastAsia="en-GB"/>
        </w:rPr>
        <w:t xml:space="preserve"> </w:t>
      </w:r>
      <w:r w:rsidRPr="003A0358">
        <w:rPr>
          <w:rFonts w:ascii="Arial" w:hAnsi="Arial" w:cs="Arial"/>
          <w:color w:val="000000"/>
          <w:sz w:val="22"/>
          <w:szCs w:val="22"/>
          <w:lang w:eastAsia="en-GB"/>
        </w:rPr>
        <w:t>Energetska obnova javne rasvjete u Republici Hrvatskoj trenutno se provodi se korištenjem ESI sredstava iz Europskog fonda za regionalni razvij i to korištenjem financijskog instrumenta kredita s povoljnim kamatnim stopama kojega JLP(R)S-ima nudi HBOR . U tu svrhu raspoloživo je 152 milijuna kn, a kreditom se pokriva do 100% prihvatljivih troškova projekta. Predviđa se da će se ova financijska alokacija iskoristiti do 2020. godine, a najkasnije do 2023. godine. Procijenjene uštede ove prve faze Programa su oko 15 GWh u 2020. (2023.) godini. S obzirom na značajan potencijal koji postoji u sustavima javne rasvjete, planira se korištenje ESI fondova i u sljedećem programskom razdoblju 2021.-2027. godine. Programiranjem veće alokacije sredstava za ovu svrhu, mogao bi se iskoristiti postojeći potencijal do kraja 2030. godine, koji je procijenjen na oko 225 – 280 GWh. Istodobno, obnovom javne rasvjete ostvarilo bi se zadovoljavanje tehničkih normi za rasvijetljenost prometnica, što znači da bi se poboljšala sigurnost prometa te bi se smanjilo svjetlosno onečišćenje. Modeli financiranja koji će se koristiti u sljedećem razdoblju trebaju omogućiti i mobilizaciju privatnog kapitala putem energetske usluge ili javno-privatnog partnerstva, kako bi se postigao što bolji multiplikacijski efekt. Modeli koje treba razmotriti uključuju subvencije kamatne stope na komercijalne kredite / zahtijevanog prinosa pružatelju usluge i garancije, a za projekte koji zahtijevaju investiciju u novu infrastrukturu javne rasvjete (stupove, dodatne svjetiljke i slično) radi zadovoljavanja normiranih svjetlotehničkih zahtjeva nužno je osigurati bespovratna sredstva. Pretpostavljeno je da će se do kraja 2030.godine ostvariti sav procijenjeni potencijal za poboljšanje energetske učinkovitosti sustava javne rasvjete pa je pretpostavljena godišnja ušteda električne energije od 25 GWh (0,90 PJ; 2,15 ktoe)</w:t>
      </w:r>
      <w:r w:rsidR="00297E03">
        <w:rPr>
          <w:rFonts w:ascii="Arial" w:hAnsi="Arial" w:cs="Arial"/>
          <w:color w:val="000000"/>
          <w:sz w:val="22"/>
          <w:szCs w:val="22"/>
          <w:lang w:eastAsia="en-GB"/>
        </w:rPr>
        <w:t xml:space="preserve"> </w:t>
      </w:r>
      <w:r w:rsidR="00297E03">
        <w:rPr>
          <w:rFonts w:ascii="Arial" w:hAnsi="Arial"/>
          <w:sz w:val="22"/>
          <w:szCs w:val="22"/>
        </w:rPr>
        <w:t>(</w:t>
      </w:r>
      <w:r w:rsidR="00297E03" w:rsidRPr="00F13914">
        <w:rPr>
          <w:rFonts w:ascii="Arial" w:hAnsi="Arial"/>
          <w:b/>
          <w:sz w:val="22"/>
          <w:szCs w:val="22"/>
        </w:rPr>
        <w:t>napomena:</w:t>
      </w:r>
      <w:r w:rsidR="00297E03">
        <w:rPr>
          <w:rFonts w:ascii="Arial" w:hAnsi="Arial"/>
          <w:sz w:val="22"/>
          <w:szCs w:val="22"/>
        </w:rPr>
        <w:t xml:space="preserve"> ciljevi, uvjeti i aktivnosti dani u ovom dokumentu su okvirni, a detaljno će se utvrditi u samom Programu energetske obnove zgrada javnog sektora za razdoblje od 2021. do 2030.)</w:t>
      </w:r>
      <w:r w:rsidR="00297E03" w:rsidRPr="00286B4C">
        <w:rPr>
          <w:rFonts w:ascii="Arial" w:hAnsi="Arial"/>
          <w:sz w:val="22"/>
          <w:szCs w:val="22"/>
        </w:rPr>
        <w:t>.</w:t>
      </w:r>
    </w:p>
    <w:p w14:paraId="22B0DB30" w14:textId="77777777" w:rsidR="00265693" w:rsidRPr="00223709" w:rsidRDefault="00265693" w:rsidP="00265693">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75D58033" w14:textId="77777777" w:rsidR="00265693" w:rsidRPr="00223709" w:rsidRDefault="00265693"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Tijekom 2020. godine MZOE će izraditi Program energetske obnove sustava javne rasvjete za razdoblje od 2021. do 2030. godine, kojega usvaja Vlada, a koji je temelj za korištenje sredstava ESI fondova u programskom razdoblju od 2021. do 2027. godine;</w:t>
      </w:r>
    </w:p>
    <w:p w14:paraId="1AA41479" w14:textId="77777777" w:rsidR="00265693" w:rsidRPr="00223709" w:rsidRDefault="00265693"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Sama provedba Programa treba započeti u 2021. godini primjenom odabranog modela financiranja, koji uključuje energetske usluge i javno-privatno partnerstvo i usklađen je s pravilima korištenja ESI fondova.</w:t>
      </w:r>
    </w:p>
    <w:p w14:paraId="23B227D2" w14:textId="77777777" w:rsidR="00265693" w:rsidRPr="00223709" w:rsidRDefault="00265693" w:rsidP="00265693">
      <w:pPr>
        <w:suppressAutoHyphens w:val="0"/>
        <w:spacing w:before="0" w:after="0" w:line="240" w:lineRule="auto"/>
        <w:ind w:left="720"/>
        <w:rPr>
          <w:rFonts w:eastAsia="Calibri" w:cs="Arial"/>
          <w:color w:val="000000"/>
        </w:rPr>
      </w:pPr>
    </w:p>
    <w:p w14:paraId="04AE702B" w14:textId="77777777" w:rsidR="00265693" w:rsidRPr="00223709" w:rsidRDefault="00265693" w:rsidP="00265693">
      <w:pPr>
        <w:suppressAutoHyphens w:val="0"/>
        <w:spacing w:before="0" w:after="0" w:line="240" w:lineRule="auto"/>
        <w:rPr>
          <w:rFonts w:eastAsia="Calibri" w:cs="Arial"/>
          <w:color w:val="000000"/>
        </w:rPr>
      </w:pPr>
      <w:r w:rsidRPr="00223709">
        <w:rPr>
          <w:rFonts w:cs="Arial"/>
          <w:b/>
          <w:bCs/>
          <w:color w:val="000000"/>
          <w:lang w:eastAsia="en-GB"/>
        </w:rPr>
        <w:t xml:space="preserve">Sredstva potrebna za provedbu: </w:t>
      </w:r>
      <w:r w:rsidRPr="00223709">
        <w:rPr>
          <w:rFonts w:cs="Arial"/>
          <w:color w:val="000000"/>
          <w:lang w:eastAsia="en-GB"/>
        </w:rPr>
        <w:t>Procijenjeni investicijski trošak u razdoblju 2021.-2030 je 2,88 milijardi kn.</w:t>
      </w:r>
    </w:p>
    <w:p w14:paraId="3311E309" w14:textId="77777777" w:rsidR="00265693" w:rsidRPr="00223709" w:rsidRDefault="00265693" w:rsidP="00265693">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Potrebno je osigurati sredstava iz ESI fondova za odabrani model financiranja, poželjno subvencije kamatnih stopa komercijalnih kredita, garancije za pružatelje usluga i bespovratna sredstva za projekte koji nisu isplativi u prihvatljivom vremenskom okviru.</w:t>
      </w:r>
    </w:p>
    <w:p w14:paraId="503F99B3" w14:textId="35B59EA4" w:rsidR="00265693" w:rsidRPr="00223709" w:rsidRDefault="00265693" w:rsidP="00265693">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MZOE – utvrđuje model provedbe; definira kriterije prihvaćanja projekata, sklapa ugovor s HBOR/FZOEU o provedbi Programa; HBOR/FZOEU – suradnja s komercijalnim bankama; operativna provedba Programa; JLP(R)S – pokretanje projekata, ugovaranje energetske usluge/JPP</w:t>
      </w:r>
    </w:p>
    <w:p w14:paraId="32F8422B" w14:textId="77777777" w:rsidR="00265693" w:rsidRPr="00223709" w:rsidRDefault="00265693" w:rsidP="00265693">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790F32CD" w14:textId="77777777" w:rsidR="00265693" w:rsidRPr="00223709" w:rsidRDefault="00265693" w:rsidP="00265693">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potrošnje električne energije u sustavima javne rasvjete, smanjenje svjetlosnog onečišćenja; procijenjene uštede u 2030.</w:t>
      </w:r>
      <w:r w:rsidRPr="00223709">
        <w:rPr>
          <w:rFonts w:eastAsia="Calibri" w:cs="Arial"/>
        </w:rPr>
        <w:t xml:space="preserve"> </w:t>
      </w:r>
      <w:r w:rsidRPr="00223709">
        <w:rPr>
          <w:rFonts w:cs="Arial"/>
          <w:color w:val="000000"/>
          <w:lang w:eastAsia="en-GB"/>
        </w:rPr>
        <w:t>0,90 PJ (21,50 ktoe); procijenjeno smanjenje emisija CO</w:t>
      </w:r>
      <w:r w:rsidRPr="00223709">
        <w:rPr>
          <w:rFonts w:cs="Arial"/>
          <w:color w:val="000000"/>
          <w:vertAlign w:val="subscript"/>
          <w:lang w:eastAsia="en-GB"/>
        </w:rPr>
        <w:t>2</w:t>
      </w:r>
      <w:r w:rsidRPr="00223709">
        <w:rPr>
          <w:rFonts w:cs="Arial"/>
          <w:color w:val="000000"/>
          <w:lang w:eastAsia="en-GB"/>
        </w:rPr>
        <w:t xml:space="preserve"> u 2030. 19,60 ktCO</w:t>
      </w:r>
      <w:r w:rsidRPr="00223709">
        <w:rPr>
          <w:rFonts w:cs="Arial"/>
          <w:color w:val="000000"/>
          <w:vertAlign w:val="subscript"/>
          <w:lang w:eastAsia="en-GB"/>
        </w:rPr>
        <w:t>2e</w:t>
      </w:r>
      <w:r w:rsidRPr="00223709">
        <w:rPr>
          <w:rFonts w:cs="Arial"/>
          <w:color w:val="000000"/>
          <w:lang w:eastAsia="en-GB"/>
        </w:rPr>
        <w:t>; kumulativne uštede energije u razdoblju 2021.-2030. 4,95 PJ (118,25 ktoe);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157,95 ktCO</w:t>
      </w:r>
      <w:r w:rsidRPr="00223709">
        <w:rPr>
          <w:rFonts w:cs="Arial"/>
          <w:color w:val="000000"/>
          <w:vertAlign w:val="subscript"/>
          <w:lang w:eastAsia="en-GB"/>
        </w:rPr>
        <w:t>2e</w:t>
      </w:r>
    </w:p>
    <w:p w14:paraId="571CD1BD" w14:textId="77777777" w:rsidR="00265693" w:rsidRPr="00223709" w:rsidRDefault="00265693" w:rsidP="00265693">
      <w:pPr>
        <w:suppressAutoHyphens w:val="0"/>
        <w:spacing w:before="0" w:after="0" w:line="240" w:lineRule="auto"/>
        <w:rPr>
          <w:rFonts w:cs="Arial"/>
          <w:b/>
          <w:bCs/>
          <w:color w:val="000000"/>
          <w:lang w:eastAsia="en-GB"/>
        </w:rPr>
      </w:pPr>
      <w:r w:rsidRPr="00223709">
        <w:rPr>
          <w:rFonts w:cs="Arial"/>
          <w:b/>
          <w:bCs/>
          <w:color w:val="000000"/>
          <w:lang w:eastAsia="en-GB"/>
        </w:rPr>
        <w:t>Metoda praćenja:</w:t>
      </w:r>
      <w:r w:rsidRPr="00223709">
        <w:rPr>
          <w:rFonts w:cs="Arial"/>
          <w:color w:val="000000"/>
          <w:lang w:eastAsia="en-GB"/>
        </w:rPr>
        <w:t xml:space="preserve"> Sustav za praćenje, mjerenje i verifikaciju ušteda energije (SMiV), metodom odozdo-prema-gore za zamjenu javne i vanjske rasvjete</w:t>
      </w:r>
      <w:r w:rsidRPr="00223709">
        <w:rPr>
          <w:rFonts w:cs="Arial"/>
          <w:b/>
          <w:bCs/>
          <w:color w:val="000000"/>
          <w:lang w:eastAsia="en-GB"/>
        </w:rPr>
        <w:t xml:space="preserve"> </w:t>
      </w:r>
    </w:p>
    <w:p w14:paraId="07A735D3" w14:textId="77777777" w:rsidR="00265693" w:rsidRPr="00223709" w:rsidRDefault="00265693" w:rsidP="00265693">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uz potencijalnu integraciju fotonaponskih sustava za proizvodnju električne energije za potrebe javne rasvjete, ostvaruje se izravna povezanost s dimenzijom dekarbonizacije</w:t>
      </w:r>
    </w:p>
    <w:p w14:paraId="34C8A44A" w14:textId="77777777" w:rsidR="00265693" w:rsidRPr="00223709" w:rsidRDefault="00265693" w:rsidP="00265693">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10536D0C" w14:textId="77777777" w:rsidR="00265693" w:rsidRPr="00223709" w:rsidRDefault="00265693" w:rsidP="00265693">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energetska obnova javne rasvjete poticajna je za daljnji razvoj rasvjetne tehnologije i sustava upravljanja rasvjetom temeljenih na informacijsko-komunikacijskim tehnologijama ali i integraciju drugih usluga u sustav javne rasvjete (npr. širokopojasni Internet i dr.)</w:t>
      </w:r>
    </w:p>
    <w:p w14:paraId="4B0DE96C" w14:textId="77777777" w:rsidR="001F0BF0" w:rsidRDefault="001F0BF0" w:rsidP="001F0BF0">
      <w:pPr>
        <w:suppressAutoHyphens w:val="0"/>
        <w:spacing w:after="0" w:line="259" w:lineRule="auto"/>
        <w:rPr>
          <w:rFonts w:cstheme="minorHAnsi"/>
          <w:u w:val="single"/>
        </w:rPr>
      </w:pPr>
    </w:p>
    <w:p w14:paraId="75ED499F" w14:textId="4DB4D698" w:rsidR="00213EC3"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ENU-9</w:t>
      </w:r>
      <w:r w:rsidR="00DA25AD" w:rsidRPr="00286B4C">
        <w:rPr>
          <w:rFonts w:ascii="Arial" w:hAnsi="Arial" w:cs="Arial"/>
          <w:b/>
          <w:bCs/>
          <w:color w:val="000000"/>
          <w:sz w:val="22"/>
          <w:szCs w:val="22"/>
        </w:rPr>
        <w:t xml:space="preserve">: </w:t>
      </w:r>
      <w:r w:rsidR="00C21988" w:rsidRPr="00286B4C">
        <w:rPr>
          <w:rFonts w:ascii="Arial" w:hAnsi="Arial" w:cs="Arial"/>
          <w:b/>
          <w:bCs/>
          <w:color w:val="000000"/>
          <w:sz w:val="22"/>
          <w:szCs w:val="22"/>
        </w:rPr>
        <w:t>Zelena javna nabava</w:t>
      </w:r>
    </w:p>
    <w:p w14:paraId="5396F37A" w14:textId="77777777" w:rsidR="00213EC3" w:rsidRPr="00286B4C" w:rsidRDefault="00213EC3"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Informacijska mjera; provedba 2014.-2030. </w:t>
      </w:r>
    </w:p>
    <w:p w14:paraId="734EC797" w14:textId="05C961CC" w:rsidR="00213EC3" w:rsidRPr="00286B4C" w:rsidRDefault="00213EC3" w:rsidP="00286B4C">
      <w:pPr>
        <w:pStyle w:val="NormalWeb"/>
        <w:spacing w:after="120" w:line="288" w:lineRule="auto"/>
        <w:jc w:val="both"/>
        <w:rPr>
          <w:rFonts w:cs="Arial"/>
          <w:color w:val="000000"/>
          <w:lang w:eastAsia="en-GB"/>
        </w:rPr>
      </w:pPr>
      <w:r w:rsidRPr="00286B4C">
        <w:rPr>
          <w:rFonts w:ascii="Arial" w:hAnsi="Arial" w:cs="Arial"/>
          <w:b/>
          <w:bCs/>
          <w:color w:val="000000"/>
          <w:sz w:val="22"/>
          <w:szCs w:val="22"/>
        </w:rPr>
        <w:t>Cilj i opis</w:t>
      </w:r>
      <w:r w:rsidRPr="00223709">
        <w:rPr>
          <w:rFonts w:cs="Arial"/>
          <w:b/>
          <w:lang w:eastAsia="en-GB"/>
        </w:rPr>
        <w:t xml:space="preserve"> </w:t>
      </w:r>
      <w:r w:rsidRPr="00286B4C">
        <w:rPr>
          <w:rFonts w:ascii="Arial" w:hAnsi="Arial" w:cs="Arial"/>
          <w:b/>
          <w:bCs/>
          <w:color w:val="000000"/>
          <w:sz w:val="22"/>
          <w:szCs w:val="22"/>
        </w:rPr>
        <w:t>mjere:</w:t>
      </w:r>
      <w:r w:rsidRPr="00223709">
        <w:rPr>
          <w:rFonts w:cs="Arial"/>
          <w:lang w:eastAsia="en-GB"/>
        </w:rPr>
        <w:t xml:space="preserve"> </w:t>
      </w:r>
      <w:r w:rsidRPr="00286B4C">
        <w:rPr>
          <w:rFonts w:ascii="Arial" w:hAnsi="Arial" w:cs="Arial"/>
          <w:color w:val="000000"/>
          <w:sz w:val="22"/>
          <w:szCs w:val="22"/>
          <w:lang w:eastAsia="en-GB"/>
        </w:rPr>
        <w:t xml:space="preserve">Vlada Republike Hrvatske usvojila je 2015. godine I. nacionalni akcijski plan za Zelenu javnu nabavu za razdoblje od 2015. do 2017. godine s pogledom do 2020. godine te je zelena javna nabava prihvaćena i kao mjera u 4. NAPEnU, koji postavlja cilj da do 2020. godine u 50% provedenih postupaka javne nabave budu primijenjena mjerila zelene javne nabave. Osnovano je nacionalno Povjerenstvo za zelenu javnu nabavu koje prati provedbu ZeJN putem anketnog upitnika i elektroničkog oglasnika javne nabave. Ova mjera predstavlja nastavak započetih mjera i daljnje ozelenjivanje postupaka javne nabave. </w:t>
      </w:r>
      <w:r w:rsidR="00BC3A7A" w:rsidRPr="00286B4C">
        <w:rPr>
          <w:rFonts w:ascii="Arial" w:hAnsi="Arial" w:cs="Arial"/>
          <w:color w:val="000000"/>
          <w:sz w:val="22"/>
          <w:szCs w:val="22"/>
          <w:lang w:eastAsia="en-GB"/>
        </w:rPr>
        <w:t xml:space="preserve">Zelenom javnom nabavom favorizirat će se inovativni </w:t>
      </w:r>
      <w:r w:rsidR="00743AAF" w:rsidRPr="00286B4C">
        <w:rPr>
          <w:rFonts w:ascii="Arial" w:hAnsi="Arial" w:cs="Arial"/>
          <w:color w:val="000000"/>
          <w:sz w:val="22"/>
          <w:szCs w:val="22"/>
          <w:lang w:eastAsia="en-GB"/>
        </w:rPr>
        <w:t>niskougljični</w:t>
      </w:r>
      <w:r w:rsidR="00BC3A7A" w:rsidRPr="00286B4C">
        <w:rPr>
          <w:rFonts w:ascii="Arial" w:hAnsi="Arial" w:cs="Arial"/>
          <w:color w:val="000000"/>
          <w:sz w:val="22"/>
          <w:szCs w:val="22"/>
          <w:lang w:eastAsia="en-GB"/>
        </w:rPr>
        <w:t xml:space="preserve"> proizvodi i usluge, čime će se dodatno potaknuti njihov ulazak na tržište, a javni sektor će služiti kao dobar primjer.</w:t>
      </w:r>
      <w:r w:rsidR="00F86A0F" w:rsidRPr="00286B4C">
        <w:rPr>
          <w:rFonts w:ascii="Arial" w:hAnsi="Arial" w:cs="Arial"/>
          <w:color w:val="000000"/>
          <w:sz w:val="22"/>
          <w:szCs w:val="22"/>
          <w:lang w:eastAsia="en-GB"/>
        </w:rPr>
        <w:t xml:space="preserve"> </w:t>
      </w:r>
      <w:r w:rsidRPr="00286B4C">
        <w:rPr>
          <w:rFonts w:ascii="Arial" w:hAnsi="Arial" w:cs="Arial"/>
          <w:color w:val="000000"/>
          <w:sz w:val="22"/>
          <w:szCs w:val="22"/>
          <w:lang w:eastAsia="en-GB"/>
        </w:rPr>
        <w:t>Cilj je u 2030. godini imati 75% provedenih postupaka javne nabave s primijenjenim mjerilima zelene javne nabave</w:t>
      </w:r>
      <w:r w:rsidR="0074248B">
        <w:rPr>
          <w:rFonts w:ascii="Arial" w:hAnsi="Arial" w:cs="Arial"/>
          <w:color w:val="000000"/>
          <w:sz w:val="22"/>
          <w:szCs w:val="22"/>
          <w:lang w:eastAsia="en-GB"/>
        </w:rPr>
        <w:t>.</w:t>
      </w:r>
    </w:p>
    <w:p w14:paraId="6B8C2E8B" w14:textId="77777777" w:rsidR="00213EC3" w:rsidRPr="00223709" w:rsidRDefault="00213EC3" w:rsidP="00213EC3">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7BE26ADA" w14:textId="77777777" w:rsidR="00213EC3" w:rsidRPr="00223709" w:rsidRDefault="00213EC3"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 xml:space="preserve">Izobrazba sudionika u javnoj nabavi i promidžbu mjerila zelene javne nabave; </w:t>
      </w:r>
    </w:p>
    <w:p w14:paraId="382A1DD0" w14:textId="579EE8C4" w:rsidR="00213EC3" w:rsidRPr="00223709" w:rsidRDefault="00213EC3"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Unaprjeđenje praćenja provedbe zelene javne nabave, s ciljem kvantifikacije učinaka - obveznici javne nabave dužni su objaviti početkom godine svoje planove javne nabave na web stranicama, međutim statističko izvješće o javnoj nabavi</w:t>
      </w:r>
      <w:r w:rsidR="00E223DA">
        <w:rPr>
          <w:rFonts w:eastAsia="Calibri" w:cs="Arial"/>
          <w:color w:val="000000"/>
        </w:rPr>
        <w:t xml:space="preserve"> </w:t>
      </w:r>
      <w:r w:rsidRPr="00223709">
        <w:rPr>
          <w:rFonts w:eastAsia="Calibri" w:cs="Arial"/>
          <w:color w:val="000000"/>
        </w:rPr>
        <w:t>koje se generira iz EOJN, sadrži i informaciju jesu li korištena mjerila ZeJN te će za 2017.g. biti izrađeno tek početkom 2018.g., međutim bez navođenja detalja – stoga, bez razrade načina praćenja ZeJN u EOJN-u nije moguće izračunati uštede energije te je obvezno unaprijediti sustav praćenja;</w:t>
      </w:r>
      <w:r w:rsidR="00622DB1">
        <w:rPr>
          <w:rFonts w:eastAsia="Calibri" w:cs="Arial"/>
          <w:color w:val="000000"/>
        </w:rPr>
        <w:t xml:space="preserve"> </w:t>
      </w:r>
    </w:p>
    <w:p w14:paraId="42C68EB4" w14:textId="77777777" w:rsidR="00213EC3" w:rsidRPr="00223709" w:rsidRDefault="00213EC3"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 xml:space="preserve">Kontinuirani razvoj novih kriterija i mjerila za zelenu javnu nabavu, uključujući energetsku učinkovitost. </w:t>
      </w:r>
    </w:p>
    <w:p w14:paraId="565D5692" w14:textId="77777777" w:rsidR="00213EC3" w:rsidRPr="00223709" w:rsidRDefault="00213EC3" w:rsidP="00213EC3">
      <w:pPr>
        <w:suppressAutoHyphens w:val="0"/>
        <w:spacing w:before="0" w:after="0" w:line="240" w:lineRule="auto"/>
        <w:rPr>
          <w:rFonts w:eastAsia="Calibri" w:cs="Arial"/>
          <w:color w:val="000000"/>
        </w:rPr>
      </w:pPr>
    </w:p>
    <w:p w14:paraId="55CF0E4E" w14:textId="77777777" w:rsidR="00213EC3" w:rsidRPr="00223709" w:rsidRDefault="00213EC3" w:rsidP="00213EC3">
      <w:pPr>
        <w:suppressAutoHyphens w:val="0"/>
        <w:spacing w:before="0" w:after="0" w:line="240" w:lineRule="auto"/>
        <w:rPr>
          <w:rFonts w:cs="Arial"/>
          <w:b/>
          <w:bCs/>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Sredstva potrebna za provedbu svih predviđenih aktivnosti planira MZOE u sklopu svojih redovnih aktivnosti i proračuna</w:t>
      </w:r>
      <w:r w:rsidRPr="00223709">
        <w:rPr>
          <w:rFonts w:cs="Arial"/>
          <w:b/>
          <w:bCs/>
          <w:color w:val="000000"/>
          <w:lang w:eastAsia="en-GB"/>
        </w:rPr>
        <w:t xml:space="preserve"> </w:t>
      </w:r>
    </w:p>
    <w:p w14:paraId="0364BC6D" w14:textId="77777777" w:rsidR="00213EC3" w:rsidRPr="00223709" w:rsidRDefault="00213EC3" w:rsidP="00213EC3">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Državni proračun (MZOE)</w:t>
      </w:r>
    </w:p>
    <w:p w14:paraId="4A9D5F43" w14:textId="406AFFB8" w:rsidR="00213EC3" w:rsidRPr="00223709" w:rsidRDefault="00213EC3" w:rsidP="00213EC3">
      <w:pPr>
        <w:suppressAutoHyphens w:val="0"/>
        <w:spacing w:before="0" w:after="0" w:line="240" w:lineRule="auto"/>
        <w:rPr>
          <w:rFonts w:cs="Arial"/>
          <w:b/>
          <w:bCs/>
          <w:color w:val="000000"/>
          <w:lang w:eastAsia="en-GB"/>
        </w:rPr>
      </w:pPr>
      <w:r w:rsidRPr="00223709">
        <w:rPr>
          <w:rFonts w:cs="Arial"/>
          <w:b/>
          <w:bCs/>
          <w:color w:val="000000"/>
          <w:lang w:eastAsia="en-GB"/>
        </w:rPr>
        <w:t>Izvršno</w:t>
      </w:r>
      <w:r w:rsidR="00E223DA">
        <w:rPr>
          <w:rFonts w:cs="Arial"/>
          <w:b/>
          <w:bCs/>
          <w:color w:val="000000"/>
          <w:lang w:eastAsia="en-GB"/>
        </w:rPr>
        <w:t xml:space="preserve"> </w:t>
      </w:r>
      <w:r w:rsidRPr="00223709">
        <w:rPr>
          <w:rFonts w:cs="Arial"/>
          <w:b/>
          <w:bCs/>
          <w:color w:val="000000"/>
          <w:lang w:eastAsia="en-GB"/>
        </w:rPr>
        <w:t>tijelo:</w:t>
      </w:r>
      <w:r w:rsidRPr="00223709">
        <w:rPr>
          <w:rFonts w:cs="Arial"/>
          <w:color w:val="000000"/>
          <w:lang w:eastAsia="en-GB"/>
        </w:rPr>
        <w:t xml:space="preserve"> MZOE u suradnji s članovima Povjerenstva za zelenu javnu nabavu; Državni ured za središnju javnu nabavu; Tijela državne uprave, JLP(R)S i drugi obveznici javne nabave</w:t>
      </w:r>
      <w:r w:rsidRPr="00223709">
        <w:rPr>
          <w:rFonts w:cs="Arial"/>
          <w:b/>
          <w:bCs/>
          <w:color w:val="000000"/>
          <w:lang w:eastAsia="en-GB"/>
        </w:rPr>
        <w:t xml:space="preserve"> </w:t>
      </w:r>
    </w:p>
    <w:p w14:paraId="125C79FD" w14:textId="77777777" w:rsidR="00213EC3" w:rsidRPr="00223709" w:rsidRDefault="00213EC3" w:rsidP="00213EC3">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00C0A0ED" w14:textId="77777777" w:rsidR="00213EC3" w:rsidRPr="00223709" w:rsidRDefault="00213EC3" w:rsidP="00213EC3">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potrošnje energije u javnim zgradama; promjene navika i ponašanja korisnika zgrada javnog sektora</w:t>
      </w:r>
    </w:p>
    <w:p w14:paraId="5153D265" w14:textId="0E12C401" w:rsidR="00213EC3" w:rsidRPr="00223709" w:rsidRDefault="00213EC3" w:rsidP="00213EC3">
      <w:pPr>
        <w:suppressAutoHyphens w:val="0"/>
        <w:spacing w:before="0" w:after="0" w:line="240" w:lineRule="auto"/>
        <w:rPr>
          <w:rFonts w:eastAsia="Calibri" w:cs="Arial"/>
          <w:color w:val="000000"/>
        </w:rPr>
      </w:pPr>
      <w:r w:rsidRPr="00223709">
        <w:rPr>
          <w:rFonts w:cs="Arial"/>
          <w:b/>
          <w:bCs/>
          <w:color w:val="000000"/>
          <w:lang w:eastAsia="en-GB"/>
        </w:rPr>
        <w:t>Metoda praćenja:</w:t>
      </w:r>
      <w:r w:rsidRPr="00223709">
        <w:rPr>
          <w:rFonts w:cs="Arial"/>
          <w:color w:val="000000"/>
          <w:lang w:eastAsia="en-GB"/>
        </w:rPr>
        <w:t xml:space="preserve"> Praćenje ostvarenih ušteda energije u budućnosti će se provoditi primjenom BU metoda za svaku pojedinu skupinu uređaja koja se nabavljala uvažavajući kriterije energetske učinkovitosti. Pri tome se očekuje da će najveći broj nabava biti vezano uz računalnu i uredsku opremu i motorna vozila. Državni ured za središnju javnu nabavu prati podatke o količinama i tipovima nabavljene opreme te podatke dostavlja NKT-u koji ih unosi u SMIV.</w:t>
      </w:r>
      <w:r w:rsidR="00135F71">
        <w:rPr>
          <w:rFonts w:cs="Arial"/>
          <w:color w:val="000000"/>
          <w:lang w:eastAsia="en-GB"/>
        </w:rPr>
        <w:t xml:space="preserve"> </w:t>
      </w:r>
      <w:r w:rsidR="00862070">
        <w:rPr>
          <w:rFonts w:cs="Arial"/>
          <w:color w:val="000000"/>
          <w:lang w:eastAsia="en-GB"/>
        </w:rPr>
        <w:t xml:space="preserve">Potrebno je pratiti količine svih nabava u kojima se primjenjuju 'zeleni' kriteriji. </w:t>
      </w:r>
    </w:p>
    <w:p w14:paraId="17BB427D" w14:textId="77777777" w:rsidR="00213EC3" w:rsidRPr="00223709" w:rsidRDefault="00213EC3" w:rsidP="00213EC3">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izravna povezanost s dimenzijom dekarbonizacije (nabava 'zelene' električne energije, nabava električnih vozila i sl.)</w:t>
      </w:r>
    </w:p>
    <w:p w14:paraId="05F26811" w14:textId="77777777" w:rsidR="00213EC3" w:rsidRPr="00223709" w:rsidRDefault="00213EC3" w:rsidP="00213EC3">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174DB278" w14:textId="08E70461" w:rsidR="00C21988" w:rsidRDefault="00213EC3" w:rsidP="00223709">
      <w:pPr>
        <w:suppressAutoHyphens w:val="0"/>
        <w:spacing w:before="0" w:after="0" w:line="240" w:lineRule="auto"/>
      </w:pPr>
      <w:r w:rsidRPr="00223709">
        <w:rPr>
          <w:rFonts w:cs="Arial"/>
          <w:b/>
          <w:bCs/>
          <w:color w:val="000000"/>
          <w:lang w:eastAsia="en-GB"/>
        </w:rPr>
        <w:t>Istraživanje i razvoj</w:t>
      </w:r>
      <w:r w:rsidRPr="00223709">
        <w:rPr>
          <w:rFonts w:cs="Arial"/>
          <w:color w:val="000000"/>
          <w:lang w:eastAsia="en-GB"/>
        </w:rPr>
        <w:t xml:space="preserve">: Javna nabava može biti veliki pokretač razvojnih aktivnosti kontinuiranim povećavanjem 'zelenih' zahtjeva za uređaje, opremu i zgrade. </w:t>
      </w:r>
    </w:p>
    <w:p w14:paraId="5EBE7FD6" w14:textId="77777777" w:rsidR="001F0BF0" w:rsidRPr="004A4362" w:rsidRDefault="001F0BF0" w:rsidP="004A4362">
      <w:pPr>
        <w:suppressAutoHyphens w:val="0"/>
        <w:spacing w:after="160" w:line="259" w:lineRule="auto"/>
      </w:pPr>
    </w:p>
    <w:p w14:paraId="7A51D0EE" w14:textId="77777777" w:rsidR="00C21988" w:rsidRPr="00FA1398" w:rsidRDefault="00C21988" w:rsidP="00725326">
      <w:pPr>
        <w:shd w:val="clear" w:color="auto" w:fill="DEEAF6" w:themeFill="accent1" w:themeFillTint="33"/>
        <w:ind w:left="705" w:hanging="705"/>
        <w:rPr>
          <w:rFonts w:cstheme="minorHAnsi"/>
          <w:i/>
        </w:rPr>
      </w:pPr>
      <w:r w:rsidRPr="00FA1398">
        <w:rPr>
          <w:rFonts w:cstheme="minorHAnsi"/>
          <w:i/>
        </w:rPr>
        <w:t>Mjere za promicanje energetskih pregleda i sustava gospodarenja energijom</w:t>
      </w:r>
    </w:p>
    <w:p w14:paraId="56831601" w14:textId="4B0F8AA9" w:rsidR="00C21988" w:rsidRPr="00906FC3" w:rsidRDefault="00235381" w:rsidP="00CA23DB">
      <w:r w:rsidRPr="00CF4EC7">
        <w:rPr>
          <w:rFonts w:cstheme="minorHAnsi"/>
        </w:rPr>
        <w:t xml:space="preserve">Provedba energetskih pregleda </w:t>
      </w:r>
      <w:r w:rsidR="001C27CA" w:rsidRPr="00CF4EC7">
        <w:rPr>
          <w:rFonts w:cstheme="minorHAnsi"/>
        </w:rPr>
        <w:t xml:space="preserve">i promicanje sustavnog gospodarenja energijom </w:t>
      </w:r>
      <w:r w:rsidR="00FE0013" w:rsidRPr="00CF4EC7">
        <w:rPr>
          <w:rFonts w:cstheme="minorHAnsi"/>
        </w:rPr>
        <w:t>u razdoblju od 2021. do 2030. godine</w:t>
      </w:r>
      <w:r w:rsidR="001C27CA" w:rsidRPr="00CF4EC7">
        <w:rPr>
          <w:rFonts w:cstheme="minorHAnsi"/>
        </w:rPr>
        <w:t>, osim kroz vodeću ulogu javnog sektora (nastav</w:t>
      </w:r>
      <w:r w:rsidR="007D7B4A">
        <w:rPr>
          <w:rFonts w:cstheme="minorHAnsi"/>
        </w:rPr>
        <w:t>a</w:t>
      </w:r>
      <w:r w:rsidR="001C27CA" w:rsidRPr="00CF4EC7">
        <w:rPr>
          <w:rFonts w:cstheme="minorHAnsi"/>
        </w:rPr>
        <w:t>k provedbe mjere P.3; MEN-6),</w:t>
      </w:r>
      <w:r w:rsidR="00FE0013" w:rsidRPr="00CF4EC7">
        <w:rPr>
          <w:rFonts w:cstheme="minorHAnsi"/>
        </w:rPr>
        <w:t xml:space="preserve"> osigurat će se nastav</w:t>
      </w:r>
      <w:r w:rsidR="005D1887" w:rsidRPr="00CF4EC7">
        <w:rPr>
          <w:rFonts w:cstheme="minorHAnsi"/>
        </w:rPr>
        <w:t>kom primjene zakonski obvezujućih odredbi</w:t>
      </w:r>
      <w:r w:rsidR="001F3B23">
        <w:rPr>
          <w:rFonts w:cstheme="minorHAnsi"/>
        </w:rPr>
        <w:t xml:space="preserve">. Naime, </w:t>
      </w:r>
      <w:r w:rsidR="00124FCF">
        <w:t>na temelju</w:t>
      </w:r>
      <w:r w:rsidR="00124FCF" w:rsidRPr="00906FC3">
        <w:t xml:space="preserve"> </w:t>
      </w:r>
      <w:r w:rsidR="00C21988" w:rsidRPr="00906FC3">
        <w:t xml:space="preserve">Zakona o energetskoj učinkovitosti i Zakona o gradnji, u Hrvatskoj su na snazi zakonske obveze provođenja energetskih pregleda za sljedeće obveznike: </w:t>
      </w:r>
    </w:p>
    <w:p w14:paraId="7DEFFBE0" w14:textId="77777777" w:rsidR="00C21988" w:rsidRPr="00906FC3" w:rsidRDefault="00C21988" w:rsidP="00840E2E">
      <w:pPr>
        <w:pStyle w:val="ListParagraph"/>
        <w:numPr>
          <w:ilvl w:val="0"/>
          <w:numId w:val="15"/>
        </w:numPr>
        <w:suppressAutoHyphens w:val="0"/>
        <w:spacing w:after="160" w:line="259" w:lineRule="auto"/>
        <w:ind w:left="714" w:hanging="357"/>
        <w:contextualSpacing/>
      </w:pPr>
      <w:r w:rsidRPr="00906FC3">
        <w:t>velika poduzeća (aktiva &gt;130 M kn, prihod &gt;260 M kn, &gt;250 radnika) svakih 4 godine (izuzetak ako je uspostavljen sustav upravljanja energijom i okolišem (ISO 50001) s obavezom energetskog pregleda);</w:t>
      </w:r>
    </w:p>
    <w:p w14:paraId="7A9EC691" w14:textId="5D899546" w:rsidR="00C21988" w:rsidRPr="00906FC3" w:rsidRDefault="00C21988" w:rsidP="00840E2E">
      <w:pPr>
        <w:pStyle w:val="ListParagraph"/>
        <w:numPr>
          <w:ilvl w:val="0"/>
          <w:numId w:val="15"/>
        </w:numPr>
        <w:suppressAutoHyphens w:val="0"/>
        <w:spacing w:after="160" w:line="259" w:lineRule="auto"/>
        <w:ind w:left="714" w:hanging="357"/>
        <w:contextualSpacing/>
      </w:pPr>
      <w:r w:rsidRPr="00906FC3">
        <w:t>javna rasvjeta;</w:t>
      </w:r>
    </w:p>
    <w:p w14:paraId="3834B52B" w14:textId="77777777" w:rsidR="00C21988" w:rsidRPr="00906FC3" w:rsidRDefault="00C21988" w:rsidP="00840E2E">
      <w:pPr>
        <w:pStyle w:val="ListParagraph"/>
        <w:numPr>
          <w:ilvl w:val="0"/>
          <w:numId w:val="15"/>
        </w:numPr>
        <w:suppressAutoHyphens w:val="0"/>
        <w:spacing w:after="160" w:line="259" w:lineRule="auto"/>
        <w:ind w:left="714" w:hanging="357"/>
        <w:contextualSpacing/>
      </w:pPr>
      <w:r w:rsidRPr="00906FC3">
        <w:t>zgrade javne namjene čija korisna (neto) površina prelazi 250 m² svakih 10 godina;</w:t>
      </w:r>
    </w:p>
    <w:p w14:paraId="5916FC46" w14:textId="77777777" w:rsidR="00C21988" w:rsidRPr="00906FC3" w:rsidRDefault="00C21988" w:rsidP="00840E2E">
      <w:pPr>
        <w:pStyle w:val="ListParagraph"/>
        <w:numPr>
          <w:ilvl w:val="0"/>
          <w:numId w:val="15"/>
        </w:numPr>
        <w:suppressAutoHyphens w:val="0"/>
        <w:spacing w:after="160" w:line="259" w:lineRule="auto"/>
        <w:ind w:left="714" w:hanging="357"/>
        <w:contextualSpacing/>
      </w:pPr>
      <w:r w:rsidRPr="00906FC3">
        <w:t>postojeće zgrade ili dijelovi zgrada koji čine samostalne uporabne cjeline i koje podliježu obvezi energetskog certificiranja zgrada, kada se daju u prodaju, najam ili leasing;</w:t>
      </w:r>
    </w:p>
    <w:p w14:paraId="61D8F879" w14:textId="77777777" w:rsidR="00C21988" w:rsidRPr="00906FC3" w:rsidRDefault="00C21988" w:rsidP="00840E2E">
      <w:pPr>
        <w:pStyle w:val="ListParagraph"/>
        <w:numPr>
          <w:ilvl w:val="0"/>
          <w:numId w:val="15"/>
        </w:numPr>
        <w:suppressAutoHyphens w:val="0"/>
        <w:spacing w:after="160" w:line="259" w:lineRule="auto"/>
        <w:ind w:left="714" w:hanging="357"/>
        <w:contextualSpacing/>
      </w:pPr>
      <w:r w:rsidRPr="00906FC3">
        <w:t xml:space="preserve">sustavi grijanja u zgradama s kotlom na tekuće (&gt; 100 kW svake 2 godine), plinovito gorivo ukupne nazivne snage 20 kW (svakih 10 godina) i veće (svake 4 godine); </w:t>
      </w:r>
    </w:p>
    <w:p w14:paraId="5BC11B23" w14:textId="77777777" w:rsidR="00C21988" w:rsidRPr="00906FC3" w:rsidRDefault="00C21988" w:rsidP="00840E2E">
      <w:pPr>
        <w:pStyle w:val="ListParagraph"/>
        <w:numPr>
          <w:ilvl w:val="0"/>
          <w:numId w:val="15"/>
        </w:numPr>
        <w:suppressAutoHyphens w:val="0"/>
        <w:spacing w:after="160" w:line="259" w:lineRule="auto"/>
        <w:ind w:left="714" w:hanging="357"/>
        <w:contextualSpacing/>
      </w:pPr>
      <w:r w:rsidRPr="00906FC3">
        <w:t>sustavi hlađenja i klimatizacije u zgradama s jednim ili više uređaja za proizvodnju toplinske/rashladne energije ukupne nazivne snage 12 kW i veće (svakih 10 godina).</w:t>
      </w:r>
    </w:p>
    <w:p w14:paraId="1A3AFE1C" w14:textId="5CB0513A" w:rsidR="00C21988" w:rsidRPr="00906FC3" w:rsidRDefault="00C21988" w:rsidP="00906FC3">
      <w:pPr>
        <w:suppressAutoHyphens w:val="0"/>
        <w:spacing w:after="160" w:line="259" w:lineRule="auto"/>
      </w:pPr>
      <w:r w:rsidRPr="00906FC3">
        <w:t>Navedene</w:t>
      </w:r>
      <w:r w:rsidR="00E35991">
        <w:t xml:space="preserve"> </w:t>
      </w:r>
      <w:r w:rsidRPr="00906FC3">
        <w:t>zakonske obveze zadržat će se i u razdoblju 2021. do 2030. godine</w:t>
      </w:r>
      <w:r w:rsidR="006513DB">
        <w:t xml:space="preserve"> te se očekuje i njihov daljnji razvoj, posebice u svjetlu </w:t>
      </w:r>
      <w:r w:rsidR="00D9661C">
        <w:t>izmijenjene Direktive o energetskim svojstvima zgrada</w:t>
      </w:r>
      <w:r w:rsidRPr="00906FC3">
        <w:t xml:space="preserve">. </w:t>
      </w:r>
    </w:p>
    <w:p w14:paraId="50514168" w14:textId="4326CDE1" w:rsidR="00522866" w:rsidRPr="00AB0897" w:rsidRDefault="00AB0897" w:rsidP="006D6627">
      <w:pPr>
        <w:rPr>
          <w:rFonts w:cstheme="minorHAnsi"/>
        </w:rPr>
      </w:pPr>
      <w:r>
        <w:rPr>
          <w:rFonts w:cstheme="minorHAnsi"/>
        </w:rPr>
        <w:t>Dodatno, z</w:t>
      </w:r>
      <w:r w:rsidR="00522866" w:rsidRPr="00AB0897">
        <w:rPr>
          <w:rFonts w:cstheme="minorHAnsi"/>
        </w:rPr>
        <w:t>a razdoblje od 2021. godine predviđa se uvođenje nove fiskalne mjere za</w:t>
      </w:r>
      <w:r w:rsidR="00B420A2" w:rsidRPr="00AB0897">
        <w:rPr>
          <w:rFonts w:cstheme="minorHAnsi"/>
        </w:rPr>
        <w:t xml:space="preserve"> poticanje sustavnog gospodarenja energijom u poslovnom sektoru. </w:t>
      </w:r>
    </w:p>
    <w:p w14:paraId="40FEFE68" w14:textId="3F0D8534" w:rsidR="00C21988"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ENU-10</w:t>
      </w:r>
      <w:r w:rsidR="00522866" w:rsidRPr="00286B4C">
        <w:rPr>
          <w:rFonts w:ascii="Arial" w:hAnsi="Arial" w:cs="Arial"/>
          <w:b/>
          <w:bCs/>
          <w:color w:val="000000"/>
          <w:sz w:val="22"/>
          <w:szCs w:val="22"/>
        </w:rPr>
        <w:t xml:space="preserve">: </w:t>
      </w:r>
      <w:r w:rsidR="00C21988" w:rsidRPr="00286B4C">
        <w:rPr>
          <w:rFonts w:ascii="Arial" w:hAnsi="Arial" w:cs="Arial"/>
          <w:b/>
          <w:bCs/>
          <w:color w:val="000000"/>
          <w:sz w:val="22"/>
          <w:szCs w:val="22"/>
        </w:rPr>
        <w:t>Sustavno gospodarenje energijom u poslovnom</w:t>
      </w:r>
      <w:r w:rsidR="00E35991" w:rsidRPr="00286B4C">
        <w:rPr>
          <w:rFonts w:ascii="Arial" w:hAnsi="Arial" w:cs="Arial"/>
          <w:b/>
          <w:bCs/>
          <w:color w:val="000000"/>
          <w:sz w:val="22"/>
          <w:szCs w:val="22"/>
        </w:rPr>
        <w:t xml:space="preserve"> </w:t>
      </w:r>
      <w:r w:rsidR="00C21988" w:rsidRPr="00286B4C">
        <w:rPr>
          <w:rFonts w:ascii="Arial" w:hAnsi="Arial" w:cs="Arial"/>
          <w:b/>
          <w:bCs/>
          <w:color w:val="000000"/>
          <w:sz w:val="22"/>
          <w:szCs w:val="22"/>
        </w:rPr>
        <w:t>(uslužnom i proizvodnom) sektoru</w:t>
      </w:r>
      <w:r w:rsidR="006D6627" w:rsidRPr="00286B4C">
        <w:rPr>
          <w:rFonts w:ascii="Arial" w:hAnsi="Arial" w:cs="Arial"/>
          <w:b/>
          <w:bCs/>
          <w:color w:val="000000"/>
          <w:sz w:val="22"/>
          <w:szCs w:val="22"/>
        </w:rPr>
        <w:t xml:space="preserve"> </w:t>
      </w:r>
    </w:p>
    <w:p w14:paraId="32C2BC47" w14:textId="77777777" w:rsidR="00057435" w:rsidRPr="00286B4C" w:rsidRDefault="00057435"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Fiskalna mjera; provedba 2021.-2030. </w:t>
      </w:r>
    </w:p>
    <w:p w14:paraId="515AAFA1" w14:textId="77777777" w:rsidR="00057435" w:rsidRPr="00286B4C" w:rsidRDefault="00057435" w:rsidP="00286B4C">
      <w:pPr>
        <w:pStyle w:val="NormalWeb"/>
        <w:spacing w:after="120" w:line="288" w:lineRule="auto"/>
        <w:jc w:val="both"/>
        <w:rPr>
          <w:rFonts w:cstheme="minorHAnsi"/>
        </w:rPr>
      </w:pPr>
      <w:r w:rsidRPr="00286B4C">
        <w:rPr>
          <w:rFonts w:ascii="Arial" w:hAnsi="Arial" w:cs="Arial"/>
          <w:b/>
          <w:bCs/>
          <w:color w:val="000000"/>
          <w:sz w:val="22"/>
          <w:szCs w:val="22"/>
        </w:rPr>
        <w:t>Cilj i opis mjere:</w:t>
      </w:r>
      <w:r w:rsidRPr="00223709">
        <w:rPr>
          <w:rFonts w:cs="Arial"/>
          <w:color w:val="000000"/>
          <w:lang w:eastAsia="en-GB"/>
        </w:rPr>
        <w:t xml:space="preserve"> </w:t>
      </w:r>
      <w:r w:rsidRPr="00286B4C">
        <w:rPr>
          <w:rFonts w:ascii="Arial" w:hAnsi="Arial" w:cstheme="minorHAnsi"/>
          <w:sz w:val="22"/>
          <w:szCs w:val="22"/>
        </w:rPr>
        <w:t>Iako su velika poduzeća obvezna redovno provoditi energetske preglede, ova obveza ne osigurava kontinuiranu brigu o potrošnji energije u poduzeću niti obuhvaća mala i srednja poduzeća. Kako bi se poduzeća potaknula na uvođenje certificiranih sustava gospodarenja energijom (kao ISO 50001), do 2020. godine će se izraditi sveobuhvatna analiza mogućnosti korištenja poreznog sustava (uključujući poreze i parafiskalne namete) za poticanje poduzeća koja uvedu ovakav sustav i time osiguraju kontinuiranu brigu o potrošnji energije.</w:t>
      </w:r>
    </w:p>
    <w:p w14:paraId="1F108E87" w14:textId="77777777" w:rsidR="00057435" w:rsidRPr="00223709" w:rsidRDefault="00057435" w:rsidP="00057435">
      <w:pPr>
        <w:suppressAutoHyphens w:val="0"/>
        <w:spacing w:before="0" w:after="0" w:line="240" w:lineRule="auto"/>
        <w:rPr>
          <w:rFonts w:eastAsia="Calibri" w:cs="Arial"/>
          <w:color w:val="000000"/>
        </w:rPr>
      </w:pPr>
    </w:p>
    <w:p w14:paraId="59389F1E" w14:textId="77777777" w:rsidR="00057435" w:rsidRPr="00223709" w:rsidRDefault="00057435" w:rsidP="00057435">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6C3D2613" w14:textId="77777777" w:rsidR="00057435" w:rsidRPr="00223709" w:rsidRDefault="00057435"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MZOE u suradnji s MFIN tijekom 2020. godine izrađuje sveobuhvatnu analizu mogućnosti korištenja poreznog sustava za poticanje sustavnog gospodarenja energijom u poslovnom sektoru – za svaku predloženo rješenje potrebno je ocijeniti učinke i definirati metodu praćenja istih;</w:t>
      </w:r>
    </w:p>
    <w:p w14:paraId="00EAA17D" w14:textId="77777777" w:rsidR="00057435" w:rsidRPr="00223709" w:rsidRDefault="00057435" w:rsidP="00840E2E">
      <w:pPr>
        <w:numPr>
          <w:ilvl w:val="0"/>
          <w:numId w:val="91"/>
        </w:numPr>
        <w:suppressAutoHyphens w:val="0"/>
        <w:spacing w:before="0" w:after="0" w:line="240" w:lineRule="auto"/>
        <w:rPr>
          <w:rFonts w:eastAsia="Calibri" w:cs="Arial"/>
          <w:color w:val="000000"/>
        </w:rPr>
      </w:pPr>
      <w:r w:rsidRPr="00223709">
        <w:rPr>
          <w:rFonts w:eastAsia="Calibri" w:cs="Arial"/>
          <w:color w:val="000000"/>
        </w:rPr>
        <w:t>Preporuke analize se ugrađuju u zakone i propise vezane uz porezna rješenja koja se predlažu koristiti te počinje njihova primjena.</w:t>
      </w:r>
    </w:p>
    <w:p w14:paraId="4441F22E" w14:textId="77777777" w:rsidR="00057435" w:rsidRPr="00223709" w:rsidRDefault="00057435" w:rsidP="00057435">
      <w:pPr>
        <w:suppressAutoHyphens w:val="0"/>
        <w:spacing w:before="0" w:after="0" w:line="240" w:lineRule="auto"/>
        <w:ind w:left="720"/>
        <w:rPr>
          <w:rFonts w:eastAsia="Calibri" w:cs="Arial"/>
          <w:color w:val="000000"/>
        </w:rPr>
      </w:pPr>
    </w:p>
    <w:p w14:paraId="30F4AA47" w14:textId="0C8F30ED" w:rsidR="00057435" w:rsidRPr="00223709" w:rsidRDefault="00057435" w:rsidP="00057435">
      <w:pPr>
        <w:suppressAutoHyphens w:val="0"/>
        <w:spacing w:before="0" w:after="0" w:line="240" w:lineRule="auto"/>
        <w:rPr>
          <w:rFonts w:cs="Arial"/>
          <w:b/>
          <w:bCs/>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Sredstva potrebna za izradu sveobuhvatne analize korištenja poreznog sustava za poticanje sustavnog gospodarenja energijom u poslovnom sektoru planira MZOE u sklopu svojih redovnih aktivnosti i proračuna; sama provedba porezne politike ne zaht</w:t>
      </w:r>
      <w:r w:rsidR="00C56645">
        <w:rPr>
          <w:rFonts w:cs="Arial"/>
          <w:color w:val="000000"/>
          <w:lang w:eastAsia="en-GB"/>
        </w:rPr>
        <w:t>i</w:t>
      </w:r>
      <w:r w:rsidRPr="00223709">
        <w:rPr>
          <w:rFonts w:cs="Arial"/>
          <w:color w:val="000000"/>
          <w:lang w:eastAsia="en-GB"/>
        </w:rPr>
        <w:t>jeva dodatna sredstva</w:t>
      </w:r>
    </w:p>
    <w:p w14:paraId="35352363" w14:textId="77777777" w:rsidR="00057435" w:rsidRPr="00223709" w:rsidRDefault="00057435" w:rsidP="00057435">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Državni proračun (MZOE)</w:t>
      </w:r>
    </w:p>
    <w:p w14:paraId="529B4C47" w14:textId="0DD4E701" w:rsidR="00057435" w:rsidRPr="00223709" w:rsidRDefault="00057435" w:rsidP="00057435">
      <w:pPr>
        <w:suppressAutoHyphens w:val="0"/>
        <w:spacing w:before="0" w:after="0" w:line="240" w:lineRule="auto"/>
        <w:rPr>
          <w:rFonts w:cs="Arial"/>
          <w:b/>
          <w:bCs/>
          <w:color w:val="000000"/>
          <w:lang w:eastAsia="en-GB"/>
        </w:rPr>
      </w:pPr>
      <w:r w:rsidRPr="00223709">
        <w:rPr>
          <w:rFonts w:cs="Arial"/>
          <w:b/>
          <w:bCs/>
          <w:color w:val="000000"/>
          <w:lang w:eastAsia="en-GB"/>
        </w:rPr>
        <w:t>Izvršno tijelo:</w:t>
      </w:r>
      <w:r w:rsidRPr="00223709">
        <w:rPr>
          <w:rFonts w:cs="Arial"/>
          <w:color w:val="000000"/>
          <w:lang w:eastAsia="en-GB"/>
        </w:rPr>
        <w:t xml:space="preserve"> MZOE – izrada analize i prijedlog rješenja; MFIN- integracija predloženih rješenja u porezni sustav</w:t>
      </w:r>
    </w:p>
    <w:p w14:paraId="2ACA2C4A" w14:textId="77777777" w:rsidR="00057435" w:rsidRPr="00223709" w:rsidRDefault="00057435" w:rsidP="00057435">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2911ED53" w14:textId="77777777" w:rsidR="00057435" w:rsidRPr="00223709" w:rsidRDefault="00057435" w:rsidP="00057435">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potrošnje energije poslovnih subjekata u uslužnom i industrijskom sektoru</w:t>
      </w:r>
    </w:p>
    <w:p w14:paraId="2FCA45D8" w14:textId="77777777" w:rsidR="00057435" w:rsidRPr="00223709" w:rsidRDefault="00057435" w:rsidP="00057435">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Metoda praćenja će se utvrditi za odabrano porezno rješenje.</w:t>
      </w:r>
    </w:p>
    <w:p w14:paraId="7DE64E40" w14:textId="77777777" w:rsidR="00057435" w:rsidRPr="00223709" w:rsidRDefault="00057435" w:rsidP="00057435">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sustavnim praćenjem i razumijevanjem potrošnje energije, poslovni sektor će se kapacitirati da postane informirani sudionik na energetskom tržištu kao i da odabire rješenja koja će doprinijeti deka</w:t>
      </w:r>
    </w:p>
    <w:p w14:paraId="0754E4D7" w14:textId="77777777" w:rsidR="00057435" w:rsidRPr="00223709" w:rsidRDefault="00057435" w:rsidP="00057435">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60B9289C" w14:textId="0981CAAD" w:rsidR="005F2B94" w:rsidRPr="00223709" w:rsidRDefault="00057435" w:rsidP="00057435">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poticanje sustavnog gospodarenja energijom otvara potrebe za istraživanjem i razvojem sustava praćenja i upravljanja potrošnjom energije temeljenih na informacijsko-komunikacijskim tehnologijama</w:t>
      </w:r>
    </w:p>
    <w:p w14:paraId="4639180A" w14:textId="77777777" w:rsidR="00C378EA" w:rsidRDefault="00C378EA" w:rsidP="00223709">
      <w:pPr>
        <w:suppressAutoHyphens w:val="0"/>
        <w:spacing w:before="0" w:after="0" w:line="240" w:lineRule="auto"/>
        <w:rPr>
          <w:rFonts w:cstheme="minorHAnsi"/>
        </w:rPr>
      </w:pPr>
    </w:p>
    <w:p w14:paraId="1172B5B3" w14:textId="4289CD40" w:rsidR="00C21988" w:rsidRPr="00B370A3" w:rsidRDefault="00C21988" w:rsidP="00725326">
      <w:pPr>
        <w:shd w:val="clear" w:color="auto" w:fill="DEEAF6" w:themeFill="accent1" w:themeFillTint="33"/>
        <w:ind w:left="705" w:hanging="705"/>
        <w:rPr>
          <w:rFonts w:cstheme="minorHAnsi"/>
          <w:i/>
        </w:rPr>
      </w:pPr>
      <w:r w:rsidRPr="00B370A3">
        <w:rPr>
          <w:rFonts w:cstheme="minorHAnsi"/>
          <w:i/>
        </w:rPr>
        <w:t>Informiranje potrošača i mjere osposobljavanja</w:t>
      </w:r>
      <w:r w:rsidR="0086329E">
        <w:rPr>
          <w:rFonts w:cstheme="minorHAnsi"/>
          <w:i/>
        </w:rPr>
        <w:t xml:space="preserve"> </w:t>
      </w:r>
    </w:p>
    <w:p w14:paraId="581AD78B" w14:textId="03F4A0B3" w:rsidR="00525A37" w:rsidRDefault="00B3343E" w:rsidP="00B3343E">
      <w:pPr>
        <w:suppressAutoHyphens w:val="0"/>
        <w:spacing w:after="160" w:line="259" w:lineRule="auto"/>
      </w:pPr>
      <w:r w:rsidRPr="00B3343E">
        <w:t>Informiranje po</w:t>
      </w:r>
      <w:r w:rsidR="002D52CA">
        <w:t xml:space="preserve">trošača </w:t>
      </w:r>
      <w:r w:rsidR="003F0BB1">
        <w:t xml:space="preserve">nastavit će se ostvarivati kroz unaprjeđenje provedbe postojećih regulatornih i </w:t>
      </w:r>
      <w:r w:rsidR="00470DCF">
        <w:t xml:space="preserve">informacijskih </w:t>
      </w:r>
      <w:r w:rsidR="00FC55E9">
        <w:t xml:space="preserve">mjera. </w:t>
      </w:r>
    </w:p>
    <w:p w14:paraId="3E11D22F" w14:textId="0D5CCCD1" w:rsidR="00525A37"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ENU-11</w:t>
      </w:r>
      <w:r w:rsidR="001B2AD1" w:rsidRPr="00286B4C">
        <w:rPr>
          <w:rFonts w:ascii="Arial" w:hAnsi="Arial" w:cs="Arial"/>
          <w:b/>
          <w:bCs/>
          <w:color w:val="000000"/>
          <w:sz w:val="22"/>
          <w:szCs w:val="22"/>
        </w:rPr>
        <w:t xml:space="preserve">: </w:t>
      </w:r>
      <w:r w:rsidR="00525A37" w:rsidRPr="00286B4C">
        <w:rPr>
          <w:rFonts w:ascii="Arial" w:hAnsi="Arial" w:cs="Arial"/>
          <w:b/>
          <w:bCs/>
          <w:color w:val="000000"/>
          <w:sz w:val="22"/>
          <w:szCs w:val="22"/>
        </w:rPr>
        <w:t xml:space="preserve">Informativni računi </w:t>
      </w:r>
    </w:p>
    <w:p w14:paraId="194350D4" w14:textId="77777777" w:rsidR="005D308C" w:rsidRPr="00286B4C" w:rsidRDefault="005D308C"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Informacijska mjera; provedba 2014.-2030. </w:t>
      </w:r>
    </w:p>
    <w:p w14:paraId="4B0706B2" w14:textId="77777777" w:rsidR="005D308C" w:rsidRPr="00286B4C" w:rsidRDefault="005D308C" w:rsidP="00286B4C">
      <w:pPr>
        <w:pStyle w:val="NormalWeb"/>
        <w:spacing w:after="120" w:line="288" w:lineRule="auto"/>
        <w:jc w:val="both"/>
      </w:pPr>
      <w:r w:rsidRPr="00286B4C">
        <w:rPr>
          <w:rFonts w:ascii="Arial" w:hAnsi="Arial" w:cs="Arial"/>
          <w:b/>
          <w:bCs/>
          <w:color w:val="000000"/>
          <w:sz w:val="22"/>
          <w:szCs w:val="22"/>
        </w:rPr>
        <w:t>Cilj i opis</w:t>
      </w:r>
      <w:r w:rsidRPr="00223709">
        <w:rPr>
          <w:rFonts w:cs="Arial"/>
          <w:b/>
          <w:bCs/>
          <w:color w:val="000000"/>
          <w:lang w:eastAsia="en-GB"/>
        </w:rPr>
        <w:t xml:space="preserve"> </w:t>
      </w:r>
      <w:r w:rsidRPr="00286B4C">
        <w:rPr>
          <w:rFonts w:ascii="Arial" w:hAnsi="Arial" w:cs="Arial"/>
          <w:b/>
          <w:bCs/>
          <w:color w:val="000000"/>
          <w:sz w:val="22"/>
          <w:szCs w:val="22"/>
        </w:rPr>
        <w:t>mjere:</w:t>
      </w:r>
      <w:r w:rsidRPr="00223709">
        <w:rPr>
          <w:rFonts w:cs="Arial"/>
          <w:color w:val="000000"/>
          <w:lang w:eastAsia="en-GB"/>
        </w:rPr>
        <w:t xml:space="preserve"> </w:t>
      </w:r>
      <w:r w:rsidRPr="00286B4C">
        <w:rPr>
          <w:rFonts w:ascii="Arial" w:hAnsi="Arial"/>
          <w:sz w:val="22"/>
          <w:szCs w:val="22"/>
        </w:rPr>
        <w:t>Jedna od temeljnih mjera informiranja potrošača jest zakonska obveza opskrbljivača da barem jednom godišnje dostavljaju potrošačima informativne račune, koji sadrže informacije o obračunu energije te prethodnoj potrošnji krajnjeg kupca za obračunska mjerna mjesta koja su predmet ugovornog odnosa, koje obuhvaćaju usporedbu s prosječnim uobičajenim ili referentnim krajnjim kupcem iz iste kategorije krajnjih kupaca opskrbljivača. Poželjno je frekvenciju primjene ove zakonske odredbe s godišnje razine svesti na mjesečnu razinu te je apsolutno nužno osigurati da regulatorno tijelo za energetiku (HERA) provodi nadzor nad ovim obvezama opskrbljivača energije. Osim toga, na temelju ovih regulatornih odredbi potrebno je i dodatno informirati potrošače o sadržaju i značenju računa, što je zadatak Nacionalnog koordinacijskog tijela (NKT) za energetsku učinkovitost.</w:t>
      </w:r>
    </w:p>
    <w:p w14:paraId="6A3D146B" w14:textId="77777777" w:rsidR="005D308C" w:rsidRPr="00223709" w:rsidRDefault="005D308C" w:rsidP="005D308C">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44453E76" w14:textId="7BD1255E" w:rsidR="005D308C" w:rsidRPr="00223709" w:rsidRDefault="005D308C" w:rsidP="00840E2E">
      <w:pPr>
        <w:numPr>
          <w:ilvl w:val="0"/>
          <w:numId w:val="95"/>
        </w:numPr>
        <w:suppressAutoHyphens w:val="0"/>
        <w:spacing w:before="0" w:after="0" w:line="240" w:lineRule="auto"/>
        <w:rPr>
          <w:rFonts w:eastAsia="Calibri" w:cs="Arial"/>
          <w:color w:val="000000"/>
        </w:rPr>
      </w:pPr>
      <w:r w:rsidRPr="00223709">
        <w:rPr>
          <w:rFonts w:eastAsia="Calibri" w:cs="Arial"/>
          <w:color w:val="000000"/>
        </w:rPr>
        <w:t>MZOE – NKT</w:t>
      </w:r>
      <w:r w:rsidR="00E223DA">
        <w:rPr>
          <w:rFonts w:eastAsia="Calibri" w:cs="Arial"/>
          <w:color w:val="000000"/>
        </w:rPr>
        <w:t xml:space="preserve"> </w:t>
      </w:r>
      <w:r w:rsidRPr="00223709">
        <w:rPr>
          <w:rFonts w:eastAsia="Calibri" w:cs="Arial"/>
          <w:color w:val="000000"/>
        </w:rPr>
        <w:t>će tijekom 2020. godine:</w:t>
      </w:r>
    </w:p>
    <w:p w14:paraId="2F7A1CCB" w14:textId="77777777" w:rsidR="005D308C" w:rsidRPr="00223709" w:rsidRDefault="005D308C" w:rsidP="00840E2E">
      <w:pPr>
        <w:numPr>
          <w:ilvl w:val="0"/>
          <w:numId w:val="96"/>
        </w:numPr>
        <w:suppressAutoHyphens w:val="0"/>
        <w:spacing w:before="0" w:after="0" w:line="240" w:lineRule="auto"/>
        <w:rPr>
          <w:rFonts w:eastAsia="Calibri" w:cs="Arial"/>
          <w:color w:val="000000"/>
        </w:rPr>
      </w:pPr>
      <w:r w:rsidRPr="00223709">
        <w:rPr>
          <w:rFonts w:eastAsia="Calibri" w:cs="Arial"/>
          <w:color w:val="000000"/>
        </w:rPr>
        <w:t>izraditi naputak za opskrbljivače kojim će se definirati svi potrebni podaci koji bi se prikazivali na mjesečnim računima, a u svrhu informiranja potrošača;</w:t>
      </w:r>
    </w:p>
    <w:p w14:paraId="7AAF6F1C" w14:textId="77777777" w:rsidR="005D308C" w:rsidRPr="00223709" w:rsidRDefault="005D308C" w:rsidP="00840E2E">
      <w:pPr>
        <w:numPr>
          <w:ilvl w:val="0"/>
          <w:numId w:val="96"/>
        </w:numPr>
        <w:suppressAutoHyphens w:val="0"/>
        <w:spacing w:before="0" w:after="0" w:line="240" w:lineRule="auto"/>
        <w:rPr>
          <w:rFonts w:eastAsia="Calibri" w:cs="Arial"/>
          <w:color w:val="000000"/>
        </w:rPr>
      </w:pPr>
      <w:r w:rsidRPr="00223709">
        <w:rPr>
          <w:rFonts w:eastAsia="Calibri" w:cs="Arial"/>
          <w:color w:val="000000"/>
        </w:rPr>
        <w:t>izraditi i objaviti objašnjenja računa na nacionalnom energetskom portalu energetske učinkovitosti;</w:t>
      </w:r>
    </w:p>
    <w:p w14:paraId="37467D6F" w14:textId="77777777" w:rsidR="005D308C" w:rsidRPr="00223709" w:rsidRDefault="005D308C" w:rsidP="00840E2E">
      <w:pPr>
        <w:numPr>
          <w:ilvl w:val="0"/>
          <w:numId w:val="95"/>
        </w:numPr>
        <w:suppressAutoHyphens w:val="0"/>
        <w:spacing w:before="0" w:after="0" w:line="240" w:lineRule="auto"/>
        <w:rPr>
          <w:rFonts w:eastAsia="Calibri" w:cs="Arial"/>
          <w:color w:val="000000"/>
        </w:rPr>
      </w:pPr>
      <w:r w:rsidRPr="00223709">
        <w:rPr>
          <w:rFonts w:eastAsia="Calibri" w:cs="Arial"/>
          <w:color w:val="000000"/>
        </w:rPr>
        <w:t>U cijelom razdoblju MZOE – NKT će sustavno raditi na informiranju i opskrbljivača i potrošača o njihovim pravima i obvezama.</w:t>
      </w:r>
    </w:p>
    <w:p w14:paraId="2646D355" w14:textId="77777777" w:rsidR="005D308C" w:rsidRPr="00223709" w:rsidRDefault="005D308C" w:rsidP="005D308C">
      <w:pPr>
        <w:suppressAutoHyphens w:val="0"/>
        <w:spacing w:before="0" w:after="0" w:line="240" w:lineRule="auto"/>
        <w:rPr>
          <w:rFonts w:eastAsia="Calibri" w:cs="Arial"/>
          <w:color w:val="000000"/>
        </w:rPr>
      </w:pPr>
    </w:p>
    <w:p w14:paraId="06262CB7" w14:textId="77777777" w:rsidR="005D308C" w:rsidRPr="00223709" w:rsidRDefault="005D308C" w:rsidP="005D308C">
      <w:pPr>
        <w:suppressAutoHyphens w:val="0"/>
        <w:spacing w:before="0" w:after="0" w:line="240" w:lineRule="auto"/>
        <w:rPr>
          <w:rFonts w:cs="Arial"/>
          <w:b/>
          <w:bCs/>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Sredstva potrebna za provedbu svih predviđenih aktivnosti planira MZOE u sklopu svojih redovnih aktivnosti i proračuna</w:t>
      </w:r>
    </w:p>
    <w:p w14:paraId="018E0AE0" w14:textId="77777777" w:rsidR="005D308C" w:rsidRPr="00223709" w:rsidRDefault="005D308C" w:rsidP="005D308C">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Državni proračun (MZOE)</w:t>
      </w:r>
    </w:p>
    <w:p w14:paraId="4143F52A" w14:textId="21938478" w:rsidR="005D308C" w:rsidRPr="00223709" w:rsidRDefault="005D308C" w:rsidP="005D308C">
      <w:pPr>
        <w:suppressAutoHyphens w:val="0"/>
        <w:spacing w:before="0" w:after="0" w:line="240" w:lineRule="auto"/>
        <w:rPr>
          <w:rFonts w:cs="Arial"/>
          <w:b/>
          <w:bCs/>
          <w:color w:val="000000"/>
          <w:lang w:eastAsia="en-GB"/>
        </w:rPr>
      </w:pPr>
      <w:r w:rsidRPr="00223709">
        <w:rPr>
          <w:rFonts w:cs="Arial"/>
          <w:b/>
          <w:bCs/>
          <w:color w:val="000000"/>
          <w:lang w:eastAsia="en-GB"/>
        </w:rPr>
        <w:t>Izvršno tijelo:</w:t>
      </w:r>
      <w:r w:rsidRPr="00223709">
        <w:rPr>
          <w:rFonts w:cs="Arial"/>
          <w:color w:val="000000"/>
          <w:lang w:eastAsia="en-GB"/>
        </w:rPr>
        <w:t xml:space="preserve"> MZOE – NKT – izrada naputka kojim će se definirati način informiranja korisnika uz mjesečne račune; izrada i objava objašnjenja računa na nacionalnom energetskom portalu energetske učinkovitosti; HERA – nadzor nad primjenom zakonskih obveza opskrbljivača</w:t>
      </w:r>
    </w:p>
    <w:p w14:paraId="6721122A" w14:textId="77777777" w:rsidR="005D308C" w:rsidRPr="00223709" w:rsidRDefault="005D308C" w:rsidP="005D308C">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7AC2CC9E" w14:textId="77777777" w:rsidR="005D308C" w:rsidRPr="00223709" w:rsidRDefault="005D308C" w:rsidP="005D308C">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Povećanje razine svijesti potrošača o potrošnji energije i posljedično promjena ponašanja uz smanjenu potrošnju energije</w:t>
      </w:r>
    </w:p>
    <w:p w14:paraId="1E30B0CD" w14:textId="77777777" w:rsidR="005D308C" w:rsidRPr="00223709" w:rsidRDefault="005D308C" w:rsidP="005D308C">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Učinke ove mjere moguće je pratiti jedino pokazateljima odozgo-prema-dolje.</w:t>
      </w:r>
    </w:p>
    <w:p w14:paraId="4CFB756C" w14:textId="77777777" w:rsidR="005D308C" w:rsidRPr="00223709" w:rsidRDefault="005D308C" w:rsidP="005D308C">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 xml:space="preserve">informativni računi osnažuju ulogu kupca na energetskom tržištu </w:t>
      </w:r>
    </w:p>
    <w:p w14:paraId="65D49EFA" w14:textId="77777777" w:rsidR="005D308C" w:rsidRPr="00223709" w:rsidRDefault="005D308C" w:rsidP="005D308C">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28E3C87E" w14:textId="77777777" w:rsidR="005D308C" w:rsidRPr="00223709" w:rsidRDefault="005D308C" w:rsidP="005D308C">
      <w:pPr>
        <w:suppressAutoHyphens w:val="0"/>
        <w:spacing w:before="0" w:after="0" w:line="240" w:lineRule="auto"/>
        <w:rPr>
          <w:rFonts w:cs="Arial"/>
          <w:color w:val="000000"/>
          <w:lang w:eastAsia="en-GB"/>
        </w:rPr>
      </w:pPr>
      <w:r w:rsidRPr="00223709">
        <w:rPr>
          <w:rFonts w:cs="Arial"/>
          <w:b/>
          <w:bCs/>
          <w:color w:val="000000"/>
          <w:lang w:eastAsia="en-GB"/>
        </w:rPr>
        <w:t>Istraživanje i razvoj</w:t>
      </w:r>
      <w:r w:rsidRPr="00223709">
        <w:rPr>
          <w:rFonts w:cs="Arial"/>
          <w:color w:val="000000"/>
          <w:lang w:eastAsia="en-GB"/>
        </w:rPr>
        <w:t>: /</w:t>
      </w:r>
    </w:p>
    <w:p w14:paraId="275EDC20" w14:textId="77777777" w:rsidR="00581F99" w:rsidRDefault="00581F99" w:rsidP="00286B4C">
      <w:pPr>
        <w:pStyle w:val="NormalWeb"/>
        <w:spacing w:after="120" w:line="288" w:lineRule="auto"/>
        <w:jc w:val="both"/>
        <w:rPr>
          <w:rFonts w:ascii="Arial" w:hAnsi="Arial" w:cs="Arial"/>
          <w:b/>
          <w:bCs/>
          <w:color w:val="000000"/>
          <w:sz w:val="22"/>
          <w:szCs w:val="22"/>
        </w:rPr>
      </w:pPr>
    </w:p>
    <w:p w14:paraId="608F7BC9" w14:textId="5AE89557" w:rsidR="00DF78A5"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ENU-12</w:t>
      </w:r>
      <w:r w:rsidR="001B2AD1" w:rsidRPr="00286B4C">
        <w:rPr>
          <w:rFonts w:ascii="Arial" w:hAnsi="Arial" w:cs="Arial"/>
          <w:b/>
          <w:bCs/>
          <w:color w:val="000000"/>
          <w:sz w:val="22"/>
          <w:szCs w:val="22"/>
        </w:rPr>
        <w:t xml:space="preserve">: </w:t>
      </w:r>
      <w:r w:rsidR="0016642F" w:rsidRPr="00286B4C">
        <w:rPr>
          <w:rFonts w:ascii="Arial" w:hAnsi="Arial" w:cs="Arial"/>
          <w:b/>
          <w:bCs/>
          <w:color w:val="000000"/>
          <w:sz w:val="22"/>
          <w:szCs w:val="22"/>
        </w:rPr>
        <w:t>Informiranje o energetskoj učinkovitosti</w:t>
      </w:r>
      <w:r w:rsidR="00A71ADB" w:rsidRPr="00286B4C">
        <w:rPr>
          <w:rFonts w:ascii="Arial" w:hAnsi="Arial" w:cs="Arial"/>
          <w:b/>
          <w:bCs/>
          <w:color w:val="000000"/>
          <w:sz w:val="22"/>
          <w:szCs w:val="22"/>
        </w:rPr>
        <w:t xml:space="preserve"> </w:t>
      </w:r>
    </w:p>
    <w:p w14:paraId="60C28DA0" w14:textId="77777777" w:rsidR="00D35754" w:rsidRPr="00286B4C" w:rsidRDefault="00D35754"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Informacijska mjera; provedba 2014.-2030. </w:t>
      </w:r>
    </w:p>
    <w:p w14:paraId="3CF4CEF2" w14:textId="77777777" w:rsidR="00D35754" w:rsidRPr="00223709" w:rsidRDefault="00D35754" w:rsidP="00D35754">
      <w:pPr>
        <w:suppressAutoHyphens w:val="0"/>
        <w:spacing w:before="0" w:after="0" w:line="240" w:lineRule="auto"/>
        <w:rPr>
          <w:rFonts w:cs="Arial"/>
          <w:color w:val="000000"/>
          <w:lang w:eastAsia="en-GB"/>
        </w:rPr>
      </w:pPr>
      <w:r w:rsidRPr="00223709">
        <w:rPr>
          <w:rFonts w:cs="Arial"/>
          <w:b/>
          <w:bCs/>
          <w:color w:val="000000"/>
          <w:lang w:eastAsia="en-GB"/>
        </w:rPr>
        <w:t>Cilj i opis mjere:</w:t>
      </w:r>
      <w:r w:rsidRPr="00223709">
        <w:rPr>
          <w:rFonts w:cs="Arial"/>
          <w:color w:val="000000"/>
          <w:lang w:eastAsia="en-GB"/>
        </w:rPr>
        <w:t xml:space="preserve"> Informiranje opće javnosti i ciljnih skupina provodit će se organizacijom ciljanih info-kampanja vezanih uz specifične programe poticanja energetske učinkovitosti, poglavito energetske obnove zgrada. NKT će održavati nacionalni portal energetske učinkovitosti i kroz osiguranje ažurnih informacija osigurati kontinuiranu promociju energetske učinkovitosti i energetskih usluga. Posebnu je pozornost u sljedećem razdoblju potrebno dati informiranju potrošača o dužnostima opskrbljivača u sklopu sustava obveza.</w:t>
      </w:r>
    </w:p>
    <w:p w14:paraId="16B3F1BC" w14:textId="77777777" w:rsidR="00D35754" w:rsidRPr="00223709" w:rsidRDefault="00D35754" w:rsidP="00D35754">
      <w:pPr>
        <w:suppressAutoHyphens w:val="0"/>
        <w:spacing w:before="0" w:after="0" w:line="240" w:lineRule="auto"/>
        <w:rPr>
          <w:rFonts w:eastAsia="Calibri" w:cs="Arial"/>
          <w:color w:val="000000"/>
        </w:rPr>
      </w:pPr>
    </w:p>
    <w:p w14:paraId="104D6848" w14:textId="77777777" w:rsidR="00D35754" w:rsidRPr="00223709" w:rsidRDefault="00D35754" w:rsidP="00D35754">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04A6415D" w14:textId="36580420" w:rsidR="00D35754" w:rsidRPr="00223709" w:rsidRDefault="00D35754" w:rsidP="00EC2ACA">
      <w:pPr>
        <w:numPr>
          <w:ilvl w:val="0"/>
          <w:numId w:val="95"/>
        </w:numPr>
        <w:suppressAutoHyphens w:val="0"/>
        <w:spacing w:before="0" w:after="0" w:line="240" w:lineRule="auto"/>
        <w:rPr>
          <w:rFonts w:eastAsia="Calibri" w:cs="Arial"/>
          <w:color w:val="000000"/>
        </w:rPr>
      </w:pPr>
      <w:r w:rsidRPr="00223709">
        <w:rPr>
          <w:rFonts w:eastAsia="Calibri" w:cs="Arial"/>
          <w:color w:val="000000"/>
        </w:rPr>
        <w:t xml:space="preserve">Osiguravanje kontinuiranog informiranja puten nacionalnog portala za energetsku učinkovitost - portal </w:t>
      </w:r>
      <w:hyperlink r:id="rId45" w:history="1">
        <w:r w:rsidRPr="00223709">
          <w:rPr>
            <w:rFonts w:eastAsia="Calibri" w:cs="Arial"/>
            <w:color w:val="0563C1"/>
            <w:u w:val="single"/>
          </w:rPr>
          <w:t>www.enu.hr</w:t>
        </w:r>
      </w:hyperlink>
      <w:r w:rsidRPr="00223709">
        <w:rPr>
          <w:rFonts w:eastAsia="Calibri" w:cs="Arial"/>
          <w:color w:val="000000"/>
        </w:rPr>
        <w:t xml:space="preserve"> je centralno mjesto o informiranju o aktualnostima u području ušteda energije u Republici Hrvatskoj. Sadržaj portala je grupiran oko tri temeljna nositelja promjena: građani, javni sektor, komercijalni sektor uz rubriku EE u Hrvatskoj koja sadrži sve važne dokumente, strateška usmjerenja i informacije o institucijama koje djeluju unutar područja energetske učinkovitosti. Portal objavljuje sve informacije o aktivnostima, savjetima, događanjima, projektima, natječajima, novostima i obavezama vezanim uz energetsku učinkovitost u Republici Hrvatskoj. MZOE – NKT se obvezuje održavati i osigurati punu funkcionalnost portala;</w:t>
      </w:r>
    </w:p>
    <w:p w14:paraId="792650E4" w14:textId="445CB962" w:rsidR="00D35754" w:rsidRPr="00223709" w:rsidRDefault="00D35754" w:rsidP="00A97377">
      <w:pPr>
        <w:numPr>
          <w:ilvl w:val="0"/>
          <w:numId w:val="95"/>
        </w:numPr>
        <w:suppressAutoHyphens w:val="0"/>
        <w:spacing w:before="0" w:after="0" w:line="240" w:lineRule="auto"/>
        <w:rPr>
          <w:rFonts w:eastAsia="Calibri" w:cs="Arial"/>
          <w:color w:val="000000"/>
        </w:rPr>
      </w:pPr>
      <w:r w:rsidRPr="00223709">
        <w:rPr>
          <w:rFonts w:eastAsia="Calibri" w:cs="Arial"/>
          <w:color w:val="000000"/>
        </w:rPr>
        <w:t>Ciljane info-kampanje potrebno je provoditi u sklopu drugih mjera, pogotovo mjera energetske obnove zgrada, a tijela zadužena za provedbu tih mjera zadužuju se i za provedbu aktivnosti informiranja.</w:t>
      </w:r>
    </w:p>
    <w:p w14:paraId="3440B5D3" w14:textId="7BBA5B73" w:rsidR="008D5103" w:rsidRPr="00A0341E" w:rsidRDefault="008D5103" w:rsidP="00EC2ACA">
      <w:pPr>
        <w:numPr>
          <w:ilvl w:val="0"/>
          <w:numId w:val="95"/>
        </w:numPr>
        <w:suppressAutoHyphens w:val="0"/>
        <w:spacing w:before="0" w:after="0" w:line="240" w:lineRule="auto"/>
        <w:rPr>
          <w:rFonts w:eastAsia="Calibri" w:cs="Arial"/>
          <w:color w:val="000000"/>
        </w:rPr>
      </w:pPr>
      <w:r w:rsidRPr="00223709">
        <w:rPr>
          <w:rFonts w:eastAsia="Calibri" w:cs="Arial"/>
          <w:color w:val="000000"/>
        </w:rPr>
        <w:t xml:space="preserve">Ciljane info-kampanje potrebno je </w:t>
      </w:r>
      <w:r w:rsidR="006E0769">
        <w:rPr>
          <w:rFonts w:eastAsia="Calibri" w:cs="Arial"/>
          <w:color w:val="000000"/>
        </w:rPr>
        <w:t>usmjeravati i na stručnu javnost, koju je u suradnji s ostalim dionicima (stručnim udruženjima</w:t>
      </w:r>
      <w:r w:rsidR="001D20B3">
        <w:rPr>
          <w:rFonts w:eastAsia="Calibri" w:cs="Arial"/>
          <w:color w:val="000000"/>
        </w:rPr>
        <w:t>, akademskom zajednicom, nev</w:t>
      </w:r>
      <w:r w:rsidR="00E5788C">
        <w:rPr>
          <w:rFonts w:eastAsia="Calibri" w:cs="Arial"/>
          <w:color w:val="000000"/>
        </w:rPr>
        <w:t>l</w:t>
      </w:r>
      <w:r w:rsidR="001D20B3">
        <w:rPr>
          <w:rFonts w:eastAsia="Calibri" w:cs="Arial"/>
          <w:color w:val="000000"/>
        </w:rPr>
        <w:t>adinim organizacijama i dr.</w:t>
      </w:r>
      <w:r w:rsidR="006E0769">
        <w:rPr>
          <w:rFonts w:eastAsia="Calibri" w:cs="Arial"/>
          <w:color w:val="000000"/>
        </w:rPr>
        <w:t xml:space="preserve">) </w:t>
      </w:r>
      <w:r w:rsidR="001D20B3">
        <w:rPr>
          <w:rFonts w:eastAsia="Calibri" w:cs="Arial"/>
          <w:color w:val="000000"/>
        </w:rPr>
        <w:t xml:space="preserve">potrebno </w:t>
      </w:r>
      <w:r w:rsidR="006E0769">
        <w:rPr>
          <w:rFonts w:eastAsia="Calibri" w:cs="Arial"/>
          <w:color w:val="000000"/>
        </w:rPr>
        <w:t xml:space="preserve">redovno </w:t>
      </w:r>
      <w:r w:rsidR="00A0341E">
        <w:rPr>
          <w:rFonts w:eastAsia="Calibri" w:cs="Arial"/>
          <w:color w:val="000000"/>
        </w:rPr>
        <w:t>informirati o aktualnostima i trend</w:t>
      </w:r>
      <w:r w:rsidR="00E5788C">
        <w:rPr>
          <w:rFonts w:eastAsia="Calibri" w:cs="Arial"/>
          <w:color w:val="000000"/>
        </w:rPr>
        <w:t>o</w:t>
      </w:r>
      <w:r w:rsidR="00A0341E">
        <w:rPr>
          <w:rFonts w:eastAsia="Calibri" w:cs="Arial"/>
          <w:color w:val="000000"/>
        </w:rPr>
        <w:t xml:space="preserve">vima </w:t>
      </w:r>
      <w:r w:rsidR="00A0341E">
        <w:rPr>
          <w:rFonts w:eastAsia="Arial"/>
          <w:color w:val="000000"/>
        </w:rPr>
        <w:t>iz područja energetske učinkovitosti, uključujući zelen</w:t>
      </w:r>
      <w:r w:rsidR="00EC2ACA">
        <w:rPr>
          <w:rFonts w:eastAsia="Arial"/>
          <w:color w:val="000000"/>
        </w:rPr>
        <w:t>u</w:t>
      </w:r>
      <w:r w:rsidR="00A0341E">
        <w:rPr>
          <w:rFonts w:eastAsia="Arial"/>
          <w:color w:val="000000"/>
        </w:rPr>
        <w:t xml:space="preserve"> gradnju</w:t>
      </w:r>
      <w:r w:rsidR="00EC2ACA">
        <w:rPr>
          <w:rFonts w:eastAsia="Arial"/>
          <w:color w:val="000000"/>
        </w:rPr>
        <w:t>, kružno gospodarstvo</w:t>
      </w:r>
      <w:r w:rsidR="00A0341E">
        <w:rPr>
          <w:rFonts w:eastAsia="Arial"/>
          <w:color w:val="000000"/>
        </w:rPr>
        <w:t xml:space="preserve"> i održiv</w:t>
      </w:r>
      <w:r w:rsidR="00EC2ACA">
        <w:rPr>
          <w:rFonts w:eastAsia="Arial"/>
          <w:color w:val="000000"/>
        </w:rPr>
        <w:t>u</w:t>
      </w:r>
      <w:r w:rsidR="00A0341E">
        <w:rPr>
          <w:rFonts w:eastAsia="Arial"/>
          <w:color w:val="000000"/>
        </w:rPr>
        <w:t xml:space="preserve"> mobilnost</w:t>
      </w:r>
    </w:p>
    <w:p w14:paraId="4DFA3F4D" w14:textId="77777777" w:rsidR="00D35754" w:rsidRPr="00223709" w:rsidRDefault="00D35754" w:rsidP="00D35754">
      <w:pPr>
        <w:suppressAutoHyphens w:val="0"/>
        <w:spacing w:before="0" w:after="0" w:line="240" w:lineRule="auto"/>
        <w:rPr>
          <w:rFonts w:eastAsia="Calibri" w:cs="Arial"/>
          <w:color w:val="000000"/>
        </w:rPr>
      </w:pPr>
    </w:p>
    <w:p w14:paraId="145B4C36" w14:textId="77777777" w:rsidR="00D35754" w:rsidRPr="00223709" w:rsidRDefault="00D35754" w:rsidP="00D35754">
      <w:pPr>
        <w:suppressAutoHyphens w:val="0"/>
        <w:spacing w:before="0" w:after="0" w:line="240" w:lineRule="auto"/>
        <w:rPr>
          <w:rFonts w:cs="Arial"/>
          <w:b/>
          <w:bCs/>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Sredstva potrebna za provedbu svih predviđenih aktivnosti planira MZOE u sklopu svojih redovnih aktivnosti i proračuna</w:t>
      </w:r>
    </w:p>
    <w:p w14:paraId="0D8761ED" w14:textId="77777777" w:rsidR="00D35754" w:rsidRPr="00223709" w:rsidRDefault="00D35754" w:rsidP="00D35754">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Državni proračun (MZOE)</w:t>
      </w:r>
    </w:p>
    <w:p w14:paraId="1DC47E51" w14:textId="4A128E7B" w:rsidR="00D35754" w:rsidRPr="00223709" w:rsidRDefault="00D35754" w:rsidP="00D35754">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MZOE – NKT; Tijela zadužena za provedbu ostalih mjera (MGIPU, FZOEU, JLP(R)S</w:t>
      </w:r>
      <w:r w:rsidR="00E223DA">
        <w:rPr>
          <w:rFonts w:cs="Arial"/>
          <w:color w:val="000000"/>
          <w:lang w:eastAsia="en-GB"/>
        </w:rPr>
        <w:t xml:space="preserve"> </w:t>
      </w:r>
      <w:r w:rsidRPr="00223709">
        <w:rPr>
          <w:rFonts w:cs="Arial"/>
          <w:color w:val="000000"/>
          <w:lang w:eastAsia="en-GB"/>
        </w:rPr>
        <w:t>i dr.)</w:t>
      </w:r>
    </w:p>
    <w:p w14:paraId="162EAC44" w14:textId="77777777" w:rsidR="00D35754" w:rsidRPr="00223709" w:rsidRDefault="00D35754" w:rsidP="00D35754">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17936115" w14:textId="77777777" w:rsidR="00D35754" w:rsidRPr="00223709" w:rsidRDefault="00D35754" w:rsidP="00D35754">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Povećanje razine svijesti o koristima energetske učinkovitosti uz posljedičnu promjenu ponašanja i smanjenje potrošnje energije primjenom konkretnih mjera</w:t>
      </w:r>
    </w:p>
    <w:p w14:paraId="0C0014D6" w14:textId="44F0DE73" w:rsidR="00D35754" w:rsidRPr="00223709" w:rsidRDefault="00D35754" w:rsidP="00D35754">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Praćenje učinka ove mjere moguće je primjenom metoda odozgo-prema-dolje na sektorskoj razini. Prije provođenja svake info kampanje potrebno je napraviti istraživanje tržišta te učinke dokazati ponavljanjem istog ispitivanja nakon provedene kampanje.</w:t>
      </w:r>
      <w:r w:rsidR="00E223DA">
        <w:rPr>
          <w:rFonts w:cs="Arial"/>
          <w:color w:val="000000"/>
          <w:lang w:eastAsia="en-GB"/>
        </w:rPr>
        <w:t xml:space="preserve"> </w:t>
      </w:r>
    </w:p>
    <w:p w14:paraId="7A2BFDAD" w14:textId="77777777" w:rsidR="00D35754" w:rsidRPr="00223709" w:rsidRDefault="00D35754" w:rsidP="00D35754">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 xml:space="preserve">/ </w:t>
      </w:r>
    </w:p>
    <w:p w14:paraId="04AFCEF0" w14:textId="77777777" w:rsidR="00D35754" w:rsidRPr="00223709" w:rsidRDefault="00D35754" w:rsidP="00D35754">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Informiranje treba obuhvatiti i poveznicu između potrošnje energije i klimatskih promjena kao i koristi koje donosi energetske učinkovitost u smislu prilagodbe na klimatske promjene (povećana otpornost na npr. ekstremne temperaturne uvjete i sl.)</w:t>
      </w:r>
    </w:p>
    <w:p w14:paraId="67A26EAE" w14:textId="77777777" w:rsidR="00D35754" w:rsidRPr="00223709" w:rsidRDefault="00D35754" w:rsidP="00D35754">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mjera potiče inovacije u segmentu informiranja (korištenje informacijsko-komunikacijskih tehnologija)</w:t>
      </w:r>
    </w:p>
    <w:p w14:paraId="76668F70" w14:textId="77777777" w:rsidR="004D1CDF" w:rsidRPr="004713CD" w:rsidRDefault="004D1CDF" w:rsidP="00223709">
      <w:pPr>
        <w:spacing w:after="0"/>
        <w:rPr>
          <w:rFonts w:cstheme="minorHAnsi"/>
        </w:rPr>
      </w:pPr>
    </w:p>
    <w:p w14:paraId="43E2F39B" w14:textId="71694DEB" w:rsidR="00C21988"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ENU-13</w:t>
      </w:r>
      <w:r w:rsidR="001B2AD1" w:rsidRPr="00286B4C">
        <w:rPr>
          <w:rFonts w:ascii="Arial" w:hAnsi="Arial" w:cs="Arial"/>
          <w:b/>
          <w:bCs/>
          <w:color w:val="000000"/>
          <w:sz w:val="22"/>
          <w:szCs w:val="22"/>
        </w:rPr>
        <w:t xml:space="preserve">: </w:t>
      </w:r>
      <w:r w:rsidR="00706C8A" w:rsidRPr="00286B4C">
        <w:rPr>
          <w:rFonts w:ascii="Arial" w:hAnsi="Arial" w:cs="Arial"/>
          <w:b/>
          <w:bCs/>
          <w:color w:val="000000"/>
          <w:sz w:val="22"/>
          <w:szCs w:val="22"/>
        </w:rPr>
        <w:t xml:space="preserve">Obrazovanje u području energetske učinkovitosti </w:t>
      </w:r>
    </w:p>
    <w:p w14:paraId="3486FE14" w14:textId="77777777" w:rsidR="00CF3316" w:rsidRPr="00286B4C" w:rsidRDefault="00CF3316"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Obrazovna mjera; provedba 2017.-2030. </w:t>
      </w:r>
    </w:p>
    <w:p w14:paraId="3255AE73" w14:textId="0289E743" w:rsidR="00CF3316" w:rsidRPr="00223709" w:rsidRDefault="00CF3316" w:rsidP="00CF3316">
      <w:pPr>
        <w:suppressAutoHyphens w:val="0"/>
        <w:spacing w:before="0" w:after="0" w:line="240" w:lineRule="auto"/>
        <w:rPr>
          <w:rFonts w:cs="Arial"/>
          <w:color w:val="000000"/>
          <w:lang w:eastAsia="en-GB"/>
        </w:rPr>
      </w:pPr>
      <w:r w:rsidRPr="00223709">
        <w:rPr>
          <w:rFonts w:cs="Arial"/>
          <w:b/>
          <w:bCs/>
          <w:color w:val="000000"/>
          <w:lang w:eastAsia="en-GB"/>
        </w:rPr>
        <w:t>Cilj i opis mjere:</w:t>
      </w:r>
      <w:r w:rsidRPr="00223709">
        <w:rPr>
          <w:rFonts w:cs="Arial"/>
          <w:color w:val="000000"/>
          <w:lang w:eastAsia="en-GB"/>
        </w:rPr>
        <w:t xml:space="preserve"> Osposobljavanje će se ostvariti kroz nastavak provedbe postojeće mjere te prilagođavanje aktivnosti potrebama i stvarnoj situaciji. Poglavito je važno sustavno raditi na privlačenju mladih ljudi u građevinska i ostala tehnička zanimanja, što će dugoročno doprinijeti raspoloživosti stručnih kapaciteta za provedbu energetske obnove zgrada, koja je temelj za postizanje zacrtanih energetsko-klimatskih ciljeva. Kroz obrazovanje u području energetske učinkovitosti postavit će se</w:t>
      </w:r>
      <w:r w:rsidR="00E223DA">
        <w:rPr>
          <w:rFonts w:cs="Arial"/>
          <w:color w:val="000000"/>
          <w:lang w:eastAsia="en-GB"/>
        </w:rPr>
        <w:t xml:space="preserve"> </w:t>
      </w:r>
      <w:r w:rsidRPr="00223709">
        <w:rPr>
          <w:rFonts w:cs="Arial"/>
          <w:color w:val="000000"/>
          <w:lang w:eastAsia="en-GB"/>
        </w:rPr>
        <w:t>i primjenjivati principi zelene gradnje: potrebno je potaknuti promicanje i implementaciju zelene gradnje (gradnje po principima održivosti) kao bitnog segmenta održivog razvoja i kružne ekonomije. Potrebno je osnažiti i pružiti potporu do sad donesenim politikama RH na području održivog razvitka, energetske učinkovitosti i nacionalnih smjernica za vrsnoću i kulturu građenja (ApolitikA), primjenjivati najbolje globalne standarde zelene gradnje</w:t>
      </w:r>
      <w:r w:rsidR="001E74B9">
        <w:rPr>
          <w:rFonts w:cs="Arial"/>
          <w:color w:val="000000"/>
          <w:lang w:eastAsia="en-GB"/>
        </w:rPr>
        <w:t xml:space="preserve"> (npr. međunarodne certifikate zelene gradnje)</w:t>
      </w:r>
      <w:r w:rsidR="00F34487">
        <w:rPr>
          <w:rFonts w:cs="Arial"/>
          <w:color w:val="000000"/>
          <w:lang w:eastAsia="en-GB"/>
        </w:rPr>
        <w:t>, razvijati nacionalni sustav zelene gradnje</w:t>
      </w:r>
      <w:r w:rsidRPr="00223709">
        <w:rPr>
          <w:rFonts w:cs="Arial"/>
          <w:color w:val="000000"/>
          <w:lang w:eastAsia="en-GB"/>
        </w:rPr>
        <w:t>, te jačati svijest o neiskorištenim prilikama i rizicima (ako ne provodimo) i svekolikim prilikama (ako provodimo) koje nastaju primjenom principa zelene gradnje na pojedinca i zajednicu u cjelini, na privatni i društveni sektor gospodarstva i ulaganja.</w:t>
      </w:r>
    </w:p>
    <w:p w14:paraId="3E705C07" w14:textId="77777777" w:rsidR="006D4075" w:rsidRPr="00223709" w:rsidRDefault="006D4075" w:rsidP="00CF3316">
      <w:pPr>
        <w:suppressAutoHyphens w:val="0"/>
        <w:spacing w:before="0" w:after="0" w:line="240" w:lineRule="auto"/>
        <w:rPr>
          <w:rFonts w:cs="Arial"/>
          <w:color w:val="000000"/>
          <w:lang w:eastAsia="en-GB"/>
        </w:rPr>
      </w:pPr>
    </w:p>
    <w:p w14:paraId="1C123BE2" w14:textId="77777777" w:rsidR="00CF3316" w:rsidRPr="00223709" w:rsidRDefault="00CF3316" w:rsidP="00CF3316">
      <w:pPr>
        <w:suppressAutoHyphens w:val="0"/>
        <w:spacing w:before="0" w:after="0" w:line="240" w:lineRule="auto"/>
        <w:rPr>
          <w:rFonts w:eastAsia="Calibri" w:cs="Arial"/>
          <w:color w:val="000000"/>
        </w:rPr>
      </w:pPr>
    </w:p>
    <w:p w14:paraId="0290193C" w14:textId="77777777" w:rsidR="00CF3316" w:rsidRPr="00223709" w:rsidRDefault="00CF3316" w:rsidP="00CF3316">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6D24B4E3" w14:textId="77777777" w:rsidR="00CF3316" w:rsidRPr="00223709" w:rsidRDefault="00CF3316" w:rsidP="00B64C96">
      <w:pPr>
        <w:numPr>
          <w:ilvl w:val="0"/>
          <w:numId w:val="95"/>
        </w:numPr>
        <w:suppressAutoHyphens w:val="0"/>
        <w:spacing w:before="0" w:after="0" w:line="240" w:lineRule="auto"/>
        <w:rPr>
          <w:rFonts w:eastAsia="Calibri" w:cs="Arial"/>
          <w:color w:val="000000"/>
        </w:rPr>
      </w:pPr>
      <w:r w:rsidRPr="00223709">
        <w:rPr>
          <w:rFonts w:eastAsia="Calibri" w:cs="Arial"/>
          <w:color w:val="000000"/>
        </w:rPr>
        <w:t>Predviđa se daljnja implementacija sustava kontinuirane izobrazbe i certifikacije građevinskih radnika - putem ovlaštenih CROSKILLS trening centara, a prema Pravilniku o sustavu izobrazbe i certificiranja građevinskih radnika koji ugrađuju dijelove zgrade koji utječu na energetsku učinkovitost u zgradarstvu. Ovo treba dovesti do povećane primjene energetske učinkovitosti i obnovljivih izvora energije u svakodnevnoj graditeljskoj praksi i povećane potražnje za educiranom radnom snagom, a putem povećanja praktičnih znanja radnika koji rade na licu mjesta i koji su specijalizirani za sve faze gradnje građevine i postupaka njezinog održavanja</w:t>
      </w:r>
    </w:p>
    <w:p w14:paraId="343C5B1C" w14:textId="15897773" w:rsidR="00CF3316" w:rsidRPr="00223709" w:rsidRDefault="00CF3316" w:rsidP="00A97377">
      <w:pPr>
        <w:numPr>
          <w:ilvl w:val="0"/>
          <w:numId w:val="95"/>
        </w:numPr>
        <w:suppressAutoHyphens w:val="0"/>
        <w:spacing w:before="0" w:after="0" w:line="240" w:lineRule="auto"/>
        <w:rPr>
          <w:rFonts w:eastAsia="Calibri" w:cs="Arial"/>
          <w:color w:val="000000"/>
        </w:rPr>
      </w:pPr>
      <w:r w:rsidRPr="00223709">
        <w:rPr>
          <w:rFonts w:eastAsia="Calibri" w:cs="Arial"/>
          <w:color w:val="000000"/>
        </w:rPr>
        <w:t>Predviđa se provedba edukacijskih aktivnosti usmjerenih na principe zelene gradnje (aktivnostima u prethodnom razdoblju izradit će se Vodič i smjernice o zelenoj i održivoj gradnji te smjernica za RH certifikat Zelene gradnje pa će se sve aktivnosti u razdoblju od 2021. godine nadalje temeljiti na ovim smjernicama)</w:t>
      </w:r>
    </w:p>
    <w:p w14:paraId="55B83BC9" w14:textId="17DA7307" w:rsidR="00CF3316" w:rsidRPr="00223709" w:rsidRDefault="00CF3316" w:rsidP="00CF3316">
      <w:pPr>
        <w:suppressAutoHyphens w:val="0"/>
        <w:spacing w:before="0" w:after="0" w:line="240" w:lineRule="auto"/>
        <w:rPr>
          <w:rFonts w:eastAsia="Calibri" w:cs="Arial"/>
          <w:color w:val="000000"/>
        </w:rPr>
      </w:pPr>
    </w:p>
    <w:p w14:paraId="6CCA7417" w14:textId="77777777" w:rsidR="00CF3316" w:rsidRPr="00223709" w:rsidRDefault="00CF3316" w:rsidP="00CF3316">
      <w:pPr>
        <w:suppressAutoHyphens w:val="0"/>
        <w:spacing w:before="0" w:after="0" w:line="240" w:lineRule="auto"/>
        <w:rPr>
          <w:rFonts w:cs="Arial"/>
          <w:b/>
          <w:bCs/>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Sredstva potrebna za provedbu svih predviđenih aktivnosti potrebno je utvrditi na temelju rezultata i preporuka CROSKILLS trening centara</w:t>
      </w:r>
    </w:p>
    <w:p w14:paraId="2DD49091" w14:textId="77777777" w:rsidR="00CF3316" w:rsidRPr="00223709" w:rsidRDefault="00CF3316" w:rsidP="00CF3316">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ESI fondovi za jačanje ljudskih potencijala, s ciljem integracije principa zelene i održive gradnje te kružne ekonomije u postojeće sustave strukovnog obrazovanja, obrazovanja odraslih i cjeloživotnog obrazovanja.</w:t>
      </w:r>
    </w:p>
    <w:p w14:paraId="4EBAC80B" w14:textId="5EE02A10" w:rsidR="00CF3316" w:rsidRPr="00223709" w:rsidRDefault="00CF3316" w:rsidP="00CF3316">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ASOO – sufinanciranje trening centara za provedbu izobrazbe radnika; HZZ – sufinanciranje izobrazbe/prekvalifikacije nezaposlenih; Građevinski fakultet u Zagrebu, u okviru projekta CROSKILLS; MGIPU – postavljanje i primjena principa zelene gradnje u suradnji s Hrvatskim savjetom za zelenu gradnju</w:t>
      </w:r>
      <w:r w:rsidR="005B61CB">
        <w:rPr>
          <w:rFonts w:cs="Arial"/>
          <w:color w:val="000000"/>
          <w:lang w:eastAsia="en-GB"/>
        </w:rPr>
        <w:t xml:space="preserve"> i Arhitektonskim fakultetom (AF)</w:t>
      </w:r>
    </w:p>
    <w:p w14:paraId="6E991EC4" w14:textId="031120CB" w:rsidR="00CF3316" w:rsidRPr="00223709" w:rsidRDefault="00CF3316" w:rsidP="00CF3316">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w:t>
      </w:r>
      <w:r w:rsidR="00E84D30">
        <w:rPr>
          <w:rFonts w:cs="Arial"/>
          <w:color w:val="000000"/>
          <w:lang w:eastAsia="en-GB"/>
        </w:rPr>
        <w:t xml:space="preserve">MGIPU i </w:t>
      </w:r>
      <w:r w:rsidRPr="00223709">
        <w:rPr>
          <w:rFonts w:cs="Arial"/>
          <w:color w:val="000000"/>
          <w:lang w:eastAsia="en-GB"/>
        </w:rPr>
        <w:t>MZOE-NKT</w:t>
      </w:r>
    </w:p>
    <w:p w14:paraId="033E3E11" w14:textId="3D36BFA1" w:rsidR="00CF3316" w:rsidRPr="00223709" w:rsidRDefault="00CF3316" w:rsidP="00CF3316">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Raspoloživi stručni kapaciteti za provedbu mjera energetske učinkovitosti</w:t>
      </w:r>
    </w:p>
    <w:p w14:paraId="05DFC535" w14:textId="06681F71" w:rsidR="00CF3316" w:rsidRPr="00223709" w:rsidRDefault="00CF3316" w:rsidP="00CF3316">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Prati se broj obrazovanih stručnjaka u sklopu uspostavljenih obrazovnih programa / trening centara.</w:t>
      </w:r>
      <w:r w:rsidR="00E223DA">
        <w:rPr>
          <w:rFonts w:cs="Arial"/>
          <w:color w:val="000000"/>
          <w:lang w:eastAsia="en-GB"/>
        </w:rPr>
        <w:t xml:space="preserve"> </w:t>
      </w:r>
    </w:p>
    <w:p w14:paraId="749D2A1D" w14:textId="638AE97F" w:rsidR="00CF3316" w:rsidRPr="00223709" w:rsidRDefault="00CF3316" w:rsidP="00CF3316">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kroz edukaciju o zelenoj gradnji, koja uključuje i značajno korištenje OIE, ostvaruje se povezanost s dimenzijom dekarbonizacije</w:t>
      </w:r>
      <w:r w:rsidR="00E223DA">
        <w:rPr>
          <w:rFonts w:cs="Arial"/>
          <w:color w:val="000000"/>
          <w:lang w:eastAsia="en-GB"/>
        </w:rPr>
        <w:t xml:space="preserve"> </w:t>
      </w:r>
    </w:p>
    <w:p w14:paraId="4C65A3A5" w14:textId="77777777" w:rsidR="00CF3316" w:rsidRPr="00223709" w:rsidRDefault="00CF3316" w:rsidP="00CF3316">
      <w:pPr>
        <w:suppressAutoHyphens w:val="0"/>
        <w:spacing w:before="0" w:after="0" w:line="240" w:lineRule="auto"/>
        <w:rPr>
          <w:rFonts w:cs="Arial"/>
          <w:color w:val="000000"/>
          <w:lang w:eastAsia="en-GB"/>
        </w:rPr>
      </w:pPr>
      <w:r w:rsidRPr="00223709">
        <w:rPr>
          <w:rFonts w:cs="Arial"/>
          <w:b/>
          <w:bCs/>
          <w:color w:val="000000"/>
          <w:lang w:eastAsia="en-GB"/>
        </w:rPr>
        <w:t xml:space="preserve">Povezanost s prilagodbom klimatskim promjenama: </w:t>
      </w:r>
      <w:r w:rsidRPr="00223709">
        <w:rPr>
          <w:rFonts w:cs="Arial"/>
          <w:color w:val="000000"/>
          <w:lang w:eastAsia="en-GB"/>
        </w:rPr>
        <w:t>kroz edukaciju o zelenoj gradnji, koja uključuje promociju zelene infrastrukture na zgradama (zeleni krovovi, zelene fasade i sl.), jačaju se kapaciteti za primjenu ovih mjera, koje predstavljaju značajne mjere za prilagodbu klimatskim promjenama (npr. smanjenje urbanih toplinskih otoka i sl.)</w:t>
      </w:r>
    </w:p>
    <w:p w14:paraId="7243CB14" w14:textId="77777777" w:rsidR="00CF3316" w:rsidRPr="00223709" w:rsidRDefault="00CF3316" w:rsidP="00CF3316">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edukacijske aktivnosti u području zelene gradnje potiču istraživanje i razvoj u ovom segmentu (tehnologije i metode za 'ozelenjavanje' zgrada)</w:t>
      </w:r>
    </w:p>
    <w:p w14:paraId="70074195" w14:textId="40313AD5" w:rsidR="0026173B"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ENU-14</w:t>
      </w:r>
      <w:r w:rsidR="0026173B" w:rsidRPr="00286B4C">
        <w:rPr>
          <w:rFonts w:ascii="Arial" w:hAnsi="Arial" w:cs="Arial"/>
          <w:b/>
          <w:bCs/>
          <w:color w:val="000000"/>
          <w:sz w:val="22"/>
          <w:szCs w:val="22"/>
        </w:rPr>
        <w:t xml:space="preserve">: </w:t>
      </w:r>
      <w:r w:rsidR="0056174C" w:rsidRPr="00286B4C">
        <w:rPr>
          <w:rFonts w:ascii="Arial" w:hAnsi="Arial" w:cs="Arial"/>
          <w:b/>
          <w:bCs/>
          <w:color w:val="000000"/>
          <w:sz w:val="22"/>
          <w:szCs w:val="22"/>
        </w:rPr>
        <w:t>Integrirani informacijski sustav za praćenje energetske učinkovitosti</w:t>
      </w:r>
    </w:p>
    <w:p w14:paraId="477ABAA5" w14:textId="77777777" w:rsidR="002F65E9" w:rsidRPr="00286B4C" w:rsidRDefault="002F65E9"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Informacijska mjera; provedba 2014.-2030. </w:t>
      </w:r>
    </w:p>
    <w:p w14:paraId="0C2EBCE2" w14:textId="42BF9978" w:rsidR="002F65E9" w:rsidRPr="00223709" w:rsidRDefault="002F65E9" w:rsidP="002F65E9">
      <w:pPr>
        <w:suppressAutoHyphens w:val="0"/>
        <w:spacing w:before="0" w:after="0" w:line="240" w:lineRule="auto"/>
        <w:rPr>
          <w:rFonts w:cs="Arial"/>
          <w:color w:val="000000"/>
          <w:lang w:eastAsia="en-GB"/>
        </w:rPr>
      </w:pPr>
      <w:r w:rsidRPr="00223709">
        <w:rPr>
          <w:rFonts w:cs="Arial"/>
          <w:b/>
          <w:bCs/>
          <w:color w:val="000000"/>
          <w:lang w:eastAsia="en-GB"/>
        </w:rPr>
        <w:t>Cilj i opis mjere:</w:t>
      </w:r>
      <w:r w:rsidRPr="00223709">
        <w:rPr>
          <w:rFonts w:cs="Arial"/>
          <w:color w:val="000000"/>
          <w:lang w:eastAsia="en-GB"/>
        </w:rPr>
        <w:t xml:space="preserve"> Sustav za mjerenje i verifikaciju ušteda energije (SMiV) uspostavljen je </w:t>
      </w:r>
      <w:r w:rsidR="00C572FC">
        <w:rPr>
          <w:rFonts w:cs="Arial"/>
          <w:color w:val="000000"/>
          <w:lang w:eastAsia="en-GB"/>
        </w:rPr>
        <w:t>na temelju</w:t>
      </w:r>
      <w:r w:rsidR="00C572FC" w:rsidRPr="00223709">
        <w:rPr>
          <w:rFonts w:cs="Arial"/>
          <w:color w:val="000000"/>
          <w:lang w:eastAsia="en-GB"/>
        </w:rPr>
        <w:t xml:space="preserve"> </w:t>
      </w:r>
      <w:r w:rsidRPr="00223709">
        <w:rPr>
          <w:rFonts w:cs="Arial"/>
          <w:color w:val="000000"/>
          <w:lang w:eastAsia="en-GB"/>
        </w:rPr>
        <w:t>Zakona o energetskoj učinkovitosti i Pravilnikom o sustavu za praćenje, mjerenje i verifikaciju ušteda energije. Sustav je izuzetno važan jer se kroz njega prate uštede energije i rezultirajuće smanjenje stakleničkih plinova te se podatci iz sustava koriste za izvješćivanje. U sljedećem razdoblju nužno je održavati i unaprjeđivati funkcionalnost sustava, povezati ga s drugim sustavima (ISGE) te informirati i obučavati obveznike o pravilnom unosu podatka potrebnih za izračun i verifikaciju ušteda energije.</w:t>
      </w:r>
    </w:p>
    <w:p w14:paraId="7810E837" w14:textId="77777777" w:rsidR="002F65E9" w:rsidRPr="00223709" w:rsidRDefault="002F65E9" w:rsidP="002F65E9">
      <w:pPr>
        <w:suppressAutoHyphens w:val="0"/>
        <w:spacing w:before="0" w:after="0" w:line="240" w:lineRule="auto"/>
        <w:rPr>
          <w:rFonts w:eastAsia="Calibri" w:cs="Arial"/>
          <w:color w:val="000000"/>
        </w:rPr>
      </w:pPr>
    </w:p>
    <w:p w14:paraId="3BA97613" w14:textId="77777777" w:rsidR="002F65E9" w:rsidRPr="00223709" w:rsidRDefault="002F65E9" w:rsidP="002F65E9">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6F23868C" w14:textId="77777777" w:rsidR="002F65E9" w:rsidRPr="00223709" w:rsidRDefault="002F65E9" w:rsidP="00EA05F7">
      <w:pPr>
        <w:numPr>
          <w:ilvl w:val="0"/>
          <w:numId w:val="95"/>
        </w:numPr>
        <w:suppressAutoHyphens w:val="0"/>
        <w:spacing w:before="0" w:after="0" w:line="240" w:lineRule="auto"/>
        <w:rPr>
          <w:rFonts w:eastAsia="Calibri" w:cs="Arial"/>
          <w:color w:val="000000"/>
        </w:rPr>
      </w:pPr>
      <w:r w:rsidRPr="00223709">
        <w:rPr>
          <w:rFonts w:eastAsia="Calibri" w:cs="Arial"/>
          <w:color w:val="000000"/>
        </w:rPr>
        <w:t>daljnja nadogradnju, razvoj i adaptivno održavanje SMIV-a, njegovo povezivanje s drugim sustavima s ciljem izgradnje integriranog informacijskog i informatičkog sustava za praćenje provedbe politike energetske učinkovitosti</w:t>
      </w:r>
    </w:p>
    <w:p w14:paraId="40EDAC49" w14:textId="77777777" w:rsidR="002F65E9" w:rsidRPr="00223709" w:rsidRDefault="002F65E9" w:rsidP="002F65E9">
      <w:pPr>
        <w:suppressAutoHyphens w:val="0"/>
        <w:spacing w:before="0" w:after="0" w:line="240" w:lineRule="auto"/>
        <w:rPr>
          <w:rFonts w:eastAsia="Calibri" w:cs="Arial"/>
          <w:color w:val="000000"/>
        </w:rPr>
      </w:pPr>
    </w:p>
    <w:p w14:paraId="78F73712" w14:textId="77777777" w:rsidR="002F65E9" w:rsidRPr="00223709" w:rsidRDefault="002F65E9" w:rsidP="002F65E9">
      <w:pPr>
        <w:suppressAutoHyphens w:val="0"/>
        <w:spacing w:before="0" w:after="0" w:line="240" w:lineRule="auto"/>
        <w:rPr>
          <w:rFonts w:cs="Arial"/>
          <w:b/>
          <w:bCs/>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Sredstva potrebna za provedbu svih predviđenih aktivnosti planira MZOE u sklopu svojih redovnih aktivnosti i proračuna</w:t>
      </w:r>
    </w:p>
    <w:p w14:paraId="3F08A37A" w14:textId="77777777" w:rsidR="002F65E9" w:rsidRPr="00223709" w:rsidRDefault="002F65E9" w:rsidP="002F65E9">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Državni proračun (MZOE)</w:t>
      </w:r>
    </w:p>
    <w:p w14:paraId="49745590" w14:textId="4B6F7107" w:rsidR="002F65E9" w:rsidRPr="00223709" w:rsidRDefault="002F65E9" w:rsidP="002F65E9">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MZOE-NKT </w:t>
      </w:r>
    </w:p>
    <w:p w14:paraId="0F0351C7" w14:textId="77777777" w:rsidR="002F65E9" w:rsidRPr="00223709" w:rsidRDefault="002F65E9" w:rsidP="002F65E9">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0D64F851" w14:textId="77777777" w:rsidR="002F65E9" w:rsidRPr="00223709" w:rsidRDefault="002F65E9" w:rsidP="002F65E9">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Sustavno praćenje provedbe mjera ENU i kvantifikacija njihovih učinaka; olakšano izvješćivanje na svim razinama; olakšano planiranje novih mjera i revidiranje postojećih na temelju dokaza o učincima provedbe</w:t>
      </w:r>
    </w:p>
    <w:p w14:paraId="7596F7AA" w14:textId="77777777" w:rsidR="002F65E9" w:rsidRPr="00223709" w:rsidRDefault="002F65E9" w:rsidP="002F65E9">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w:t>
      </w:r>
    </w:p>
    <w:p w14:paraId="3BA83676" w14:textId="77777777" w:rsidR="002F65E9" w:rsidRPr="00223709" w:rsidRDefault="002F65E9" w:rsidP="002F65E9">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 xml:space="preserve">/ </w:t>
      </w:r>
    </w:p>
    <w:p w14:paraId="3F3E1087" w14:textId="77777777" w:rsidR="002F65E9" w:rsidRPr="00223709" w:rsidRDefault="002F65E9" w:rsidP="002F65E9">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4B0CE5B5" w14:textId="77777777" w:rsidR="002F65E9" w:rsidRPr="00223709" w:rsidRDefault="002F65E9" w:rsidP="002F65E9">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w:t>
      </w:r>
    </w:p>
    <w:p w14:paraId="6AE48E11" w14:textId="77777777" w:rsidR="004D1CDF" w:rsidRPr="00AC13B8" w:rsidRDefault="004D1CDF" w:rsidP="00AC13B8">
      <w:pPr>
        <w:rPr>
          <w:rFonts w:cstheme="minorHAnsi"/>
        </w:rPr>
      </w:pPr>
    </w:p>
    <w:p w14:paraId="74A8500E" w14:textId="272962F0" w:rsidR="00C21988" w:rsidRPr="00B370A3" w:rsidRDefault="00112534" w:rsidP="00725326">
      <w:pPr>
        <w:shd w:val="clear" w:color="auto" w:fill="DEEAF6" w:themeFill="accent1" w:themeFillTint="33"/>
        <w:ind w:left="705" w:hanging="705"/>
        <w:rPr>
          <w:rFonts w:cstheme="minorHAnsi"/>
          <w:i/>
        </w:rPr>
      </w:pPr>
      <w:r>
        <w:rPr>
          <w:rFonts w:cstheme="minorHAnsi"/>
          <w:i/>
        </w:rPr>
        <w:t>Mjere u sektoru prerađivačke industrije</w:t>
      </w:r>
    </w:p>
    <w:p w14:paraId="140F70BE" w14:textId="588889C5" w:rsidR="000C716B" w:rsidRPr="00AC13B8" w:rsidRDefault="00930EB5" w:rsidP="00AC13B8">
      <w:pPr>
        <w:rPr>
          <w:rFonts w:cstheme="minorHAnsi"/>
        </w:rPr>
      </w:pPr>
      <w:r w:rsidRPr="00AE1D3C">
        <w:rPr>
          <w:rFonts w:cstheme="minorHAnsi"/>
        </w:rPr>
        <w:t xml:space="preserve">U razdoblju od 2021. do 2030. godine, ETS </w:t>
      </w:r>
      <w:r w:rsidR="00BC3398" w:rsidRPr="00AE1D3C">
        <w:rPr>
          <w:rFonts w:cstheme="minorHAnsi"/>
        </w:rPr>
        <w:t>(</w:t>
      </w:r>
      <w:r w:rsidR="004E74E4" w:rsidRPr="00AE1D3C">
        <w:rPr>
          <w:rFonts w:cstheme="minorHAnsi"/>
        </w:rPr>
        <w:t>M</w:t>
      </w:r>
      <w:r w:rsidR="00195C5A">
        <w:rPr>
          <w:rFonts w:cstheme="minorHAnsi"/>
        </w:rPr>
        <w:t xml:space="preserve">S-3: </w:t>
      </w:r>
      <w:r w:rsidR="00195C5A" w:rsidRPr="00195C5A">
        <w:rPr>
          <w:rFonts w:cstheme="minorHAnsi"/>
        </w:rPr>
        <w:t>Europski sustav trgovanja emisijskim jedinicama</w:t>
      </w:r>
      <w:r w:rsidR="00BC3398" w:rsidRPr="00AE1D3C">
        <w:rPr>
          <w:rFonts w:cstheme="minorHAnsi"/>
        </w:rPr>
        <w:t xml:space="preserve">) </w:t>
      </w:r>
      <w:r w:rsidRPr="00AC13B8">
        <w:rPr>
          <w:rFonts w:cstheme="minorHAnsi"/>
        </w:rPr>
        <w:t>ostaje glavni instrument politike smanjenja emisija industrijskog sektor</w:t>
      </w:r>
      <w:r w:rsidR="00BC3398" w:rsidRPr="00AC13B8">
        <w:rPr>
          <w:rFonts w:cstheme="minorHAnsi"/>
        </w:rPr>
        <w:t>a</w:t>
      </w:r>
      <w:r w:rsidR="000D09FF" w:rsidRPr="00AC13B8">
        <w:rPr>
          <w:rFonts w:cstheme="minorHAnsi"/>
        </w:rPr>
        <w:t xml:space="preserve">. </w:t>
      </w:r>
      <w:r w:rsidR="002B2B5C" w:rsidRPr="00AC13B8">
        <w:rPr>
          <w:rFonts w:cstheme="minorHAnsi"/>
        </w:rPr>
        <w:t xml:space="preserve">Za postrojenja koja nisu u ETS-u, na snazi će i dalje biti </w:t>
      </w:r>
      <w:r w:rsidR="009E4E7E" w:rsidRPr="00AC13B8">
        <w:rPr>
          <w:rFonts w:cstheme="minorHAnsi"/>
        </w:rPr>
        <w:t>obveza plaćanja naknade za emisije CO</w:t>
      </w:r>
      <w:r w:rsidR="009E4E7E" w:rsidRPr="00AC13B8">
        <w:rPr>
          <w:rFonts w:cstheme="minorHAnsi"/>
          <w:vertAlign w:val="subscript"/>
        </w:rPr>
        <w:t>2</w:t>
      </w:r>
      <w:r w:rsidR="00EF5116" w:rsidRPr="00AE1D3C">
        <w:rPr>
          <w:rFonts w:cstheme="minorHAnsi"/>
        </w:rPr>
        <w:t xml:space="preserve"> (</w:t>
      </w:r>
      <w:r w:rsidR="00195C5A" w:rsidRPr="00195C5A">
        <w:rPr>
          <w:rFonts w:cstheme="minorHAnsi"/>
        </w:rPr>
        <w:t>MS-5: Porez na emisiju CO</w:t>
      </w:r>
      <w:r w:rsidR="00195C5A" w:rsidRPr="00725326">
        <w:rPr>
          <w:rFonts w:cstheme="minorHAnsi"/>
          <w:vertAlign w:val="subscript"/>
        </w:rPr>
        <w:t>2</w:t>
      </w:r>
      <w:r w:rsidR="00195C5A" w:rsidRPr="00195C5A">
        <w:rPr>
          <w:rFonts w:cstheme="minorHAnsi"/>
        </w:rPr>
        <w:t xml:space="preserve"> za stacionarne izvore koji nisu u EU ETS-u</w:t>
      </w:r>
      <w:r w:rsidR="00EF5116" w:rsidRPr="00AE1D3C">
        <w:rPr>
          <w:rFonts w:cstheme="minorHAnsi"/>
        </w:rPr>
        <w:t>)</w:t>
      </w:r>
      <w:r w:rsidR="009E4E7E" w:rsidRPr="00AE1D3C">
        <w:rPr>
          <w:rFonts w:cstheme="minorHAnsi"/>
        </w:rPr>
        <w:t xml:space="preserve">, prema </w:t>
      </w:r>
      <w:r w:rsidR="00202B83" w:rsidRPr="00AE1D3C">
        <w:rPr>
          <w:rFonts w:cstheme="minorHAnsi"/>
        </w:rPr>
        <w:t>Uredbi o jediničnim naknadama, korektivnim koeficijentima i pobližim kriterijima i mjerilima za utvrđivanje naknade na emisiju u okoliš ugl</w:t>
      </w:r>
      <w:r w:rsidR="00202B83" w:rsidRPr="00AC13B8">
        <w:rPr>
          <w:rFonts w:cstheme="minorHAnsi"/>
        </w:rPr>
        <w:t xml:space="preserve">jikovog dioksida (NN 73/07, 48/09, 2/18) </w:t>
      </w:r>
      <w:r w:rsidR="001A111E" w:rsidRPr="00AC13B8">
        <w:rPr>
          <w:rFonts w:cstheme="minorHAnsi"/>
        </w:rPr>
        <w:t>te odlukama</w:t>
      </w:r>
      <w:r w:rsidR="00B26F60" w:rsidRPr="00AC13B8">
        <w:rPr>
          <w:rFonts w:cstheme="minorHAnsi"/>
        </w:rPr>
        <w:t xml:space="preserve"> o visini jedinične naknade za emisije stakleničkih plinova za operatere postrojenja isključenih iz sustava trgovanja emisijskim jedinicama. </w:t>
      </w:r>
    </w:p>
    <w:p w14:paraId="24E61527" w14:textId="7AD52981" w:rsidR="00C21988" w:rsidRPr="00AC13B8" w:rsidRDefault="000D09FF" w:rsidP="00C21988">
      <w:pPr>
        <w:rPr>
          <w:rFonts w:cstheme="minorHAnsi"/>
        </w:rPr>
      </w:pPr>
      <w:r w:rsidRPr="00AC13B8">
        <w:rPr>
          <w:rFonts w:cstheme="minorHAnsi"/>
        </w:rPr>
        <w:t xml:space="preserve">Osim toga, očekuje se da će </w:t>
      </w:r>
      <w:r w:rsidR="00FB1E90" w:rsidRPr="00AC13B8">
        <w:rPr>
          <w:rFonts w:cstheme="minorHAnsi"/>
        </w:rPr>
        <w:t>sustav obveza opskrbljivača također doprinijeti poboljšanju energetske u</w:t>
      </w:r>
      <w:r w:rsidR="00E71137" w:rsidRPr="00AC13B8">
        <w:rPr>
          <w:rFonts w:cstheme="minorHAnsi"/>
        </w:rPr>
        <w:t>činkovitosti u ovom sektoru</w:t>
      </w:r>
      <w:r w:rsidR="00CC2626" w:rsidRPr="00AC13B8">
        <w:rPr>
          <w:rFonts w:cstheme="minorHAnsi"/>
        </w:rPr>
        <w:t xml:space="preserve">, </w:t>
      </w:r>
      <w:r w:rsidR="0062782E" w:rsidRPr="00AC13B8">
        <w:rPr>
          <w:rFonts w:cstheme="minorHAnsi"/>
        </w:rPr>
        <w:t>kroz</w:t>
      </w:r>
      <w:r w:rsidR="00CC2626" w:rsidRPr="00AC13B8">
        <w:rPr>
          <w:rFonts w:cstheme="minorHAnsi"/>
        </w:rPr>
        <w:t xml:space="preserve"> iskorištavanje </w:t>
      </w:r>
      <w:r w:rsidR="00484002" w:rsidRPr="00AC13B8">
        <w:rPr>
          <w:rFonts w:cstheme="minorHAnsi"/>
        </w:rPr>
        <w:t>troškovno učinkovitih potencijala za energetsku učinkovitost</w:t>
      </w:r>
      <w:r w:rsidR="00351A6D" w:rsidRPr="00AC13B8">
        <w:rPr>
          <w:rFonts w:cstheme="minorHAnsi"/>
        </w:rPr>
        <w:t xml:space="preserve"> i korištenje tržišnih modela, kao što su ugov</w:t>
      </w:r>
      <w:r w:rsidR="007D7B4A">
        <w:rPr>
          <w:rFonts w:cstheme="minorHAnsi"/>
        </w:rPr>
        <w:t>a</w:t>
      </w:r>
      <w:r w:rsidR="00351A6D" w:rsidRPr="00AC13B8">
        <w:rPr>
          <w:rFonts w:cstheme="minorHAnsi"/>
        </w:rPr>
        <w:t xml:space="preserve">ranje po energetskom učinku. </w:t>
      </w:r>
      <w:r w:rsidR="00DF3E7E" w:rsidRPr="00AC13B8">
        <w:rPr>
          <w:rFonts w:cstheme="minorHAnsi"/>
        </w:rPr>
        <w:t>Zbog toga se u razdoblju od 2021. do 2030. godine ne predviđaju</w:t>
      </w:r>
      <w:r w:rsidR="00A7117B" w:rsidRPr="00AC13B8">
        <w:rPr>
          <w:rFonts w:cstheme="minorHAnsi"/>
        </w:rPr>
        <w:t xml:space="preserve"> nove mjere financijskog poticanja iz</w:t>
      </w:r>
      <w:r w:rsidR="00381286" w:rsidRPr="00AC13B8">
        <w:rPr>
          <w:rFonts w:cstheme="minorHAnsi"/>
        </w:rPr>
        <w:t xml:space="preserve"> javnih izvora. </w:t>
      </w:r>
    </w:p>
    <w:p w14:paraId="541DA642" w14:textId="77777777" w:rsidR="00110C25" w:rsidRPr="00A2724B" w:rsidRDefault="00110C25" w:rsidP="00840E2E">
      <w:pPr>
        <w:pStyle w:val="Heading3"/>
        <w:numPr>
          <w:ilvl w:val="0"/>
          <w:numId w:val="70"/>
        </w:numPr>
      </w:pPr>
      <w:r w:rsidRPr="00A2724B">
        <w:t>Ako je primjenjivo, opis politika i mjera za promicanje uloge lokalnih OIE energetskih zajednica pri davanju doprinosa provedbi politika i mjera iz podtočaka i., ii., iii. i iv.</w:t>
      </w:r>
    </w:p>
    <w:p w14:paraId="67A36431" w14:textId="5B2C15A2" w:rsidR="00F9627B" w:rsidRPr="00AC13B8" w:rsidRDefault="008C3A3D" w:rsidP="00C21988">
      <w:pPr>
        <w:rPr>
          <w:rFonts w:cstheme="minorHAnsi"/>
        </w:rPr>
      </w:pPr>
      <w:r>
        <w:rPr>
          <w:rFonts w:cstheme="minorHAnsi"/>
        </w:rPr>
        <w:t>Energetske zajednice promovirat će se u okviru mjere OIE-1, a regulatorni okvir potreban za njihovo funkcioniranje u okviru mjere OIE-4.</w:t>
      </w:r>
    </w:p>
    <w:p w14:paraId="6C17D719" w14:textId="77777777" w:rsidR="00F41EAA" w:rsidRPr="00A2724B" w:rsidRDefault="00F41EAA" w:rsidP="00840E2E">
      <w:pPr>
        <w:pStyle w:val="Heading3"/>
        <w:numPr>
          <w:ilvl w:val="0"/>
          <w:numId w:val="70"/>
        </w:numPr>
      </w:pPr>
      <w:r w:rsidRPr="00A2724B">
        <w:t>Opis mjera za iskorištavanje potencijala povećanja energetske učinkovitosti infrastrukture za plin i električnu energiju</w:t>
      </w:r>
    </w:p>
    <w:p w14:paraId="0FFDEE6E" w14:textId="77777777" w:rsidR="00E06F58" w:rsidRDefault="00C70AEA" w:rsidP="00E06F58">
      <w:pPr>
        <w:rPr>
          <w:rFonts w:cstheme="minorHAnsi"/>
        </w:rPr>
      </w:pPr>
      <w:r w:rsidRPr="00CF2D4C">
        <w:t>Mjere za povećanje energetske učinkovitosti infrastrukture za električnu energiju (prijenosne i distribucijske mreže), temelje se na desetogodišnjim planovima razvoja prijenosne i distribucijske mreže za razdoblje od 2016. do 2025. godine te Odluci HERA-e o provedbi mjera energetske učinkovitosti (detaljnije u poglavlju 1.2.2).</w:t>
      </w:r>
      <w:r w:rsidR="00E06F58">
        <w:t xml:space="preserve"> Mjera za povećanje energetske učinkovitosti plinskog transportnog sustava temelji se na desetogodišnjem planu Plinacro-a. </w:t>
      </w:r>
      <w:r w:rsidR="00E06F58">
        <w:rPr>
          <w:rFonts w:cstheme="minorHAnsi"/>
        </w:rPr>
        <w:t xml:space="preserve">Za RH je bitno i unaprjeđenje infrastrukture za proizvodnju, prijenos i distribuciju energije za grijanje i hlađenje. </w:t>
      </w:r>
    </w:p>
    <w:p w14:paraId="7311F26B" w14:textId="710C4863" w:rsidR="005B1070"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ENU-15</w:t>
      </w:r>
      <w:r w:rsidR="002E36D5" w:rsidRPr="00286B4C">
        <w:rPr>
          <w:rFonts w:ascii="Arial" w:hAnsi="Arial" w:cs="Arial"/>
          <w:b/>
          <w:bCs/>
          <w:color w:val="000000"/>
          <w:sz w:val="22"/>
          <w:szCs w:val="22"/>
        </w:rPr>
        <w:t xml:space="preserve">: </w:t>
      </w:r>
      <w:r w:rsidR="003168A0" w:rsidRPr="00286B4C">
        <w:rPr>
          <w:rFonts w:ascii="Arial" w:hAnsi="Arial" w:cs="Arial"/>
          <w:b/>
          <w:bCs/>
          <w:color w:val="000000"/>
          <w:sz w:val="22"/>
          <w:szCs w:val="22"/>
        </w:rPr>
        <w:t xml:space="preserve">Energetska učinkovitost </w:t>
      </w:r>
      <w:r w:rsidR="00F43578" w:rsidRPr="00286B4C">
        <w:rPr>
          <w:rFonts w:ascii="Arial" w:hAnsi="Arial" w:cs="Arial"/>
          <w:b/>
          <w:bCs/>
          <w:color w:val="000000"/>
          <w:sz w:val="22"/>
          <w:szCs w:val="22"/>
        </w:rPr>
        <w:t>elektroenergetskog</w:t>
      </w:r>
      <w:r w:rsidR="003168A0" w:rsidRPr="00286B4C">
        <w:rPr>
          <w:rFonts w:ascii="Arial" w:hAnsi="Arial" w:cs="Arial"/>
          <w:b/>
          <w:bCs/>
          <w:color w:val="000000"/>
          <w:sz w:val="22"/>
          <w:szCs w:val="22"/>
        </w:rPr>
        <w:t xml:space="preserve"> prijenosnog sustava</w:t>
      </w:r>
    </w:p>
    <w:p w14:paraId="368396C6" w14:textId="77777777" w:rsidR="00B936CA" w:rsidRPr="00286B4C" w:rsidRDefault="00B936CA"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Financijska i organizacijska mjera; provedba 2021.-2030. </w:t>
      </w:r>
    </w:p>
    <w:p w14:paraId="226A1C48" w14:textId="77777777" w:rsidR="00B936CA" w:rsidRPr="00223709" w:rsidRDefault="00B936CA" w:rsidP="00B936CA">
      <w:pPr>
        <w:suppressAutoHyphens w:val="0"/>
        <w:spacing w:before="0" w:after="0" w:line="240" w:lineRule="auto"/>
        <w:rPr>
          <w:rFonts w:cs="Arial"/>
          <w:color w:val="000000"/>
          <w:lang w:eastAsia="en-GB"/>
        </w:rPr>
      </w:pPr>
      <w:r w:rsidRPr="00223709">
        <w:rPr>
          <w:rFonts w:cs="Arial"/>
          <w:b/>
          <w:bCs/>
          <w:color w:val="000000"/>
          <w:lang w:eastAsia="en-GB"/>
        </w:rPr>
        <w:t>Cilj i opis mjere:</w:t>
      </w:r>
      <w:r w:rsidRPr="00223709">
        <w:rPr>
          <w:rFonts w:cs="Arial"/>
          <w:color w:val="000000"/>
          <w:lang w:eastAsia="en-GB"/>
        </w:rPr>
        <w:t xml:space="preserve"> Sadašnje razine gubitaka u prijenosnoj mreži RH iznose oko 2 % prenesene električne energije, što je iznos na razini ostalih operatora prijenosnog sustava ENTSO-E. Važna karakteristika hrvatske prijenosne mreže, kako s aspekta sigurnosti pogona i podržavanja tržišnih aktivnosti, tako i s aspekta gubitaka je izuzetno jaka povezanost sa susjednim elektroenergetskim sustavima (interkonekcije). Dok se s jedne strane time značajno povećava sigurnost pogona, s druge strane se zbog tranzita povećavaju gubici u mreži. HOPS će u razdoblju do 2030. godine nastaviti provoditi mjere vezane za vođenje pogona EES-a i mjere vezane uz razvoj prijenosne mreže, sve s ciljem daljnjeg smanjenja tehničkih gubitaka u mreži. Za ovu se mjeru predlaže, uz osiguravanje sredstava od strane HOPS-a, programirati korištenje ESI sredstava u sljedećem programskom razdoblju od 2021. do 2027. godine.</w:t>
      </w:r>
    </w:p>
    <w:p w14:paraId="5BCBB29F" w14:textId="77777777" w:rsidR="00B936CA" w:rsidRPr="00223709" w:rsidRDefault="00B936CA" w:rsidP="00B936CA">
      <w:pPr>
        <w:suppressAutoHyphens w:val="0"/>
        <w:spacing w:before="0" w:after="0" w:line="240" w:lineRule="auto"/>
        <w:rPr>
          <w:rFonts w:eastAsia="Calibri" w:cs="Arial"/>
          <w:color w:val="000000"/>
        </w:rPr>
      </w:pPr>
    </w:p>
    <w:p w14:paraId="30906E01" w14:textId="77777777" w:rsidR="00B936CA" w:rsidRPr="00223709" w:rsidRDefault="00B936CA" w:rsidP="00B936CA">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2FD8F9F3" w14:textId="77777777" w:rsidR="00B936CA" w:rsidRPr="00223709" w:rsidRDefault="00B936CA" w:rsidP="00840E2E">
      <w:pPr>
        <w:numPr>
          <w:ilvl w:val="0"/>
          <w:numId w:val="95"/>
        </w:numPr>
        <w:suppressAutoHyphens w:val="0"/>
        <w:spacing w:before="0" w:after="0" w:line="240" w:lineRule="auto"/>
        <w:rPr>
          <w:rFonts w:eastAsia="Calibri" w:cs="Arial"/>
          <w:color w:val="000000"/>
        </w:rPr>
      </w:pPr>
      <w:r w:rsidRPr="00223709">
        <w:rPr>
          <w:rFonts w:cs="Arial"/>
          <w:color w:val="000000"/>
          <w:lang w:eastAsia="en-GB"/>
        </w:rPr>
        <w:t xml:space="preserve">Mjere vezane za vođenje pogona EES-a: topološke promjene u mreži ovisno o trenutnom pogonskom stanju; promjenu uklopnog stanja transformatora 400/220 kV, 400/110 kV, 220/110 kV i 110/x kV u vlasništvu/nadležnosti HOPS-a i optimiranje rada transformatora s kosom regulacijom (TS Žerjavinec, TS-HE Senj); upravljanje naponima i optimiranje tokova snaga u mreži; optimiranje rada generatora (radne točke s faktorom snage u granicama 0,95 -1). </w:t>
      </w:r>
    </w:p>
    <w:p w14:paraId="31F9B419" w14:textId="77777777" w:rsidR="00B936CA" w:rsidRPr="00223709" w:rsidRDefault="00B936CA" w:rsidP="00840E2E">
      <w:pPr>
        <w:numPr>
          <w:ilvl w:val="0"/>
          <w:numId w:val="95"/>
        </w:numPr>
        <w:suppressAutoHyphens w:val="0"/>
        <w:spacing w:before="0" w:after="0" w:line="240" w:lineRule="auto"/>
        <w:rPr>
          <w:rFonts w:eastAsia="Calibri" w:cs="Arial"/>
          <w:color w:val="000000"/>
        </w:rPr>
      </w:pPr>
      <w:r w:rsidRPr="00223709">
        <w:rPr>
          <w:rFonts w:cs="Arial"/>
          <w:color w:val="000000"/>
          <w:lang w:eastAsia="en-GB"/>
        </w:rPr>
        <w:t>Mjere vezane uz kratkoročni i dugoročni razvoj prijenosne mreže uključuju: zamjene starih energetskih transformatora s novim transformatorima manjih gubitaka (</w:t>
      </w:r>
      <w:r w:rsidRPr="00223709">
        <w:rPr>
          <w:rFonts w:eastAsia="Calibri" w:cs="Arial"/>
          <w:color w:val="000000"/>
        </w:rPr>
        <w:t>zamjena 10% najstarijih transformatora u mreži koje je odgovorno za oko 20 % ukupnih fiksnih gubitaka u transformacijama i oko 15 % ukupnih varijabilnih gubitaka u transformacijama</w:t>
      </w:r>
      <w:r w:rsidRPr="00223709">
        <w:rPr>
          <w:rFonts w:cs="Arial"/>
          <w:color w:val="000000"/>
          <w:lang w:eastAsia="en-GB"/>
        </w:rPr>
        <w:t>); revitalizacije starih dalekovoda sa zamjenom vodiča (</w:t>
      </w:r>
      <w:r w:rsidRPr="00223709">
        <w:rPr>
          <w:rFonts w:eastAsia="Calibri" w:cs="Arial"/>
          <w:color w:val="000000"/>
        </w:rPr>
        <w:t>zamjena postojećih vodova novim s većim presjekom direktno smanjuje otpor vodiča, te time pozitivno utječe za smanjenje iznosa tehničkih gubitaka uslijed opterećenja (varijabilni dio gubitaka</w:t>
      </w:r>
      <w:r w:rsidRPr="00223709">
        <w:rPr>
          <w:rFonts w:cs="Arial"/>
          <w:color w:val="000000"/>
          <w:lang w:eastAsia="en-GB"/>
        </w:rPr>
        <w:t>)), upotrebom HTLS vodiča s većim presjekom aluminijskog plašta odnosno manjim gubicima; planirana pojačanja prijenosne mreže (izgradnja novih vodova).</w:t>
      </w:r>
    </w:p>
    <w:p w14:paraId="537EEE3C" w14:textId="77777777" w:rsidR="00B936CA" w:rsidRPr="00223709" w:rsidRDefault="00B936CA" w:rsidP="00B936CA">
      <w:pPr>
        <w:suppressAutoHyphens w:val="0"/>
        <w:spacing w:before="0" w:after="0" w:line="240" w:lineRule="auto"/>
        <w:rPr>
          <w:rFonts w:eastAsia="Calibri" w:cs="Arial"/>
          <w:color w:val="000000"/>
        </w:rPr>
      </w:pPr>
      <w:r w:rsidRPr="00223709">
        <w:rPr>
          <w:rFonts w:eastAsia="Calibri" w:cs="Arial"/>
          <w:color w:val="000000"/>
        </w:rPr>
        <w:t>Zamjenom starije opreme novom sa smanjenim iznosom gubitaka postiže se smanjenje ukupnih gubitaka na razini sustava. Do daljnjeg smanjenja gubitaka u budućnosti može doći razvojem novih i energetski efikasnijih tehnologija, te daljnjom revitalizacijom i izgradnjom mreže koristeći vodiče najnovije generacije s manjim električnim otporom, odnosno manjim gubicima.</w:t>
      </w:r>
    </w:p>
    <w:p w14:paraId="478654C1" w14:textId="77777777" w:rsidR="00B936CA" w:rsidRPr="00223709" w:rsidRDefault="00B936CA" w:rsidP="00B936CA">
      <w:pPr>
        <w:suppressAutoHyphens w:val="0"/>
        <w:spacing w:before="0" w:after="0" w:line="240" w:lineRule="auto"/>
        <w:rPr>
          <w:rFonts w:eastAsia="Calibri" w:cs="Arial"/>
          <w:color w:val="000000"/>
        </w:rPr>
      </w:pPr>
    </w:p>
    <w:p w14:paraId="076E4B9B" w14:textId="77777777" w:rsidR="00B936CA" w:rsidRPr="00223709" w:rsidRDefault="00B936CA" w:rsidP="00B936CA">
      <w:pPr>
        <w:suppressAutoHyphens w:val="0"/>
        <w:spacing w:before="0" w:after="0" w:line="240" w:lineRule="auto"/>
        <w:rPr>
          <w:rFonts w:cs="Arial"/>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Sredstva potrebna za provedbu svih predviđenih aktivnosti prema izvoru sredstava i po predviđenim aktivnostima prikazuju sljedeće tablice:</w:t>
      </w:r>
    </w:p>
    <w:p w14:paraId="2D572478" w14:textId="77777777" w:rsidR="00B936CA" w:rsidRPr="00223709" w:rsidRDefault="00B936CA" w:rsidP="00B936CA">
      <w:pPr>
        <w:tabs>
          <w:tab w:val="left" w:pos="1440"/>
          <w:tab w:val="left" w:pos="5040"/>
          <w:tab w:val="right" w:pos="8504"/>
        </w:tabs>
        <w:suppressAutoHyphens w:val="0"/>
        <w:spacing w:before="0" w:after="0" w:line="240" w:lineRule="auto"/>
        <w:rPr>
          <w:rFonts w:cs="Arial"/>
          <w:i/>
          <w:sz w:val="18"/>
          <w:szCs w:val="18"/>
          <w:lang w:eastAsia="de-DE"/>
        </w:rPr>
      </w:pPr>
      <w:r w:rsidRPr="00223709">
        <w:rPr>
          <w:rFonts w:cs="Arial"/>
          <w:i/>
          <w:sz w:val="18"/>
          <w:szCs w:val="18"/>
          <w:lang w:eastAsia="de-DE"/>
        </w:rPr>
        <w:t>Sredstva HOPS-a:</w:t>
      </w:r>
    </w:p>
    <w:tbl>
      <w:tblPr>
        <w:tblW w:w="5000" w:type="pct"/>
        <w:tblLook w:val="04A0" w:firstRow="1" w:lastRow="0" w:firstColumn="1" w:lastColumn="0" w:noHBand="0" w:noVBand="1"/>
      </w:tblPr>
      <w:tblGrid>
        <w:gridCol w:w="6661"/>
        <w:gridCol w:w="2409"/>
      </w:tblGrid>
      <w:tr w:rsidR="00B936CA" w:rsidRPr="00B936CA" w14:paraId="3B725D06" w14:textId="77777777" w:rsidTr="00B936CA">
        <w:trPr>
          <w:trHeight w:val="255"/>
        </w:trPr>
        <w:tc>
          <w:tcPr>
            <w:tcW w:w="3672" w:type="pct"/>
            <w:noWrap/>
            <w:vAlign w:val="bottom"/>
            <w:hideMark/>
          </w:tcPr>
          <w:p w14:paraId="031EDB0D"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Povećanje prijenosne moći - potencijalna upotreba HTLS vodiča</w:t>
            </w:r>
          </w:p>
        </w:tc>
        <w:tc>
          <w:tcPr>
            <w:tcW w:w="1328" w:type="pct"/>
            <w:noWrap/>
            <w:vAlign w:val="bottom"/>
            <w:hideMark/>
          </w:tcPr>
          <w:p w14:paraId="51C631D3"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270.820.000</w:t>
            </w:r>
          </w:p>
        </w:tc>
      </w:tr>
      <w:tr w:rsidR="00B936CA" w:rsidRPr="00B936CA" w14:paraId="3E98632A" w14:textId="77777777" w:rsidTr="00B936CA">
        <w:trPr>
          <w:trHeight w:val="255"/>
        </w:trPr>
        <w:tc>
          <w:tcPr>
            <w:tcW w:w="3672" w:type="pct"/>
            <w:noWrap/>
            <w:vAlign w:val="bottom"/>
            <w:hideMark/>
          </w:tcPr>
          <w:p w14:paraId="2D6772D7"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Planirana pojačanja mreže (revitalizacije TS)</w:t>
            </w:r>
          </w:p>
        </w:tc>
        <w:tc>
          <w:tcPr>
            <w:tcW w:w="1328" w:type="pct"/>
            <w:noWrap/>
            <w:vAlign w:val="bottom"/>
            <w:hideMark/>
          </w:tcPr>
          <w:p w14:paraId="74AD7CC4"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631.623.051</w:t>
            </w:r>
          </w:p>
        </w:tc>
      </w:tr>
      <w:tr w:rsidR="00B936CA" w:rsidRPr="00B936CA" w14:paraId="0D448839" w14:textId="77777777" w:rsidTr="00B936CA">
        <w:trPr>
          <w:trHeight w:val="255"/>
        </w:trPr>
        <w:tc>
          <w:tcPr>
            <w:tcW w:w="3672" w:type="pct"/>
            <w:noWrap/>
            <w:vAlign w:val="bottom"/>
            <w:hideMark/>
          </w:tcPr>
          <w:p w14:paraId="772114C0"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Planirana pojačanja mreže (investicije u nove objekte)</w:t>
            </w:r>
          </w:p>
        </w:tc>
        <w:tc>
          <w:tcPr>
            <w:tcW w:w="1328" w:type="pct"/>
            <w:noWrap/>
            <w:vAlign w:val="bottom"/>
            <w:hideMark/>
          </w:tcPr>
          <w:p w14:paraId="4B26096D"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714.870.212</w:t>
            </w:r>
          </w:p>
        </w:tc>
      </w:tr>
      <w:tr w:rsidR="00B936CA" w:rsidRPr="00B936CA" w14:paraId="327DB752" w14:textId="77777777" w:rsidTr="00B936CA">
        <w:trPr>
          <w:trHeight w:val="255"/>
        </w:trPr>
        <w:tc>
          <w:tcPr>
            <w:tcW w:w="3672" w:type="pct"/>
            <w:noWrap/>
            <w:vAlign w:val="bottom"/>
            <w:hideMark/>
          </w:tcPr>
          <w:p w14:paraId="192A9C38"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Planirane zamjene energetskih transformatora</w:t>
            </w:r>
          </w:p>
        </w:tc>
        <w:tc>
          <w:tcPr>
            <w:tcW w:w="1328" w:type="pct"/>
            <w:noWrap/>
            <w:vAlign w:val="bottom"/>
            <w:hideMark/>
          </w:tcPr>
          <w:p w14:paraId="12B7DBF3"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178.250.000</w:t>
            </w:r>
          </w:p>
        </w:tc>
      </w:tr>
      <w:tr w:rsidR="00B936CA" w:rsidRPr="00B936CA" w14:paraId="41B38FF6" w14:textId="77777777" w:rsidTr="00B936CA">
        <w:trPr>
          <w:trHeight w:val="255"/>
        </w:trPr>
        <w:tc>
          <w:tcPr>
            <w:tcW w:w="3672" w:type="pct"/>
            <w:noWrap/>
            <w:vAlign w:val="bottom"/>
            <w:hideMark/>
          </w:tcPr>
          <w:p w14:paraId="1BEE878D"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Planirano kabliranje nadzemnih vodova 110 kV</w:t>
            </w:r>
          </w:p>
        </w:tc>
        <w:tc>
          <w:tcPr>
            <w:tcW w:w="1328" w:type="pct"/>
            <w:noWrap/>
            <w:vAlign w:val="bottom"/>
            <w:hideMark/>
          </w:tcPr>
          <w:p w14:paraId="28D2FFFF"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35.600.000</w:t>
            </w:r>
          </w:p>
        </w:tc>
      </w:tr>
      <w:tr w:rsidR="00B936CA" w:rsidRPr="00B936CA" w14:paraId="0D288CE0" w14:textId="77777777" w:rsidTr="00B936CA">
        <w:trPr>
          <w:trHeight w:val="255"/>
        </w:trPr>
        <w:tc>
          <w:tcPr>
            <w:tcW w:w="3672" w:type="pct"/>
            <w:noWrap/>
            <w:vAlign w:val="bottom"/>
            <w:hideMark/>
          </w:tcPr>
          <w:p w14:paraId="20A69E4B" w14:textId="77777777" w:rsidR="00B936CA" w:rsidRPr="00223709" w:rsidRDefault="00B936CA" w:rsidP="00B936CA">
            <w:pPr>
              <w:suppressAutoHyphens w:val="0"/>
              <w:spacing w:before="0" w:after="0" w:line="240" w:lineRule="auto"/>
              <w:rPr>
                <w:rFonts w:cs="Arial"/>
                <w:b/>
                <w:bCs/>
                <w:sz w:val="18"/>
                <w:szCs w:val="20"/>
                <w:lang w:eastAsia="en-US"/>
              </w:rPr>
            </w:pPr>
            <w:r w:rsidRPr="00223709">
              <w:rPr>
                <w:rFonts w:cs="Arial"/>
                <w:b/>
                <w:bCs/>
                <w:sz w:val="18"/>
                <w:szCs w:val="20"/>
                <w:lang w:eastAsia="en-US"/>
              </w:rPr>
              <w:t>UKUPNO (kn)</w:t>
            </w:r>
          </w:p>
        </w:tc>
        <w:tc>
          <w:tcPr>
            <w:tcW w:w="1328" w:type="pct"/>
            <w:noWrap/>
            <w:vAlign w:val="bottom"/>
            <w:hideMark/>
          </w:tcPr>
          <w:p w14:paraId="3313797D" w14:textId="77777777" w:rsidR="00B936CA" w:rsidRPr="00223709" w:rsidRDefault="00B936CA" w:rsidP="00223709">
            <w:pPr>
              <w:suppressAutoHyphens w:val="0"/>
              <w:spacing w:before="0" w:after="0" w:line="240" w:lineRule="auto"/>
              <w:jc w:val="right"/>
              <w:rPr>
                <w:rFonts w:cs="Arial"/>
                <w:b/>
                <w:bCs/>
                <w:sz w:val="18"/>
                <w:szCs w:val="20"/>
                <w:lang w:eastAsia="en-US"/>
              </w:rPr>
            </w:pPr>
            <w:r w:rsidRPr="00223709">
              <w:rPr>
                <w:rFonts w:cs="Arial"/>
                <w:b/>
                <w:bCs/>
                <w:sz w:val="18"/>
                <w:szCs w:val="20"/>
                <w:lang w:eastAsia="en-US"/>
              </w:rPr>
              <w:t>1.831.163.263</w:t>
            </w:r>
          </w:p>
        </w:tc>
      </w:tr>
    </w:tbl>
    <w:p w14:paraId="67B12665" w14:textId="77777777" w:rsidR="00B936CA" w:rsidRPr="00223709" w:rsidRDefault="00B936CA" w:rsidP="00B936CA">
      <w:pPr>
        <w:tabs>
          <w:tab w:val="left" w:pos="1440"/>
          <w:tab w:val="left" w:pos="5040"/>
          <w:tab w:val="right" w:pos="8504"/>
        </w:tabs>
        <w:suppressAutoHyphens w:val="0"/>
        <w:spacing w:before="0" w:after="0" w:line="240" w:lineRule="auto"/>
        <w:rPr>
          <w:rFonts w:cs="Arial"/>
          <w:i/>
          <w:sz w:val="18"/>
          <w:szCs w:val="18"/>
          <w:lang w:eastAsia="de-DE"/>
        </w:rPr>
      </w:pPr>
    </w:p>
    <w:p w14:paraId="121AD34D" w14:textId="77777777" w:rsidR="00B936CA" w:rsidRPr="00223709" w:rsidRDefault="00B936CA" w:rsidP="00B936CA">
      <w:pPr>
        <w:tabs>
          <w:tab w:val="left" w:pos="1440"/>
          <w:tab w:val="left" w:pos="5040"/>
          <w:tab w:val="right" w:pos="8504"/>
        </w:tabs>
        <w:suppressAutoHyphens w:val="0"/>
        <w:spacing w:before="0" w:after="0" w:line="240" w:lineRule="auto"/>
        <w:rPr>
          <w:rFonts w:cs="Arial"/>
          <w:i/>
          <w:sz w:val="18"/>
          <w:szCs w:val="18"/>
          <w:lang w:eastAsia="de-DE"/>
        </w:rPr>
      </w:pPr>
      <w:r w:rsidRPr="00223709">
        <w:rPr>
          <w:rFonts w:cs="Arial"/>
          <w:i/>
          <w:sz w:val="18"/>
          <w:szCs w:val="18"/>
          <w:lang w:eastAsia="de-DE"/>
        </w:rPr>
        <w:t>ESI fondovi:</w:t>
      </w:r>
    </w:p>
    <w:tbl>
      <w:tblPr>
        <w:tblW w:w="5000" w:type="pct"/>
        <w:tblLook w:val="04A0" w:firstRow="1" w:lastRow="0" w:firstColumn="1" w:lastColumn="0" w:noHBand="0" w:noVBand="1"/>
      </w:tblPr>
      <w:tblGrid>
        <w:gridCol w:w="6708"/>
        <w:gridCol w:w="2362"/>
      </w:tblGrid>
      <w:tr w:rsidR="00B936CA" w:rsidRPr="00B936CA" w14:paraId="6EE617FA" w14:textId="77777777" w:rsidTr="00B936CA">
        <w:trPr>
          <w:trHeight w:val="255"/>
        </w:trPr>
        <w:tc>
          <w:tcPr>
            <w:tcW w:w="3698" w:type="pct"/>
            <w:noWrap/>
            <w:vAlign w:val="bottom"/>
            <w:hideMark/>
          </w:tcPr>
          <w:p w14:paraId="2A28E5F3"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Elektroenergetsko povezivanje juga Hrvatske</w:t>
            </w:r>
          </w:p>
        </w:tc>
        <w:tc>
          <w:tcPr>
            <w:tcW w:w="1302" w:type="pct"/>
            <w:noWrap/>
            <w:vAlign w:val="bottom"/>
            <w:hideMark/>
          </w:tcPr>
          <w:p w14:paraId="7E0A5EDC"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1.085.000.000</w:t>
            </w:r>
          </w:p>
        </w:tc>
      </w:tr>
      <w:tr w:rsidR="00B936CA" w:rsidRPr="00B936CA" w14:paraId="7C6C6B5B" w14:textId="77777777" w:rsidTr="00B936CA">
        <w:trPr>
          <w:trHeight w:val="255"/>
        </w:trPr>
        <w:tc>
          <w:tcPr>
            <w:tcW w:w="3698" w:type="pct"/>
            <w:noWrap/>
            <w:vAlign w:val="bottom"/>
            <w:hideMark/>
          </w:tcPr>
          <w:p w14:paraId="0C32CDFB"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Planirane zamjene podmorskih 110 kV kabela</w:t>
            </w:r>
          </w:p>
        </w:tc>
        <w:tc>
          <w:tcPr>
            <w:tcW w:w="1302" w:type="pct"/>
            <w:noWrap/>
            <w:vAlign w:val="bottom"/>
            <w:hideMark/>
          </w:tcPr>
          <w:p w14:paraId="1414C8EA"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490.000.000</w:t>
            </w:r>
          </w:p>
        </w:tc>
      </w:tr>
      <w:tr w:rsidR="00B936CA" w:rsidRPr="00B936CA" w14:paraId="01CA66DB" w14:textId="77777777" w:rsidTr="00B936CA">
        <w:trPr>
          <w:trHeight w:val="255"/>
        </w:trPr>
        <w:tc>
          <w:tcPr>
            <w:tcW w:w="3698" w:type="pct"/>
            <w:noWrap/>
            <w:vAlign w:val="bottom"/>
            <w:hideMark/>
          </w:tcPr>
          <w:p w14:paraId="665F84A8"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Izgradnja DV 400 kV Konjsko - Lika - Melina uz izgradnju TS 400 kV Lika</w:t>
            </w:r>
          </w:p>
        </w:tc>
        <w:tc>
          <w:tcPr>
            <w:tcW w:w="1302" w:type="pct"/>
            <w:noWrap/>
            <w:vAlign w:val="bottom"/>
            <w:hideMark/>
          </w:tcPr>
          <w:p w14:paraId="797111F2"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800.000.000</w:t>
            </w:r>
          </w:p>
        </w:tc>
      </w:tr>
      <w:tr w:rsidR="00B936CA" w:rsidRPr="00B936CA" w14:paraId="43F0E031" w14:textId="77777777" w:rsidTr="00B936CA">
        <w:trPr>
          <w:trHeight w:val="255"/>
        </w:trPr>
        <w:tc>
          <w:tcPr>
            <w:tcW w:w="3698" w:type="pct"/>
            <w:noWrap/>
            <w:vAlign w:val="bottom"/>
            <w:hideMark/>
          </w:tcPr>
          <w:p w14:paraId="4CD88F70"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DV 2x400 kV Tumbri - Veleševec </w:t>
            </w:r>
          </w:p>
        </w:tc>
        <w:tc>
          <w:tcPr>
            <w:tcW w:w="1302" w:type="pct"/>
            <w:noWrap/>
            <w:vAlign w:val="bottom"/>
            <w:hideMark/>
          </w:tcPr>
          <w:p w14:paraId="2B039827"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98.000.000</w:t>
            </w:r>
          </w:p>
        </w:tc>
      </w:tr>
      <w:tr w:rsidR="00B936CA" w:rsidRPr="00B936CA" w14:paraId="284C5314" w14:textId="77777777" w:rsidTr="00B936CA">
        <w:trPr>
          <w:trHeight w:val="255"/>
        </w:trPr>
        <w:tc>
          <w:tcPr>
            <w:tcW w:w="3698" w:type="pct"/>
            <w:noWrap/>
            <w:vAlign w:val="bottom"/>
            <w:hideMark/>
          </w:tcPr>
          <w:p w14:paraId="0AD59158" w14:textId="77777777" w:rsidR="00B936CA" w:rsidRPr="00223709" w:rsidRDefault="00B936CA" w:rsidP="00B936CA">
            <w:pPr>
              <w:suppressAutoHyphens w:val="0"/>
              <w:spacing w:before="0" w:after="0" w:line="240" w:lineRule="auto"/>
              <w:rPr>
                <w:rFonts w:cs="Arial"/>
                <w:sz w:val="18"/>
                <w:szCs w:val="20"/>
                <w:lang w:eastAsia="en-US"/>
              </w:rPr>
            </w:pPr>
            <w:r w:rsidRPr="00223709">
              <w:rPr>
                <w:rFonts w:cs="Arial"/>
                <w:sz w:val="18"/>
                <w:szCs w:val="20"/>
                <w:lang w:eastAsia="en-US"/>
              </w:rPr>
              <w:t>Povećanje prijenosne moći DV 220 kV Konjsko - Brinje</w:t>
            </w:r>
          </w:p>
        </w:tc>
        <w:tc>
          <w:tcPr>
            <w:tcW w:w="1302" w:type="pct"/>
            <w:noWrap/>
            <w:vAlign w:val="bottom"/>
            <w:hideMark/>
          </w:tcPr>
          <w:p w14:paraId="3E3592C5" w14:textId="77777777" w:rsidR="00B936CA" w:rsidRPr="00223709" w:rsidRDefault="00B936CA" w:rsidP="00223709">
            <w:pPr>
              <w:suppressAutoHyphens w:val="0"/>
              <w:spacing w:before="0" w:after="0" w:line="240" w:lineRule="auto"/>
              <w:jc w:val="right"/>
              <w:rPr>
                <w:rFonts w:cs="Arial"/>
                <w:sz w:val="18"/>
                <w:szCs w:val="20"/>
                <w:lang w:eastAsia="en-US"/>
              </w:rPr>
            </w:pPr>
            <w:r w:rsidRPr="00223709">
              <w:rPr>
                <w:rFonts w:cs="Arial"/>
                <w:sz w:val="18"/>
                <w:szCs w:val="20"/>
                <w:lang w:eastAsia="en-US"/>
              </w:rPr>
              <w:t>210.000.000</w:t>
            </w:r>
          </w:p>
        </w:tc>
      </w:tr>
      <w:tr w:rsidR="00B936CA" w:rsidRPr="00B936CA" w14:paraId="3BE72E35" w14:textId="77777777" w:rsidTr="00B936CA">
        <w:trPr>
          <w:trHeight w:val="255"/>
        </w:trPr>
        <w:tc>
          <w:tcPr>
            <w:tcW w:w="3698" w:type="pct"/>
            <w:noWrap/>
            <w:vAlign w:val="bottom"/>
            <w:hideMark/>
          </w:tcPr>
          <w:p w14:paraId="131BF2FF" w14:textId="77777777" w:rsidR="00B936CA" w:rsidRPr="00223709" w:rsidRDefault="00B936CA" w:rsidP="00B936CA">
            <w:pPr>
              <w:suppressAutoHyphens w:val="0"/>
              <w:spacing w:before="0" w:after="0" w:line="240" w:lineRule="auto"/>
              <w:rPr>
                <w:rFonts w:cs="Arial"/>
                <w:b/>
                <w:bCs/>
                <w:sz w:val="18"/>
                <w:szCs w:val="20"/>
                <w:lang w:eastAsia="en-US"/>
              </w:rPr>
            </w:pPr>
            <w:r w:rsidRPr="00223709">
              <w:rPr>
                <w:rFonts w:cs="Arial"/>
                <w:b/>
                <w:bCs/>
                <w:sz w:val="18"/>
                <w:szCs w:val="20"/>
                <w:lang w:eastAsia="en-US"/>
              </w:rPr>
              <w:t>UKUPNO ZA PRIJAVU ZA ESI FONDOVE (kn)</w:t>
            </w:r>
          </w:p>
        </w:tc>
        <w:tc>
          <w:tcPr>
            <w:tcW w:w="1302" w:type="pct"/>
            <w:noWrap/>
            <w:vAlign w:val="bottom"/>
            <w:hideMark/>
          </w:tcPr>
          <w:p w14:paraId="3245D41D" w14:textId="77777777" w:rsidR="00B936CA" w:rsidRPr="00223709" w:rsidRDefault="00B936CA" w:rsidP="00223709">
            <w:pPr>
              <w:suppressAutoHyphens w:val="0"/>
              <w:spacing w:before="0" w:after="0" w:line="240" w:lineRule="auto"/>
              <w:jc w:val="right"/>
              <w:rPr>
                <w:rFonts w:cs="Arial"/>
                <w:b/>
                <w:bCs/>
                <w:sz w:val="18"/>
                <w:szCs w:val="20"/>
                <w:lang w:eastAsia="en-US"/>
              </w:rPr>
            </w:pPr>
            <w:r w:rsidRPr="00223709">
              <w:rPr>
                <w:rFonts w:cs="Arial"/>
                <w:b/>
                <w:bCs/>
                <w:sz w:val="18"/>
                <w:szCs w:val="20"/>
                <w:lang w:eastAsia="en-US"/>
              </w:rPr>
              <w:t>2.683.000.000</w:t>
            </w:r>
          </w:p>
        </w:tc>
      </w:tr>
    </w:tbl>
    <w:p w14:paraId="2EE480A5" w14:textId="77777777" w:rsidR="00B936CA" w:rsidRPr="00223709" w:rsidRDefault="00B936CA" w:rsidP="00B936CA">
      <w:pPr>
        <w:suppressAutoHyphens w:val="0"/>
        <w:spacing w:before="0" w:after="0" w:line="240" w:lineRule="auto"/>
        <w:rPr>
          <w:rFonts w:eastAsia="Calibri" w:cs="Arial"/>
          <w:color w:val="000000"/>
        </w:rPr>
      </w:pPr>
      <w:r w:rsidRPr="00223709">
        <w:rPr>
          <w:rFonts w:eastAsia="Calibri" w:cs="Arial"/>
          <w:color w:val="000000"/>
        </w:rPr>
        <w:t>Očekivani doprinos iz ESI fondova iznos 25 do 50%, što znači između 670.750.000 i 1.341.500.000 kn.</w:t>
      </w:r>
    </w:p>
    <w:p w14:paraId="0F28082B" w14:textId="77777777" w:rsidR="00B936CA" w:rsidRPr="00223709" w:rsidRDefault="00B936CA" w:rsidP="00B936CA">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HOPS, ESI fondovi</w:t>
      </w:r>
    </w:p>
    <w:p w14:paraId="0DCE2561" w14:textId="3EC6E4CA" w:rsidR="00B936CA" w:rsidRPr="00223709" w:rsidRDefault="00B936CA" w:rsidP="00B936CA">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HOPS </w:t>
      </w:r>
    </w:p>
    <w:p w14:paraId="387C9FDA" w14:textId="77777777" w:rsidR="00B936CA" w:rsidRPr="00223709" w:rsidRDefault="00B936CA" w:rsidP="00B936CA">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 HERA</w:t>
      </w:r>
    </w:p>
    <w:p w14:paraId="200D4F14" w14:textId="77777777" w:rsidR="00B936CA" w:rsidRPr="00223709" w:rsidRDefault="00B936CA" w:rsidP="00B936CA">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gubitaka u prijenosnoj elektroenergetskoj mreži prikazuje donja tablica:</w:t>
      </w:r>
    </w:p>
    <w:tbl>
      <w:tblPr>
        <w:tblStyle w:val="GridTable1Light14"/>
        <w:tblW w:w="5000" w:type="pct"/>
        <w:tblInd w:w="0" w:type="dxa"/>
        <w:tblLook w:val="04A0" w:firstRow="1" w:lastRow="0" w:firstColumn="1" w:lastColumn="0" w:noHBand="0" w:noVBand="1"/>
      </w:tblPr>
      <w:tblGrid>
        <w:gridCol w:w="4567"/>
        <w:gridCol w:w="1498"/>
        <w:gridCol w:w="1498"/>
        <w:gridCol w:w="1497"/>
      </w:tblGrid>
      <w:tr w:rsidR="00B936CA" w:rsidRPr="00B936CA" w14:paraId="58271ED6" w14:textId="77777777" w:rsidTr="00B936C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right w:val="single" w:sz="4" w:space="0" w:color="999999"/>
            </w:tcBorders>
            <w:noWrap/>
            <w:hideMark/>
          </w:tcPr>
          <w:p w14:paraId="399F86C9" w14:textId="77777777" w:rsidR="00B936CA" w:rsidRPr="00223709" w:rsidRDefault="00B936CA" w:rsidP="00B936CA">
            <w:pPr>
              <w:suppressAutoHyphens w:val="0"/>
              <w:spacing w:before="0" w:after="0" w:line="240" w:lineRule="auto"/>
              <w:rPr>
                <w:rFonts w:cs="Arial"/>
                <w:sz w:val="18"/>
              </w:rPr>
            </w:pPr>
            <w:r w:rsidRPr="00223709">
              <w:rPr>
                <w:rFonts w:cs="Arial"/>
                <w:sz w:val="18"/>
              </w:rPr>
              <w:t>Mjera</w:t>
            </w:r>
          </w:p>
        </w:tc>
        <w:tc>
          <w:tcPr>
            <w:tcW w:w="2568" w:type="pct"/>
            <w:gridSpan w:val="3"/>
            <w:tcBorders>
              <w:top w:val="single" w:sz="4" w:space="0" w:color="999999"/>
              <w:left w:val="single" w:sz="4" w:space="0" w:color="999999"/>
              <w:right w:val="single" w:sz="4" w:space="0" w:color="999999"/>
            </w:tcBorders>
            <w:noWrap/>
            <w:hideMark/>
          </w:tcPr>
          <w:p w14:paraId="3802A2AA" w14:textId="77777777" w:rsidR="00B936CA" w:rsidRPr="00223709" w:rsidRDefault="00B936CA" w:rsidP="00B936CA">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cs="Arial"/>
                <w:sz w:val="18"/>
              </w:rPr>
            </w:pPr>
            <w:r w:rsidRPr="00223709">
              <w:rPr>
                <w:rFonts w:cs="Arial"/>
                <w:sz w:val="18"/>
              </w:rPr>
              <w:t>Procjena mogućih ušteda u gubitcima (GWh/godišnje)</w:t>
            </w:r>
          </w:p>
        </w:tc>
      </w:tr>
      <w:tr w:rsidR="00B936CA" w:rsidRPr="00B936CA" w14:paraId="5F6A0B14"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tcPr>
          <w:p w14:paraId="6FD6D1BA" w14:textId="77777777" w:rsidR="00B936CA" w:rsidRPr="00223709" w:rsidRDefault="00B936CA" w:rsidP="00B936CA">
            <w:pPr>
              <w:suppressAutoHyphens w:val="0"/>
              <w:spacing w:before="0" w:after="0" w:line="240" w:lineRule="auto"/>
              <w:rPr>
                <w:rFonts w:cs="Arial"/>
                <w:sz w:val="18"/>
              </w:rPr>
            </w:pPr>
          </w:p>
        </w:tc>
        <w:tc>
          <w:tcPr>
            <w:tcW w:w="856" w:type="pct"/>
            <w:tcBorders>
              <w:top w:val="single" w:sz="4" w:space="0" w:color="999999"/>
              <w:left w:val="single" w:sz="4" w:space="0" w:color="999999"/>
              <w:bottom w:val="single" w:sz="4" w:space="0" w:color="999999"/>
              <w:right w:val="single" w:sz="4" w:space="0" w:color="999999"/>
            </w:tcBorders>
            <w:noWrap/>
            <w:hideMark/>
          </w:tcPr>
          <w:p w14:paraId="1F38D28B" w14:textId="77777777" w:rsidR="00B936CA" w:rsidRPr="00223709" w:rsidRDefault="00B936CA" w:rsidP="00B936CA">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2019.-2021.</w:t>
            </w:r>
          </w:p>
        </w:tc>
        <w:tc>
          <w:tcPr>
            <w:tcW w:w="856" w:type="pct"/>
            <w:tcBorders>
              <w:top w:val="single" w:sz="4" w:space="0" w:color="999999"/>
              <w:left w:val="single" w:sz="4" w:space="0" w:color="999999"/>
              <w:bottom w:val="single" w:sz="4" w:space="0" w:color="999999"/>
              <w:right w:val="single" w:sz="4" w:space="0" w:color="999999"/>
            </w:tcBorders>
            <w:hideMark/>
          </w:tcPr>
          <w:p w14:paraId="61F1EFA4" w14:textId="77777777" w:rsidR="00B936CA" w:rsidRPr="00223709" w:rsidRDefault="00B936CA" w:rsidP="00B936CA">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2022.-2024.</w:t>
            </w:r>
          </w:p>
        </w:tc>
        <w:tc>
          <w:tcPr>
            <w:tcW w:w="856" w:type="pct"/>
            <w:tcBorders>
              <w:top w:val="single" w:sz="4" w:space="0" w:color="999999"/>
              <w:left w:val="single" w:sz="4" w:space="0" w:color="999999"/>
              <w:bottom w:val="single" w:sz="4" w:space="0" w:color="999999"/>
              <w:right w:val="single" w:sz="4" w:space="0" w:color="999999"/>
            </w:tcBorders>
            <w:hideMark/>
          </w:tcPr>
          <w:p w14:paraId="19835BEB" w14:textId="77777777" w:rsidR="00B936CA" w:rsidRPr="00223709" w:rsidRDefault="00B936CA" w:rsidP="00B936CA">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2025.-2028.</w:t>
            </w:r>
          </w:p>
        </w:tc>
      </w:tr>
      <w:tr w:rsidR="00B936CA" w:rsidRPr="00B936CA" w14:paraId="7FC433AD"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0237EDC3" w14:textId="77777777" w:rsidR="00B936CA" w:rsidRPr="00223709" w:rsidRDefault="00B936CA" w:rsidP="00B936CA">
            <w:pPr>
              <w:suppressAutoHyphens w:val="0"/>
              <w:spacing w:before="0" w:after="0" w:line="240" w:lineRule="auto"/>
              <w:rPr>
                <w:rFonts w:cs="Arial"/>
                <w:sz w:val="18"/>
              </w:rPr>
            </w:pPr>
            <w:r w:rsidRPr="00223709">
              <w:rPr>
                <w:rFonts w:cs="Arial"/>
                <w:sz w:val="18"/>
              </w:rPr>
              <w:t>Zamjena vodiča na nadzemnim vodovima (HTLS vodiči)</w:t>
            </w:r>
          </w:p>
        </w:tc>
        <w:tc>
          <w:tcPr>
            <w:tcW w:w="856" w:type="pct"/>
            <w:tcBorders>
              <w:top w:val="single" w:sz="4" w:space="0" w:color="999999"/>
              <w:left w:val="single" w:sz="4" w:space="0" w:color="999999"/>
              <w:bottom w:val="single" w:sz="4" w:space="0" w:color="999999"/>
              <w:right w:val="single" w:sz="4" w:space="0" w:color="999999"/>
            </w:tcBorders>
            <w:noWrap/>
            <w:hideMark/>
          </w:tcPr>
          <w:p w14:paraId="36A9101B"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0,26</w:t>
            </w:r>
          </w:p>
        </w:tc>
        <w:tc>
          <w:tcPr>
            <w:tcW w:w="856" w:type="pct"/>
            <w:tcBorders>
              <w:top w:val="single" w:sz="4" w:space="0" w:color="999999"/>
              <w:left w:val="single" w:sz="4" w:space="0" w:color="999999"/>
              <w:bottom w:val="single" w:sz="4" w:space="0" w:color="999999"/>
              <w:right w:val="single" w:sz="4" w:space="0" w:color="999999"/>
            </w:tcBorders>
            <w:hideMark/>
          </w:tcPr>
          <w:p w14:paraId="0EDBB37B"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0,39</w:t>
            </w:r>
          </w:p>
        </w:tc>
        <w:tc>
          <w:tcPr>
            <w:tcW w:w="856" w:type="pct"/>
            <w:tcBorders>
              <w:top w:val="single" w:sz="4" w:space="0" w:color="999999"/>
              <w:left w:val="single" w:sz="4" w:space="0" w:color="999999"/>
              <w:bottom w:val="single" w:sz="4" w:space="0" w:color="999999"/>
              <w:right w:val="single" w:sz="4" w:space="0" w:color="999999"/>
            </w:tcBorders>
            <w:hideMark/>
          </w:tcPr>
          <w:p w14:paraId="1D812DBB"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0,6</w:t>
            </w:r>
          </w:p>
        </w:tc>
      </w:tr>
      <w:tr w:rsidR="00B936CA" w:rsidRPr="00B936CA" w14:paraId="67BE86D1"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24FF5E66" w14:textId="77777777" w:rsidR="00B936CA" w:rsidRPr="00223709" w:rsidRDefault="00B936CA" w:rsidP="00B936CA">
            <w:pPr>
              <w:suppressAutoHyphens w:val="0"/>
              <w:spacing w:before="0" w:after="0" w:line="240" w:lineRule="auto"/>
              <w:rPr>
                <w:rFonts w:cs="Arial"/>
                <w:sz w:val="18"/>
              </w:rPr>
            </w:pPr>
            <w:r w:rsidRPr="00223709">
              <w:rPr>
                <w:rFonts w:cs="Arial"/>
                <w:sz w:val="18"/>
              </w:rPr>
              <w:t>Zamjena podmorskih 110 kV kabela</w:t>
            </w:r>
          </w:p>
        </w:tc>
        <w:tc>
          <w:tcPr>
            <w:tcW w:w="856" w:type="pct"/>
            <w:tcBorders>
              <w:top w:val="single" w:sz="4" w:space="0" w:color="999999"/>
              <w:left w:val="single" w:sz="4" w:space="0" w:color="999999"/>
              <w:bottom w:val="single" w:sz="4" w:space="0" w:color="999999"/>
              <w:right w:val="single" w:sz="4" w:space="0" w:color="999999"/>
            </w:tcBorders>
            <w:noWrap/>
            <w:hideMark/>
          </w:tcPr>
          <w:p w14:paraId="73D52DEB"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0,6</w:t>
            </w:r>
          </w:p>
        </w:tc>
        <w:tc>
          <w:tcPr>
            <w:tcW w:w="856" w:type="pct"/>
            <w:tcBorders>
              <w:top w:val="single" w:sz="4" w:space="0" w:color="999999"/>
              <w:left w:val="single" w:sz="4" w:space="0" w:color="999999"/>
              <w:bottom w:val="single" w:sz="4" w:space="0" w:color="999999"/>
              <w:right w:val="single" w:sz="4" w:space="0" w:color="999999"/>
            </w:tcBorders>
            <w:hideMark/>
          </w:tcPr>
          <w:p w14:paraId="544F796B"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1,4</w:t>
            </w:r>
          </w:p>
        </w:tc>
        <w:tc>
          <w:tcPr>
            <w:tcW w:w="856" w:type="pct"/>
            <w:tcBorders>
              <w:top w:val="single" w:sz="4" w:space="0" w:color="999999"/>
              <w:left w:val="single" w:sz="4" w:space="0" w:color="999999"/>
              <w:bottom w:val="single" w:sz="4" w:space="0" w:color="999999"/>
              <w:right w:val="single" w:sz="4" w:space="0" w:color="999999"/>
            </w:tcBorders>
            <w:hideMark/>
          </w:tcPr>
          <w:p w14:paraId="07F1F131"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1,7</w:t>
            </w:r>
          </w:p>
        </w:tc>
      </w:tr>
      <w:tr w:rsidR="00B936CA" w:rsidRPr="00B936CA" w14:paraId="02D22D8A"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1346EB9A" w14:textId="77777777" w:rsidR="00B936CA" w:rsidRPr="00223709" w:rsidRDefault="00B936CA" w:rsidP="00B936CA">
            <w:pPr>
              <w:suppressAutoHyphens w:val="0"/>
              <w:spacing w:before="0" w:after="0" w:line="240" w:lineRule="auto"/>
              <w:rPr>
                <w:rFonts w:cs="Arial"/>
                <w:sz w:val="18"/>
              </w:rPr>
            </w:pPr>
            <w:r w:rsidRPr="00223709">
              <w:rPr>
                <w:rFonts w:cs="Arial"/>
                <w:sz w:val="18"/>
              </w:rPr>
              <w:t>Planirana pojačanja mreže</w:t>
            </w:r>
          </w:p>
        </w:tc>
        <w:tc>
          <w:tcPr>
            <w:tcW w:w="856" w:type="pct"/>
            <w:tcBorders>
              <w:top w:val="single" w:sz="4" w:space="0" w:color="999999"/>
              <w:left w:val="single" w:sz="4" w:space="0" w:color="999999"/>
              <w:bottom w:val="single" w:sz="4" w:space="0" w:color="999999"/>
              <w:right w:val="single" w:sz="4" w:space="0" w:color="999999"/>
            </w:tcBorders>
            <w:noWrap/>
            <w:hideMark/>
          </w:tcPr>
          <w:p w14:paraId="22C92719"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7</w:t>
            </w:r>
          </w:p>
        </w:tc>
        <w:tc>
          <w:tcPr>
            <w:tcW w:w="856" w:type="pct"/>
            <w:tcBorders>
              <w:top w:val="single" w:sz="4" w:space="0" w:color="999999"/>
              <w:left w:val="single" w:sz="4" w:space="0" w:color="999999"/>
              <w:bottom w:val="single" w:sz="4" w:space="0" w:color="999999"/>
              <w:right w:val="single" w:sz="4" w:space="0" w:color="999999"/>
            </w:tcBorders>
            <w:hideMark/>
          </w:tcPr>
          <w:p w14:paraId="19EDADBF"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15</w:t>
            </w:r>
          </w:p>
        </w:tc>
        <w:tc>
          <w:tcPr>
            <w:tcW w:w="856" w:type="pct"/>
            <w:tcBorders>
              <w:top w:val="single" w:sz="4" w:space="0" w:color="999999"/>
              <w:left w:val="single" w:sz="4" w:space="0" w:color="999999"/>
              <w:bottom w:val="single" w:sz="4" w:space="0" w:color="999999"/>
              <w:right w:val="single" w:sz="4" w:space="0" w:color="999999"/>
            </w:tcBorders>
            <w:hideMark/>
          </w:tcPr>
          <w:p w14:paraId="4E2F2CB0"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25</w:t>
            </w:r>
          </w:p>
        </w:tc>
      </w:tr>
      <w:tr w:rsidR="00B936CA" w:rsidRPr="00B936CA" w14:paraId="10381EF7"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5429B331" w14:textId="77777777" w:rsidR="00B936CA" w:rsidRPr="00223709" w:rsidRDefault="00B936CA" w:rsidP="00B936CA">
            <w:pPr>
              <w:suppressAutoHyphens w:val="0"/>
              <w:spacing w:before="0" w:after="0" w:line="240" w:lineRule="auto"/>
              <w:rPr>
                <w:rFonts w:cs="Arial"/>
                <w:sz w:val="18"/>
              </w:rPr>
            </w:pPr>
            <w:r w:rsidRPr="00223709">
              <w:rPr>
                <w:rFonts w:cs="Arial"/>
                <w:sz w:val="18"/>
              </w:rPr>
              <w:t>Ugradnja kompenzacijskih uređaja (2xVSR + 1xSVC)</w:t>
            </w:r>
          </w:p>
        </w:tc>
        <w:tc>
          <w:tcPr>
            <w:tcW w:w="856" w:type="pct"/>
            <w:tcBorders>
              <w:top w:val="single" w:sz="4" w:space="0" w:color="999999"/>
              <w:left w:val="single" w:sz="4" w:space="0" w:color="999999"/>
              <w:bottom w:val="single" w:sz="4" w:space="0" w:color="999999"/>
              <w:right w:val="single" w:sz="4" w:space="0" w:color="999999"/>
            </w:tcBorders>
            <w:noWrap/>
            <w:hideMark/>
          </w:tcPr>
          <w:p w14:paraId="5ECC3126"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w:t>
            </w:r>
          </w:p>
        </w:tc>
        <w:tc>
          <w:tcPr>
            <w:tcW w:w="856" w:type="pct"/>
            <w:tcBorders>
              <w:top w:val="single" w:sz="4" w:space="0" w:color="999999"/>
              <w:left w:val="single" w:sz="4" w:space="0" w:color="999999"/>
              <w:bottom w:val="single" w:sz="4" w:space="0" w:color="999999"/>
              <w:right w:val="single" w:sz="4" w:space="0" w:color="999999"/>
            </w:tcBorders>
            <w:hideMark/>
          </w:tcPr>
          <w:p w14:paraId="5A86612F"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-3,5</w:t>
            </w:r>
          </w:p>
        </w:tc>
        <w:tc>
          <w:tcPr>
            <w:tcW w:w="856" w:type="pct"/>
            <w:tcBorders>
              <w:top w:val="single" w:sz="4" w:space="0" w:color="999999"/>
              <w:left w:val="single" w:sz="4" w:space="0" w:color="999999"/>
              <w:bottom w:val="single" w:sz="4" w:space="0" w:color="999999"/>
              <w:right w:val="single" w:sz="4" w:space="0" w:color="999999"/>
            </w:tcBorders>
            <w:hideMark/>
          </w:tcPr>
          <w:p w14:paraId="704B34DE"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-3,5</w:t>
            </w:r>
          </w:p>
        </w:tc>
      </w:tr>
      <w:tr w:rsidR="00B936CA" w:rsidRPr="00B936CA" w14:paraId="6F6C368B"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54089603" w14:textId="77777777" w:rsidR="00B936CA" w:rsidRPr="00223709" w:rsidRDefault="00B936CA" w:rsidP="00B936CA">
            <w:pPr>
              <w:suppressAutoHyphens w:val="0"/>
              <w:spacing w:before="0" w:after="0" w:line="240" w:lineRule="auto"/>
              <w:rPr>
                <w:rFonts w:cs="Arial"/>
                <w:sz w:val="18"/>
              </w:rPr>
            </w:pPr>
            <w:r w:rsidRPr="00223709">
              <w:rPr>
                <w:rFonts w:cs="Arial"/>
                <w:sz w:val="18"/>
              </w:rPr>
              <w:t>Planirane zamjene energetskih transformatora</w:t>
            </w:r>
          </w:p>
        </w:tc>
        <w:tc>
          <w:tcPr>
            <w:tcW w:w="856" w:type="pct"/>
            <w:tcBorders>
              <w:top w:val="single" w:sz="4" w:space="0" w:color="999999"/>
              <w:left w:val="single" w:sz="4" w:space="0" w:color="999999"/>
              <w:bottom w:val="single" w:sz="4" w:space="0" w:color="999999"/>
              <w:right w:val="single" w:sz="4" w:space="0" w:color="999999"/>
            </w:tcBorders>
            <w:noWrap/>
            <w:hideMark/>
          </w:tcPr>
          <w:p w14:paraId="686FD857"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0,2</w:t>
            </w:r>
          </w:p>
        </w:tc>
        <w:tc>
          <w:tcPr>
            <w:tcW w:w="856" w:type="pct"/>
            <w:tcBorders>
              <w:top w:val="single" w:sz="4" w:space="0" w:color="999999"/>
              <w:left w:val="single" w:sz="4" w:space="0" w:color="999999"/>
              <w:bottom w:val="single" w:sz="4" w:space="0" w:color="999999"/>
              <w:right w:val="single" w:sz="4" w:space="0" w:color="999999"/>
            </w:tcBorders>
            <w:hideMark/>
          </w:tcPr>
          <w:p w14:paraId="25CB66FC"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0,3</w:t>
            </w:r>
          </w:p>
        </w:tc>
        <w:tc>
          <w:tcPr>
            <w:tcW w:w="856" w:type="pct"/>
            <w:tcBorders>
              <w:top w:val="single" w:sz="4" w:space="0" w:color="999999"/>
              <w:left w:val="single" w:sz="4" w:space="0" w:color="999999"/>
              <w:bottom w:val="single" w:sz="4" w:space="0" w:color="999999"/>
              <w:right w:val="single" w:sz="4" w:space="0" w:color="999999"/>
            </w:tcBorders>
            <w:hideMark/>
          </w:tcPr>
          <w:p w14:paraId="073AA22C"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0,4</w:t>
            </w:r>
          </w:p>
        </w:tc>
      </w:tr>
      <w:tr w:rsidR="00B936CA" w:rsidRPr="00B936CA" w14:paraId="5DDD8252"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2575540E" w14:textId="77777777" w:rsidR="00B936CA" w:rsidRPr="00223709" w:rsidRDefault="00B936CA" w:rsidP="00B936CA">
            <w:pPr>
              <w:suppressAutoHyphens w:val="0"/>
              <w:spacing w:before="0" w:after="0" w:line="240" w:lineRule="auto"/>
              <w:rPr>
                <w:rFonts w:cs="Arial"/>
                <w:bCs w:val="0"/>
                <w:sz w:val="18"/>
              </w:rPr>
            </w:pPr>
            <w:r w:rsidRPr="00223709">
              <w:rPr>
                <w:rFonts w:cs="Arial"/>
                <w:sz w:val="18"/>
              </w:rPr>
              <w:t>Planirano kabliranje nadzemnih vodova 110 kV</w:t>
            </w:r>
          </w:p>
        </w:tc>
        <w:tc>
          <w:tcPr>
            <w:tcW w:w="856" w:type="pct"/>
            <w:tcBorders>
              <w:top w:val="single" w:sz="4" w:space="0" w:color="999999"/>
              <w:left w:val="single" w:sz="4" w:space="0" w:color="999999"/>
              <w:bottom w:val="single" w:sz="4" w:space="0" w:color="999999"/>
              <w:right w:val="single" w:sz="4" w:space="0" w:color="999999"/>
            </w:tcBorders>
            <w:noWrap/>
            <w:hideMark/>
          </w:tcPr>
          <w:p w14:paraId="212663BF"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w:t>
            </w:r>
          </w:p>
        </w:tc>
        <w:tc>
          <w:tcPr>
            <w:tcW w:w="856" w:type="pct"/>
            <w:tcBorders>
              <w:top w:val="single" w:sz="4" w:space="0" w:color="999999"/>
              <w:left w:val="single" w:sz="4" w:space="0" w:color="999999"/>
              <w:bottom w:val="single" w:sz="4" w:space="0" w:color="999999"/>
              <w:right w:val="single" w:sz="4" w:space="0" w:color="999999"/>
            </w:tcBorders>
            <w:hideMark/>
          </w:tcPr>
          <w:p w14:paraId="58CD54E0"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0,4</w:t>
            </w:r>
          </w:p>
        </w:tc>
        <w:tc>
          <w:tcPr>
            <w:tcW w:w="856" w:type="pct"/>
            <w:tcBorders>
              <w:top w:val="single" w:sz="4" w:space="0" w:color="999999"/>
              <w:left w:val="single" w:sz="4" w:space="0" w:color="999999"/>
              <w:bottom w:val="single" w:sz="4" w:space="0" w:color="999999"/>
              <w:right w:val="single" w:sz="4" w:space="0" w:color="999999"/>
            </w:tcBorders>
            <w:hideMark/>
          </w:tcPr>
          <w:p w14:paraId="583E01F2"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0,5</w:t>
            </w:r>
          </w:p>
        </w:tc>
      </w:tr>
      <w:tr w:rsidR="00B936CA" w:rsidRPr="00B936CA" w14:paraId="6A12BB3B"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15DD62BA" w14:textId="77777777" w:rsidR="00B936CA" w:rsidRPr="00223709" w:rsidRDefault="00B936CA" w:rsidP="00B936CA">
            <w:pPr>
              <w:suppressAutoHyphens w:val="0"/>
              <w:spacing w:before="0" w:after="0" w:line="240" w:lineRule="auto"/>
              <w:rPr>
                <w:rFonts w:cs="Arial"/>
                <w:bCs w:val="0"/>
                <w:sz w:val="18"/>
              </w:rPr>
            </w:pPr>
            <w:r w:rsidRPr="00223709">
              <w:rPr>
                <w:rFonts w:cs="Arial"/>
                <w:sz w:val="18"/>
              </w:rPr>
              <w:t>Optimiranje tokova snaga</w:t>
            </w:r>
          </w:p>
        </w:tc>
        <w:tc>
          <w:tcPr>
            <w:tcW w:w="856" w:type="pct"/>
            <w:tcBorders>
              <w:top w:val="single" w:sz="4" w:space="0" w:color="999999"/>
              <w:left w:val="single" w:sz="4" w:space="0" w:color="999999"/>
              <w:bottom w:val="single" w:sz="4" w:space="0" w:color="999999"/>
              <w:right w:val="single" w:sz="4" w:space="0" w:color="999999"/>
            </w:tcBorders>
            <w:noWrap/>
            <w:hideMark/>
          </w:tcPr>
          <w:p w14:paraId="6921325D"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0,7</w:t>
            </w:r>
          </w:p>
        </w:tc>
        <w:tc>
          <w:tcPr>
            <w:tcW w:w="856" w:type="pct"/>
            <w:tcBorders>
              <w:top w:val="single" w:sz="4" w:space="0" w:color="999999"/>
              <w:left w:val="single" w:sz="4" w:space="0" w:color="999999"/>
              <w:bottom w:val="single" w:sz="4" w:space="0" w:color="999999"/>
              <w:right w:val="single" w:sz="4" w:space="0" w:color="999999"/>
            </w:tcBorders>
            <w:hideMark/>
          </w:tcPr>
          <w:p w14:paraId="39960DDA"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0,7</w:t>
            </w:r>
          </w:p>
        </w:tc>
        <w:tc>
          <w:tcPr>
            <w:tcW w:w="856" w:type="pct"/>
            <w:tcBorders>
              <w:top w:val="single" w:sz="4" w:space="0" w:color="999999"/>
              <w:left w:val="single" w:sz="4" w:space="0" w:color="999999"/>
              <w:bottom w:val="single" w:sz="4" w:space="0" w:color="999999"/>
              <w:right w:val="single" w:sz="4" w:space="0" w:color="999999"/>
            </w:tcBorders>
            <w:hideMark/>
          </w:tcPr>
          <w:p w14:paraId="4C9E2588"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0,7</w:t>
            </w:r>
          </w:p>
        </w:tc>
      </w:tr>
      <w:tr w:rsidR="00B936CA" w:rsidRPr="00B936CA" w14:paraId="57205E82"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6BA5A4B1" w14:textId="77777777" w:rsidR="00B936CA" w:rsidRPr="00223709" w:rsidRDefault="00B936CA" w:rsidP="00B936CA">
            <w:pPr>
              <w:suppressAutoHyphens w:val="0"/>
              <w:spacing w:before="0" w:after="0" w:line="240" w:lineRule="auto"/>
              <w:rPr>
                <w:rFonts w:cs="Arial"/>
                <w:bCs w:val="0"/>
                <w:sz w:val="18"/>
              </w:rPr>
            </w:pPr>
            <w:r w:rsidRPr="00223709">
              <w:rPr>
                <w:rFonts w:cs="Arial"/>
                <w:sz w:val="18"/>
              </w:rPr>
              <w:t>Optimiranje rada generatora</w:t>
            </w:r>
          </w:p>
        </w:tc>
        <w:tc>
          <w:tcPr>
            <w:tcW w:w="856" w:type="pct"/>
            <w:tcBorders>
              <w:top w:val="single" w:sz="4" w:space="0" w:color="999999"/>
              <w:left w:val="single" w:sz="4" w:space="0" w:color="999999"/>
              <w:bottom w:val="single" w:sz="4" w:space="0" w:color="999999"/>
              <w:right w:val="single" w:sz="4" w:space="0" w:color="999999"/>
            </w:tcBorders>
            <w:noWrap/>
            <w:hideMark/>
          </w:tcPr>
          <w:p w14:paraId="4CAC0779"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2,0</w:t>
            </w:r>
          </w:p>
        </w:tc>
        <w:tc>
          <w:tcPr>
            <w:tcW w:w="856" w:type="pct"/>
            <w:tcBorders>
              <w:top w:val="single" w:sz="4" w:space="0" w:color="999999"/>
              <w:left w:val="single" w:sz="4" w:space="0" w:color="999999"/>
              <w:bottom w:val="single" w:sz="4" w:space="0" w:color="999999"/>
              <w:right w:val="single" w:sz="4" w:space="0" w:color="999999"/>
            </w:tcBorders>
            <w:hideMark/>
          </w:tcPr>
          <w:p w14:paraId="7EA77975"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3,7</w:t>
            </w:r>
          </w:p>
        </w:tc>
        <w:tc>
          <w:tcPr>
            <w:tcW w:w="856" w:type="pct"/>
            <w:tcBorders>
              <w:top w:val="single" w:sz="4" w:space="0" w:color="999999"/>
              <w:left w:val="single" w:sz="4" w:space="0" w:color="999999"/>
              <w:bottom w:val="single" w:sz="4" w:space="0" w:color="999999"/>
              <w:right w:val="single" w:sz="4" w:space="0" w:color="999999"/>
            </w:tcBorders>
            <w:hideMark/>
          </w:tcPr>
          <w:p w14:paraId="79EB68CC"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5</w:t>
            </w:r>
          </w:p>
        </w:tc>
      </w:tr>
      <w:tr w:rsidR="00B936CA" w:rsidRPr="00B936CA" w14:paraId="5801CB32"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0FD67992" w14:textId="6F440188" w:rsidR="00B936CA" w:rsidRPr="00223709" w:rsidRDefault="00B936CA" w:rsidP="00B936CA">
            <w:pPr>
              <w:suppressAutoHyphens w:val="0"/>
              <w:spacing w:before="0" w:after="0" w:line="240" w:lineRule="auto"/>
              <w:rPr>
                <w:rFonts w:cs="Arial"/>
                <w:bCs w:val="0"/>
                <w:sz w:val="18"/>
              </w:rPr>
            </w:pPr>
            <w:r w:rsidRPr="00223709">
              <w:rPr>
                <w:rFonts w:cs="Arial"/>
                <w:sz w:val="18"/>
              </w:rPr>
              <w:t>Optimiranje</w:t>
            </w:r>
            <w:r w:rsidR="00E223DA">
              <w:rPr>
                <w:rFonts w:cs="Arial"/>
                <w:sz w:val="18"/>
              </w:rPr>
              <w:t xml:space="preserve"> </w:t>
            </w:r>
            <w:r w:rsidRPr="00223709">
              <w:rPr>
                <w:rFonts w:cs="Arial"/>
                <w:sz w:val="18"/>
              </w:rPr>
              <w:t>rada energetskih transformatora</w:t>
            </w:r>
          </w:p>
        </w:tc>
        <w:tc>
          <w:tcPr>
            <w:tcW w:w="856" w:type="pct"/>
            <w:tcBorders>
              <w:top w:val="single" w:sz="4" w:space="0" w:color="999999"/>
              <w:left w:val="single" w:sz="4" w:space="0" w:color="999999"/>
              <w:bottom w:val="single" w:sz="4" w:space="0" w:color="999999"/>
              <w:right w:val="single" w:sz="4" w:space="0" w:color="999999"/>
            </w:tcBorders>
            <w:noWrap/>
            <w:hideMark/>
          </w:tcPr>
          <w:p w14:paraId="32028F6F"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5,1</w:t>
            </w:r>
          </w:p>
        </w:tc>
        <w:tc>
          <w:tcPr>
            <w:tcW w:w="856" w:type="pct"/>
            <w:tcBorders>
              <w:top w:val="single" w:sz="4" w:space="0" w:color="999999"/>
              <w:left w:val="single" w:sz="4" w:space="0" w:color="999999"/>
              <w:bottom w:val="single" w:sz="4" w:space="0" w:color="999999"/>
              <w:right w:val="single" w:sz="4" w:space="0" w:color="999999"/>
            </w:tcBorders>
            <w:hideMark/>
          </w:tcPr>
          <w:p w14:paraId="27457469"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6,6</w:t>
            </w:r>
          </w:p>
        </w:tc>
        <w:tc>
          <w:tcPr>
            <w:tcW w:w="856" w:type="pct"/>
            <w:tcBorders>
              <w:top w:val="single" w:sz="4" w:space="0" w:color="999999"/>
              <w:left w:val="single" w:sz="4" w:space="0" w:color="999999"/>
              <w:bottom w:val="single" w:sz="4" w:space="0" w:color="999999"/>
              <w:right w:val="single" w:sz="4" w:space="0" w:color="999999"/>
            </w:tcBorders>
            <w:hideMark/>
          </w:tcPr>
          <w:p w14:paraId="2E8FA6E1"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7,3</w:t>
            </w:r>
          </w:p>
        </w:tc>
      </w:tr>
      <w:tr w:rsidR="00B936CA" w:rsidRPr="00B936CA" w14:paraId="55398A78" w14:textId="77777777" w:rsidTr="00B936CA">
        <w:trPr>
          <w:trHeight w:val="255"/>
        </w:trPr>
        <w:tc>
          <w:tcPr>
            <w:cnfStyle w:val="001000000000" w:firstRow="0" w:lastRow="0" w:firstColumn="1" w:lastColumn="0" w:oddVBand="0" w:evenVBand="0" w:oddHBand="0" w:evenHBand="0" w:firstRowFirstColumn="0" w:firstRowLastColumn="0" w:lastRowFirstColumn="0" w:lastRowLastColumn="0"/>
            <w:tcW w:w="2432" w:type="pct"/>
            <w:tcBorders>
              <w:top w:val="single" w:sz="4" w:space="0" w:color="999999"/>
              <w:left w:val="single" w:sz="4" w:space="0" w:color="999999"/>
              <w:bottom w:val="single" w:sz="4" w:space="0" w:color="999999"/>
              <w:right w:val="single" w:sz="4" w:space="0" w:color="999999"/>
            </w:tcBorders>
            <w:noWrap/>
            <w:hideMark/>
          </w:tcPr>
          <w:p w14:paraId="57DD259D" w14:textId="77777777" w:rsidR="00B936CA" w:rsidRPr="00223709" w:rsidRDefault="00B936CA" w:rsidP="00B936CA">
            <w:pPr>
              <w:suppressAutoHyphens w:val="0"/>
              <w:spacing w:before="0" w:after="0" w:line="240" w:lineRule="auto"/>
              <w:rPr>
                <w:rFonts w:cs="Arial"/>
                <w:bCs w:val="0"/>
                <w:sz w:val="18"/>
              </w:rPr>
            </w:pPr>
            <w:r w:rsidRPr="00223709">
              <w:rPr>
                <w:rFonts w:cs="Arial"/>
                <w:sz w:val="18"/>
              </w:rPr>
              <w:t>SUMA PRIMJENE SVIH MJERA (GWh/godišnje)</w:t>
            </w:r>
          </w:p>
        </w:tc>
        <w:tc>
          <w:tcPr>
            <w:tcW w:w="856" w:type="pct"/>
            <w:tcBorders>
              <w:top w:val="single" w:sz="4" w:space="0" w:color="999999"/>
              <w:left w:val="single" w:sz="4" w:space="0" w:color="999999"/>
              <w:bottom w:val="single" w:sz="4" w:space="0" w:color="999999"/>
              <w:right w:val="single" w:sz="4" w:space="0" w:color="999999"/>
            </w:tcBorders>
            <w:noWrap/>
            <w:hideMark/>
          </w:tcPr>
          <w:p w14:paraId="59F8D9D1"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15,9</w:t>
            </w:r>
          </w:p>
        </w:tc>
        <w:tc>
          <w:tcPr>
            <w:tcW w:w="856" w:type="pct"/>
            <w:tcBorders>
              <w:top w:val="single" w:sz="4" w:space="0" w:color="999999"/>
              <w:left w:val="single" w:sz="4" w:space="0" w:color="999999"/>
              <w:bottom w:val="single" w:sz="4" w:space="0" w:color="999999"/>
              <w:right w:val="single" w:sz="4" w:space="0" w:color="999999"/>
            </w:tcBorders>
            <w:hideMark/>
          </w:tcPr>
          <w:p w14:paraId="3AC90257"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25</w:t>
            </w:r>
          </w:p>
        </w:tc>
        <w:tc>
          <w:tcPr>
            <w:tcW w:w="856" w:type="pct"/>
            <w:tcBorders>
              <w:top w:val="single" w:sz="4" w:space="0" w:color="999999"/>
              <w:left w:val="single" w:sz="4" w:space="0" w:color="999999"/>
              <w:bottom w:val="single" w:sz="4" w:space="0" w:color="999999"/>
              <w:right w:val="single" w:sz="4" w:space="0" w:color="999999"/>
            </w:tcBorders>
            <w:hideMark/>
          </w:tcPr>
          <w:p w14:paraId="4C6B8E29" w14:textId="77777777" w:rsidR="00B936CA" w:rsidRPr="00223709" w:rsidRDefault="00B936CA" w:rsidP="00223709">
            <w:pPr>
              <w:suppressAutoHyphens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8"/>
              </w:rPr>
            </w:pPr>
            <w:r w:rsidRPr="00223709">
              <w:rPr>
                <w:rFonts w:cs="Arial"/>
                <w:sz w:val="18"/>
              </w:rPr>
              <w:t>38</w:t>
            </w:r>
          </w:p>
        </w:tc>
      </w:tr>
    </w:tbl>
    <w:p w14:paraId="1B81F3B0" w14:textId="77777777" w:rsidR="00B936CA" w:rsidRPr="00223709" w:rsidRDefault="00B936CA" w:rsidP="00B936CA">
      <w:pPr>
        <w:tabs>
          <w:tab w:val="left" w:pos="1440"/>
          <w:tab w:val="left" w:pos="5040"/>
          <w:tab w:val="right" w:pos="8504"/>
        </w:tabs>
        <w:suppressAutoHyphens w:val="0"/>
        <w:spacing w:before="0" w:after="0" w:line="240" w:lineRule="auto"/>
        <w:rPr>
          <w:rFonts w:cs="Arial"/>
          <w:color w:val="000000"/>
          <w:lang w:eastAsia="en-GB"/>
        </w:rPr>
      </w:pPr>
      <w:r w:rsidRPr="00223709">
        <w:rPr>
          <w:rFonts w:cs="Arial"/>
          <w:color w:val="000000"/>
          <w:lang w:eastAsia="en-GB"/>
        </w:rPr>
        <w:t>Prema podatcima iz gornje tablice, uštede koje će se ostvariti na kraju 2028. godine iznose 20,9 ktoe (0,9 PJ; 242,9 GWh) te su one 'žive' i u 2030. godini; procijenjeno smanjenje emisija CO</w:t>
      </w:r>
      <w:r w:rsidRPr="00223709">
        <w:rPr>
          <w:rFonts w:cs="Arial"/>
          <w:color w:val="000000"/>
          <w:vertAlign w:val="subscript"/>
          <w:lang w:eastAsia="en-GB"/>
        </w:rPr>
        <w:t>2</w:t>
      </w:r>
      <w:r w:rsidRPr="00223709">
        <w:rPr>
          <w:rFonts w:cs="Arial"/>
          <w:color w:val="000000"/>
          <w:lang w:eastAsia="en-GB"/>
        </w:rPr>
        <w:t xml:space="preserve"> u 2030. 19,0 ktCO</w:t>
      </w:r>
      <w:r w:rsidRPr="00223709">
        <w:rPr>
          <w:rFonts w:cs="Arial"/>
          <w:color w:val="000000"/>
          <w:vertAlign w:val="subscript"/>
          <w:lang w:eastAsia="en-GB"/>
        </w:rPr>
        <w:t>2e</w:t>
      </w:r>
      <w:r w:rsidRPr="00223709">
        <w:rPr>
          <w:rFonts w:cs="Arial"/>
          <w:color w:val="000000"/>
          <w:lang w:eastAsia="en-GB"/>
        </w:rPr>
        <w:t>; kumulativne uštede energije u razdoblju 2021.-2030. 124,1 ktoe (5,2 PJ; 1.443 GWh); kumulativno smanjenje emisija CO</w:t>
      </w:r>
      <w:r w:rsidRPr="00223709">
        <w:rPr>
          <w:rFonts w:cs="Arial"/>
          <w:color w:val="000000"/>
          <w:vertAlign w:val="subscript"/>
          <w:lang w:eastAsia="en-GB"/>
        </w:rPr>
        <w:t>2</w:t>
      </w:r>
      <w:r w:rsidRPr="00223709">
        <w:rPr>
          <w:rFonts w:cs="Arial"/>
          <w:color w:val="000000"/>
          <w:lang w:eastAsia="en-GB"/>
        </w:rPr>
        <w:t xml:space="preserve"> u razdoblju 2021.-2030. 165,8 ktCO</w:t>
      </w:r>
      <w:r w:rsidRPr="00223709">
        <w:rPr>
          <w:rFonts w:cs="Arial"/>
          <w:color w:val="000000"/>
          <w:vertAlign w:val="subscript"/>
          <w:lang w:eastAsia="en-GB"/>
        </w:rPr>
        <w:t>2e</w:t>
      </w:r>
    </w:p>
    <w:p w14:paraId="636E7576" w14:textId="1738381C" w:rsidR="00B936CA" w:rsidRPr="00223709" w:rsidRDefault="00B936CA" w:rsidP="00B936CA">
      <w:pPr>
        <w:tabs>
          <w:tab w:val="left" w:pos="1440"/>
          <w:tab w:val="left" w:pos="5040"/>
          <w:tab w:val="right" w:pos="8504"/>
        </w:tabs>
        <w:suppressAutoHyphens w:val="0"/>
        <w:spacing w:before="0" w:after="0" w:line="240" w:lineRule="auto"/>
        <w:rPr>
          <w:rFonts w:cs="Arial"/>
          <w:color w:val="000000"/>
          <w:lang w:eastAsia="en-GB"/>
        </w:rPr>
      </w:pPr>
      <w:r w:rsidRPr="00223709">
        <w:rPr>
          <w:rFonts w:cs="Arial"/>
          <w:color w:val="000000"/>
          <w:lang w:eastAsia="en-GB"/>
        </w:rPr>
        <w:t>Procjena ušteda u cijelosti se temelji na pretpostavkama danim u Desetogodišnjem</w:t>
      </w:r>
      <w:r w:rsidR="00E223DA">
        <w:rPr>
          <w:rFonts w:cs="Arial"/>
          <w:color w:val="000000"/>
          <w:lang w:eastAsia="en-GB"/>
        </w:rPr>
        <w:t xml:space="preserve"> </w:t>
      </w:r>
      <w:r w:rsidRPr="00223709">
        <w:rPr>
          <w:rFonts w:cs="Arial"/>
          <w:color w:val="000000"/>
          <w:lang w:eastAsia="en-GB"/>
        </w:rPr>
        <w:t>planu</w:t>
      </w:r>
      <w:r w:rsidR="00E223DA">
        <w:rPr>
          <w:rFonts w:cs="Arial"/>
          <w:color w:val="000000"/>
          <w:lang w:eastAsia="en-GB"/>
        </w:rPr>
        <w:t xml:space="preserve"> </w:t>
      </w:r>
      <w:r w:rsidRPr="00223709">
        <w:rPr>
          <w:rFonts w:cs="Arial"/>
          <w:color w:val="000000"/>
          <w:lang w:eastAsia="en-GB"/>
        </w:rPr>
        <w:t>razvoja</w:t>
      </w:r>
      <w:r w:rsidR="00E223DA">
        <w:rPr>
          <w:rFonts w:cs="Arial"/>
          <w:color w:val="000000"/>
          <w:lang w:eastAsia="en-GB"/>
        </w:rPr>
        <w:t xml:space="preserve"> </w:t>
      </w:r>
      <w:r w:rsidRPr="00223709">
        <w:rPr>
          <w:rFonts w:cs="Arial"/>
          <w:color w:val="000000"/>
          <w:lang w:eastAsia="en-GB"/>
        </w:rPr>
        <w:t>prijenosne</w:t>
      </w:r>
      <w:r w:rsidR="00E223DA">
        <w:rPr>
          <w:rFonts w:cs="Arial"/>
          <w:color w:val="000000"/>
          <w:lang w:eastAsia="en-GB"/>
        </w:rPr>
        <w:t xml:space="preserve"> </w:t>
      </w:r>
      <w:r w:rsidRPr="00223709">
        <w:rPr>
          <w:rFonts w:cs="Arial"/>
          <w:color w:val="000000"/>
          <w:lang w:eastAsia="en-GB"/>
        </w:rPr>
        <w:t>mreže za razdoblje</w:t>
      </w:r>
      <w:r w:rsidR="00E223DA">
        <w:rPr>
          <w:rFonts w:cs="Arial"/>
          <w:color w:val="000000"/>
          <w:lang w:eastAsia="en-GB"/>
        </w:rPr>
        <w:t xml:space="preserve"> </w:t>
      </w:r>
      <w:r w:rsidRPr="00223709">
        <w:rPr>
          <w:rFonts w:cs="Arial"/>
          <w:color w:val="000000"/>
          <w:lang w:eastAsia="en-GB"/>
        </w:rPr>
        <w:t>2019. – 2028. HOPS-a.</w:t>
      </w:r>
    </w:p>
    <w:p w14:paraId="1F9D177F" w14:textId="62CD4DAE" w:rsidR="00B936CA" w:rsidRPr="00223709" w:rsidRDefault="00B936CA" w:rsidP="00B936CA">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Praćenje učinaka ove mjere ostvaruje se </w:t>
      </w:r>
      <w:r w:rsidR="009064D5">
        <w:rPr>
          <w:rFonts w:cs="Arial"/>
          <w:color w:val="000000"/>
          <w:lang w:eastAsia="en-GB"/>
        </w:rPr>
        <w:t>na temelju</w:t>
      </w:r>
      <w:r w:rsidR="009064D5" w:rsidRPr="00223709">
        <w:rPr>
          <w:rFonts w:cs="Arial"/>
          <w:color w:val="000000"/>
          <w:lang w:eastAsia="en-GB"/>
        </w:rPr>
        <w:t xml:space="preserve"> </w:t>
      </w:r>
      <w:r w:rsidRPr="00223709">
        <w:rPr>
          <w:rFonts w:cs="Arial"/>
          <w:color w:val="000000"/>
          <w:lang w:eastAsia="en-GB"/>
        </w:rPr>
        <w:t>podataka o ostvarenim gubicima električne energije prije i poslije provedbe mjere uz normalizaciju prema iznosu i trajanju opterećenja.</w:t>
      </w:r>
    </w:p>
    <w:p w14:paraId="689B1EA1" w14:textId="77777777" w:rsidR="00B936CA" w:rsidRPr="00223709" w:rsidRDefault="00B936CA" w:rsidP="00B936CA">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 xml:space="preserve">Ulaganja u prijenosnu mrežu izravno utječu na dimenzije energetska sigurnost i unutarnje energetsko tržište, a smanjenjem gubitaka ostvaruju se i ciljevi dekarbonizacije </w:t>
      </w:r>
    </w:p>
    <w:p w14:paraId="21F2E8DF" w14:textId="77777777" w:rsidR="00B936CA" w:rsidRPr="00223709" w:rsidRDefault="00B936CA" w:rsidP="00B936CA">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7EDC7971" w14:textId="77777777" w:rsidR="00B936CA" w:rsidRPr="00223709" w:rsidRDefault="00B936CA" w:rsidP="00B936CA">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xml:space="preserve">: mjera za sobom povlači istraživanje i razvoj </w:t>
      </w:r>
      <w:r w:rsidRPr="00223709">
        <w:rPr>
          <w:rFonts w:eastAsia="Calibri" w:cs="Arial"/>
          <w:color w:val="000000"/>
        </w:rPr>
        <w:t>razvojem novih i energetski učinkovitijih tehnologija vezanih uz prijenosni sustav (elektroenergetska oprema) i njegovo vođenje (informacijsko-komunikacijske tehnologije)</w:t>
      </w:r>
    </w:p>
    <w:p w14:paraId="3EBF46D7" w14:textId="5DAB4591" w:rsidR="00B936CA"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ENU-16</w:t>
      </w:r>
      <w:r w:rsidR="002E36D5" w:rsidRPr="00286B4C">
        <w:rPr>
          <w:rFonts w:ascii="Arial" w:hAnsi="Arial" w:cs="Arial"/>
          <w:b/>
          <w:bCs/>
          <w:color w:val="000000"/>
          <w:sz w:val="22"/>
          <w:szCs w:val="22"/>
        </w:rPr>
        <w:t xml:space="preserve">: </w:t>
      </w:r>
      <w:r w:rsidR="00E901FD" w:rsidRPr="00286B4C">
        <w:rPr>
          <w:rFonts w:ascii="Arial" w:hAnsi="Arial" w:cs="Arial"/>
          <w:b/>
          <w:bCs/>
          <w:color w:val="000000"/>
          <w:sz w:val="22"/>
          <w:szCs w:val="22"/>
        </w:rPr>
        <w:t>Smanjenje gubitaka u distribucijskoj elektroenergetskoj mreži</w:t>
      </w:r>
      <w:r w:rsidR="00E901FD" w:rsidRPr="00286B4C" w:rsidDel="00E901FD">
        <w:rPr>
          <w:rFonts w:ascii="Arial" w:hAnsi="Arial" w:cs="Arial"/>
          <w:b/>
          <w:bCs/>
          <w:color w:val="000000"/>
          <w:sz w:val="22"/>
          <w:szCs w:val="22"/>
        </w:rPr>
        <w:t xml:space="preserve"> </w:t>
      </w:r>
      <w:r w:rsidR="00EF008E" w:rsidRPr="00286B4C">
        <w:rPr>
          <w:rFonts w:ascii="Arial" w:hAnsi="Arial" w:cs="Arial"/>
          <w:b/>
          <w:bCs/>
          <w:color w:val="000000"/>
          <w:sz w:val="22"/>
          <w:szCs w:val="22"/>
        </w:rPr>
        <w:t xml:space="preserve">i uvođenje </w:t>
      </w:r>
      <w:r w:rsidR="00891D60" w:rsidRPr="00286B4C">
        <w:rPr>
          <w:rFonts w:ascii="Arial" w:hAnsi="Arial" w:cs="Arial"/>
          <w:b/>
          <w:bCs/>
          <w:color w:val="000000"/>
          <w:sz w:val="22"/>
          <w:szCs w:val="22"/>
        </w:rPr>
        <w:t xml:space="preserve">naprednih </w:t>
      </w:r>
      <w:r w:rsidR="00EF008E" w:rsidRPr="00286B4C">
        <w:rPr>
          <w:rFonts w:ascii="Arial" w:hAnsi="Arial" w:cs="Arial"/>
          <w:b/>
          <w:bCs/>
          <w:color w:val="000000"/>
          <w:sz w:val="22"/>
          <w:szCs w:val="22"/>
        </w:rPr>
        <w:t>mreža</w:t>
      </w:r>
    </w:p>
    <w:p w14:paraId="12B8B53C" w14:textId="7393CCE8" w:rsidR="00E870B5" w:rsidRPr="00BB07E7" w:rsidRDefault="00E870B5" w:rsidP="00286B4C">
      <w:pPr>
        <w:pStyle w:val="NormalWeb"/>
        <w:spacing w:after="120" w:line="288" w:lineRule="auto"/>
        <w:jc w:val="both"/>
        <w:rPr>
          <w:rFonts w:ascii="Arial" w:hAnsi="Arial" w:cs="Arial"/>
          <w:b/>
          <w:color w:val="000000"/>
          <w:sz w:val="22"/>
          <w:szCs w:val="22"/>
        </w:rPr>
      </w:pPr>
      <w:r w:rsidRPr="00BB07E7">
        <w:rPr>
          <w:rFonts w:ascii="Arial" w:hAnsi="Arial" w:cs="Arial"/>
          <w:b/>
          <w:color w:val="000000"/>
          <w:sz w:val="22"/>
          <w:szCs w:val="22"/>
        </w:rPr>
        <w:t>Financijska i organizacijska mjera; provedba 2021.-2030.</w:t>
      </w:r>
      <w:r w:rsidR="00622DB1">
        <w:rPr>
          <w:rFonts w:ascii="Arial" w:hAnsi="Arial" w:cs="Arial"/>
          <w:b/>
          <w:color w:val="000000"/>
          <w:sz w:val="22"/>
          <w:szCs w:val="22"/>
        </w:rPr>
        <w:t xml:space="preserve"> </w:t>
      </w:r>
    </w:p>
    <w:p w14:paraId="530D7D96" w14:textId="72582354" w:rsidR="00E870B5" w:rsidRPr="00223709" w:rsidRDefault="00E870B5" w:rsidP="00E870B5">
      <w:pPr>
        <w:suppressAutoHyphens w:val="0"/>
        <w:spacing w:before="0" w:after="0" w:line="240" w:lineRule="auto"/>
        <w:rPr>
          <w:rFonts w:cs="Arial"/>
          <w:color w:val="000000"/>
          <w:lang w:eastAsia="en-GB"/>
        </w:rPr>
      </w:pPr>
      <w:r w:rsidRPr="00223709">
        <w:rPr>
          <w:rFonts w:cs="Arial"/>
          <w:b/>
          <w:bCs/>
          <w:color w:val="000000"/>
          <w:lang w:eastAsia="en-GB"/>
        </w:rPr>
        <w:t>Cilj i opis mjere:</w:t>
      </w:r>
      <w:r w:rsidRPr="00223709">
        <w:rPr>
          <w:rFonts w:cs="Arial"/>
          <w:color w:val="000000"/>
          <w:lang w:eastAsia="en-GB"/>
        </w:rPr>
        <w:t xml:space="preserve"> HEP-ODS će u razdoblju do 2030. godine nastaviti provoditi aktivnosti za smanjenje tehničkih i netehničkih gubitaka u distribucijskoj elektroenergetskoj mreži. Detaljnom analizom utvrdit će se uzroci povećanih gubitaka u pojedinim dijelovima mreže i prioriteti za provedbu aktivnosti za smanjenje tehničkih i netehničkih gubitaka. Na temelju iskustava iz provedbe pilot projekta uvođenja naprednih mreža na pilot područjima uz korištenje ESI fondova, potrebno je programirati nastavak korištenja ESI sredstava u sljedećem programskom razdoblju od 2021. do 2027. godine za daljnji razvoj naprednih mreža.</w:t>
      </w:r>
    </w:p>
    <w:p w14:paraId="4797C593" w14:textId="77777777" w:rsidR="00E870B5" w:rsidRPr="00223709" w:rsidRDefault="00E870B5" w:rsidP="00E870B5">
      <w:pPr>
        <w:suppressAutoHyphens w:val="0"/>
        <w:spacing w:before="0" w:after="0" w:line="240" w:lineRule="auto"/>
        <w:rPr>
          <w:rFonts w:eastAsia="Calibri" w:cs="Arial"/>
          <w:color w:val="000000"/>
        </w:rPr>
      </w:pPr>
    </w:p>
    <w:p w14:paraId="24836954"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606C7595" w14:textId="77777777" w:rsidR="00E870B5" w:rsidRPr="00223709" w:rsidRDefault="00E870B5" w:rsidP="00840E2E">
      <w:pPr>
        <w:numPr>
          <w:ilvl w:val="0"/>
          <w:numId w:val="95"/>
        </w:numPr>
        <w:suppressAutoHyphens w:val="0"/>
        <w:spacing w:before="0" w:after="0" w:line="240" w:lineRule="auto"/>
        <w:rPr>
          <w:rFonts w:eastAsia="Calibri" w:cs="Arial"/>
          <w:color w:val="000000"/>
        </w:rPr>
      </w:pPr>
      <w:r w:rsidRPr="00223709">
        <w:rPr>
          <w:rFonts w:eastAsia="Calibri" w:cs="Arial"/>
          <w:color w:val="000000"/>
        </w:rPr>
        <w:t xml:space="preserve">Aktivnosti smanjenja tehničkih gubitaka, koje uključuju: </w:t>
      </w:r>
    </w:p>
    <w:p w14:paraId="3BE7CC91" w14:textId="77777777" w:rsidR="00E870B5" w:rsidRPr="00223709" w:rsidRDefault="00E870B5" w:rsidP="00840E2E">
      <w:pPr>
        <w:numPr>
          <w:ilvl w:val="1"/>
          <w:numId w:val="97"/>
        </w:numPr>
        <w:suppressAutoHyphens w:val="0"/>
        <w:spacing w:before="0" w:after="0" w:line="240" w:lineRule="auto"/>
        <w:rPr>
          <w:rFonts w:eastAsia="Calibri" w:cs="Arial"/>
          <w:color w:val="000000"/>
        </w:rPr>
      </w:pPr>
      <w:r w:rsidRPr="00223709">
        <w:rPr>
          <w:rFonts w:eastAsia="Calibri" w:cs="Arial"/>
          <w:color w:val="000000"/>
        </w:rPr>
        <w:t>povećanje presjeka vodiča u početnim dionicama SN i NN izvoda u kojima se generira najveći iznos gubitaka</w:t>
      </w:r>
    </w:p>
    <w:p w14:paraId="469F9EAF" w14:textId="77777777" w:rsidR="00E870B5" w:rsidRPr="00223709" w:rsidRDefault="00E870B5" w:rsidP="00840E2E">
      <w:pPr>
        <w:numPr>
          <w:ilvl w:val="1"/>
          <w:numId w:val="97"/>
        </w:numPr>
        <w:suppressAutoHyphens w:val="0"/>
        <w:spacing w:before="0" w:after="0" w:line="240" w:lineRule="auto"/>
        <w:rPr>
          <w:rFonts w:eastAsia="Calibri" w:cs="Arial"/>
          <w:color w:val="000000"/>
        </w:rPr>
      </w:pPr>
      <w:r w:rsidRPr="00223709">
        <w:rPr>
          <w:rFonts w:eastAsia="Calibri" w:cs="Arial"/>
          <w:color w:val="000000"/>
        </w:rPr>
        <w:t>razdvajanje SN i NN izvoda na dva ili više, ovisno o topologiji izvoda i mogućnostima prihvata u TS VN/SN i SN/SN ili TS SN/NN</w:t>
      </w:r>
    </w:p>
    <w:p w14:paraId="74976867" w14:textId="77777777" w:rsidR="00E870B5" w:rsidRPr="00223709" w:rsidRDefault="00E870B5" w:rsidP="00840E2E">
      <w:pPr>
        <w:numPr>
          <w:ilvl w:val="1"/>
          <w:numId w:val="97"/>
        </w:numPr>
        <w:suppressAutoHyphens w:val="0"/>
        <w:spacing w:before="0" w:after="0" w:line="240" w:lineRule="auto"/>
        <w:rPr>
          <w:rFonts w:eastAsia="Calibri" w:cs="Arial"/>
          <w:color w:val="000000"/>
        </w:rPr>
      </w:pPr>
      <w:r w:rsidRPr="00223709">
        <w:rPr>
          <w:rFonts w:eastAsia="Calibri" w:cs="Arial"/>
          <w:color w:val="000000"/>
        </w:rPr>
        <w:t>prebacivanje dijela NN izvoda na susjedni bliži i/ili manje opterećeni NN izvod ili TS SN/NN</w:t>
      </w:r>
    </w:p>
    <w:p w14:paraId="6F8D2689" w14:textId="77777777" w:rsidR="00E870B5" w:rsidRPr="00223709" w:rsidRDefault="00E870B5" w:rsidP="00840E2E">
      <w:pPr>
        <w:numPr>
          <w:ilvl w:val="1"/>
          <w:numId w:val="97"/>
        </w:numPr>
        <w:suppressAutoHyphens w:val="0"/>
        <w:spacing w:before="0" w:after="0" w:line="240" w:lineRule="auto"/>
        <w:rPr>
          <w:rFonts w:eastAsia="Calibri" w:cs="Arial"/>
          <w:color w:val="000000"/>
        </w:rPr>
      </w:pPr>
      <w:r w:rsidRPr="00223709">
        <w:rPr>
          <w:rFonts w:eastAsia="Calibri" w:cs="Arial"/>
          <w:color w:val="000000"/>
        </w:rPr>
        <w:t>zamjenu energetskih transformatora VN/SN i SN/SN zbog preopterećenosti</w:t>
      </w:r>
    </w:p>
    <w:p w14:paraId="150C3DFF" w14:textId="77777777" w:rsidR="00E870B5" w:rsidRPr="00223709" w:rsidRDefault="00E870B5" w:rsidP="00840E2E">
      <w:pPr>
        <w:numPr>
          <w:ilvl w:val="1"/>
          <w:numId w:val="97"/>
        </w:numPr>
        <w:suppressAutoHyphens w:val="0"/>
        <w:spacing w:before="0" w:after="0" w:line="240" w:lineRule="auto"/>
        <w:rPr>
          <w:rFonts w:eastAsia="Calibri" w:cs="Arial"/>
          <w:color w:val="000000"/>
        </w:rPr>
      </w:pPr>
      <w:r w:rsidRPr="00223709">
        <w:rPr>
          <w:rFonts w:eastAsia="Calibri" w:cs="Arial"/>
          <w:color w:val="000000"/>
        </w:rPr>
        <w:t>zamjenu starih energetskih transformatora SN/NN, sa smanjenjem predimenzioniranosti transformatora</w:t>
      </w:r>
    </w:p>
    <w:p w14:paraId="11B32C97" w14:textId="77777777" w:rsidR="00E870B5" w:rsidRPr="00223709" w:rsidRDefault="00E870B5" w:rsidP="00840E2E">
      <w:pPr>
        <w:numPr>
          <w:ilvl w:val="1"/>
          <w:numId w:val="97"/>
        </w:numPr>
        <w:suppressAutoHyphens w:val="0"/>
        <w:spacing w:before="0" w:after="0" w:line="240" w:lineRule="auto"/>
        <w:rPr>
          <w:rFonts w:eastAsia="Calibri" w:cs="Arial"/>
          <w:color w:val="000000"/>
        </w:rPr>
      </w:pPr>
      <w:r w:rsidRPr="00223709">
        <w:rPr>
          <w:rFonts w:eastAsia="Calibri" w:cs="Arial"/>
          <w:color w:val="000000"/>
        </w:rPr>
        <w:t>interpolaciju novih TS VN/SN, SN/SN i SN/NN (prvenstveno kod preopterećenja postojećih TS, odnosno kod priključenja novih kupaca i proizvođača s većim priključnim snagama)</w:t>
      </w:r>
    </w:p>
    <w:p w14:paraId="21C2653D" w14:textId="77777777" w:rsidR="00E870B5" w:rsidRPr="00223709" w:rsidRDefault="00E870B5" w:rsidP="00840E2E">
      <w:pPr>
        <w:numPr>
          <w:ilvl w:val="1"/>
          <w:numId w:val="97"/>
        </w:numPr>
        <w:suppressAutoHyphens w:val="0"/>
        <w:spacing w:before="0" w:after="0" w:line="240" w:lineRule="auto"/>
        <w:rPr>
          <w:rFonts w:eastAsia="Calibri" w:cs="Arial"/>
          <w:color w:val="000000"/>
        </w:rPr>
      </w:pPr>
      <w:r w:rsidRPr="00223709">
        <w:rPr>
          <w:rFonts w:eastAsia="Calibri" w:cs="Arial"/>
          <w:color w:val="000000"/>
        </w:rPr>
        <w:t>prijelaz na 20 kV i postupno uvođenje izravne transformacije 110/10(20) kV</w:t>
      </w:r>
    </w:p>
    <w:p w14:paraId="39B29A78" w14:textId="77777777" w:rsidR="00E870B5" w:rsidRPr="00223709" w:rsidRDefault="00E870B5" w:rsidP="00840E2E">
      <w:pPr>
        <w:numPr>
          <w:ilvl w:val="0"/>
          <w:numId w:val="95"/>
        </w:numPr>
        <w:suppressAutoHyphens w:val="0"/>
        <w:spacing w:before="0" w:after="0" w:line="240" w:lineRule="auto"/>
        <w:rPr>
          <w:rFonts w:eastAsia="Calibri" w:cs="Arial"/>
          <w:color w:val="000000"/>
        </w:rPr>
      </w:pPr>
      <w:r w:rsidRPr="00223709">
        <w:rPr>
          <w:rFonts w:eastAsia="Calibri" w:cs="Arial"/>
          <w:color w:val="000000"/>
        </w:rPr>
        <w:t xml:space="preserve">Aktivnosti smanjenja netehničkih gubitaka, koje uključuju: </w:t>
      </w:r>
    </w:p>
    <w:p w14:paraId="13DCC81C" w14:textId="77777777" w:rsidR="00E870B5" w:rsidRPr="00223709" w:rsidRDefault="00E870B5" w:rsidP="00840E2E">
      <w:pPr>
        <w:numPr>
          <w:ilvl w:val="1"/>
          <w:numId w:val="98"/>
        </w:numPr>
        <w:suppressAutoHyphens w:val="0"/>
        <w:spacing w:before="0" w:after="0" w:line="240" w:lineRule="auto"/>
        <w:rPr>
          <w:rFonts w:eastAsia="Calibri" w:cs="Arial"/>
          <w:color w:val="000000"/>
        </w:rPr>
      </w:pPr>
      <w:r w:rsidRPr="00223709">
        <w:rPr>
          <w:rFonts w:eastAsia="Calibri" w:cs="Arial"/>
          <w:color w:val="000000"/>
        </w:rPr>
        <w:t xml:space="preserve">daljnju ugradnju i uvođenju što većeg broja naprednih brojila u sustav daljinskog nadzora i očitanja </w:t>
      </w:r>
    </w:p>
    <w:p w14:paraId="17F59DD6" w14:textId="77777777" w:rsidR="00E870B5" w:rsidRPr="00223709" w:rsidRDefault="00E870B5" w:rsidP="00840E2E">
      <w:pPr>
        <w:numPr>
          <w:ilvl w:val="1"/>
          <w:numId w:val="98"/>
        </w:numPr>
        <w:suppressAutoHyphens w:val="0"/>
        <w:spacing w:before="0" w:after="0" w:line="240" w:lineRule="auto"/>
        <w:rPr>
          <w:rFonts w:eastAsia="Calibri" w:cs="Arial"/>
          <w:color w:val="000000"/>
        </w:rPr>
      </w:pPr>
      <w:r w:rsidRPr="00223709">
        <w:rPr>
          <w:rFonts w:eastAsia="Calibri" w:cs="Arial"/>
          <w:color w:val="000000"/>
        </w:rPr>
        <w:t>daljnju sveobuhvatnu provedbu kontrole priključaka i mjernih mjesta (KPiMM), s naglaskom na otkrivanje neovlaštene potrošnje električne energije</w:t>
      </w:r>
    </w:p>
    <w:p w14:paraId="44B4CF0B" w14:textId="77777777" w:rsidR="00E870B5" w:rsidRPr="00223709" w:rsidRDefault="00E870B5" w:rsidP="00840E2E">
      <w:pPr>
        <w:numPr>
          <w:ilvl w:val="1"/>
          <w:numId w:val="98"/>
        </w:numPr>
        <w:suppressAutoHyphens w:val="0"/>
        <w:spacing w:before="0" w:after="0" w:line="240" w:lineRule="auto"/>
        <w:rPr>
          <w:rFonts w:eastAsia="Calibri" w:cs="Arial"/>
          <w:color w:val="000000"/>
        </w:rPr>
      </w:pPr>
      <w:r w:rsidRPr="00223709">
        <w:rPr>
          <w:rFonts w:eastAsia="Calibri" w:cs="Arial"/>
          <w:color w:val="000000"/>
        </w:rPr>
        <w:t>nastavak rekonstrukcije postojećih priključaka i mjernih mjesta, koja su smještena u objektima kupaca.</w:t>
      </w:r>
    </w:p>
    <w:p w14:paraId="6777AA97" w14:textId="77777777" w:rsidR="00E870B5" w:rsidRPr="00223709" w:rsidRDefault="00E870B5" w:rsidP="00E870B5">
      <w:pPr>
        <w:suppressAutoHyphens w:val="0"/>
        <w:spacing w:before="0" w:after="0" w:line="240" w:lineRule="auto"/>
        <w:ind w:left="720"/>
        <w:rPr>
          <w:rFonts w:eastAsia="Calibri" w:cs="Arial"/>
          <w:color w:val="000000"/>
        </w:rPr>
      </w:pPr>
    </w:p>
    <w:p w14:paraId="74D85BA3" w14:textId="3EA91217" w:rsidR="00E870B5" w:rsidRPr="00223709" w:rsidRDefault="00E870B5" w:rsidP="00E870B5">
      <w:pPr>
        <w:suppressAutoHyphens w:val="0"/>
        <w:spacing w:before="0" w:after="0" w:line="240" w:lineRule="auto"/>
        <w:rPr>
          <w:rFonts w:cs="Arial"/>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 xml:space="preserve">Sredstva HEP-ODS: Ukupni investicijski troškovi ugradnje naprednih mjernih uređaja na svih 2,4 milijuna obračunskih mjernih mjesta u </w:t>
      </w:r>
      <w:r w:rsidR="00A560B9">
        <w:rPr>
          <w:rFonts w:cs="Arial"/>
          <w:color w:val="000000"/>
          <w:lang w:eastAsia="en-GB"/>
        </w:rPr>
        <w:t>razdoblj</w:t>
      </w:r>
      <w:r w:rsidRPr="00223709">
        <w:rPr>
          <w:rFonts w:cs="Arial"/>
          <w:color w:val="000000"/>
          <w:lang w:eastAsia="en-GB"/>
        </w:rPr>
        <w:t xml:space="preserve">u od 2021. do 2030. godine iznose oko 2.356.000.000 </w:t>
      </w:r>
      <w:r w:rsidR="00DE7226">
        <w:rPr>
          <w:rFonts w:cs="Arial"/>
          <w:color w:val="000000"/>
          <w:lang w:eastAsia="en-GB"/>
        </w:rPr>
        <w:t>kn</w:t>
      </w:r>
      <w:r w:rsidRPr="00223709">
        <w:rPr>
          <w:rFonts w:cs="Arial"/>
          <w:color w:val="000000"/>
          <w:lang w:eastAsia="en-GB"/>
        </w:rPr>
        <w:t>.</w:t>
      </w:r>
    </w:p>
    <w:p w14:paraId="2B4074ED"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Budući da EU direktive zahtijevaju prelazak s konvencionalnog mjerenja na napredne mjerne uređaje, predviđa se korištenje ESI fondova za područje prilagodbe postojećeg mjeriteljskog sustava, sustavu za rad s naprednim mjernim uređajima. Prije svega se radi o investicijama u prilagodbe postojećih ovlaštenih servisa za pripremu brojila za ovjeru (baždarnica) koje su prilagođene ovjeri elektromehaničkih brojila, na tehnologiju koja omogućava pripremu i ovjeravanje naprednih elektroničkih brojila. Prilagodbom je dodatno potrebno osigurati podršku za rad s novim tehnologijama, prije svega rješavanju komunikacijskih problema (G3 PLC) te procesnih računalnih problema (nadogradnje FW brojila i koncentratora, prikupljanje, prijenos i obrada podataka).</w:t>
      </w:r>
    </w:p>
    <w:p w14:paraId="62D2738C" w14:textId="5F3AC399"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 xml:space="preserve">Predviđena sredstva za prilagodbu postojećeg mjeriteljskog sustava sustavu za rad s naprednim brojilima procjenjuju se na iznos od oko 110.000.000 </w:t>
      </w:r>
      <w:r w:rsidR="00DE7226">
        <w:rPr>
          <w:rFonts w:cs="Arial"/>
          <w:color w:val="000000"/>
          <w:lang w:eastAsia="en-GB"/>
        </w:rPr>
        <w:t>kn</w:t>
      </w:r>
      <w:r w:rsidRPr="00223709">
        <w:rPr>
          <w:rFonts w:cs="Arial"/>
          <w:color w:val="000000"/>
          <w:lang w:eastAsia="en-GB"/>
        </w:rPr>
        <w:t>.</w:t>
      </w:r>
    </w:p>
    <w:p w14:paraId="3EA7BEB1" w14:textId="7FE8560E"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HEP- ODS u sljedećem desetogodišnjem razdoblju planira uložiti</w:t>
      </w:r>
      <w:r w:rsidR="00E223DA">
        <w:rPr>
          <w:rFonts w:cs="Arial"/>
          <w:color w:val="000000"/>
          <w:lang w:eastAsia="en-GB"/>
        </w:rPr>
        <w:t xml:space="preserve"> </w:t>
      </w:r>
      <w:r w:rsidRPr="00223709">
        <w:rPr>
          <w:rFonts w:cs="Arial"/>
          <w:color w:val="000000"/>
          <w:lang w:eastAsia="en-GB"/>
        </w:rPr>
        <w:t>6.696.197.000 kn od čega se u energetske objekte planira uložiti kako slijedi:</w:t>
      </w:r>
    </w:p>
    <w:p w14:paraId="444B574E" w14:textId="5F258FC6" w:rsidR="00E870B5" w:rsidRPr="00223709" w:rsidRDefault="00E870B5" w:rsidP="00840E2E">
      <w:pPr>
        <w:numPr>
          <w:ilvl w:val="0"/>
          <w:numId w:val="95"/>
        </w:numPr>
        <w:suppressAutoHyphens w:val="0"/>
        <w:spacing w:before="0" w:after="0" w:line="240" w:lineRule="auto"/>
        <w:rPr>
          <w:rFonts w:cs="Arial"/>
          <w:color w:val="000000"/>
          <w:lang w:eastAsia="en-GB"/>
        </w:rPr>
      </w:pPr>
      <w:r w:rsidRPr="00223709">
        <w:rPr>
          <w:rFonts w:cs="Arial"/>
          <w:color w:val="000000"/>
          <w:lang w:eastAsia="en-GB"/>
        </w:rPr>
        <w:t>ulaganja u energetske objekte 110 kV</w:t>
      </w:r>
      <w:r w:rsidR="00622DB1">
        <w:rPr>
          <w:rFonts w:cs="Arial"/>
          <w:color w:val="000000"/>
          <w:lang w:eastAsia="en-GB"/>
        </w:rPr>
        <w:t xml:space="preserve">     </w:t>
      </w:r>
      <w:r w:rsidRPr="00223709">
        <w:rPr>
          <w:rFonts w:cs="Arial"/>
          <w:color w:val="000000"/>
          <w:lang w:eastAsia="en-GB"/>
        </w:rPr>
        <w:tab/>
      </w:r>
      <w:r w:rsidRPr="00223709">
        <w:rPr>
          <w:rFonts w:cs="Arial"/>
          <w:color w:val="000000"/>
          <w:lang w:eastAsia="en-GB"/>
        </w:rPr>
        <w:tab/>
      </w:r>
      <w:r w:rsidRPr="00223709">
        <w:rPr>
          <w:rFonts w:cs="Arial"/>
          <w:color w:val="000000"/>
          <w:lang w:eastAsia="en-GB"/>
        </w:rPr>
        <w:tab/>
        <w:t>1.227.481.000 kn</w:t>
      </w:r>
    </w:p>
    <w:p w14:paraId="19611E5C" w14:textId="153D61ED" w:rsidR="00E870B5" w:rsidRPr="00223709" w:rsidRDefault="00E870B5" w:rsidP="00840E2E">
      <w:pPr>
        <w:numPr>
          <w:ilvl w:val="0"/>
          <w:numId w:val="95"/>
        </w:numPr>
        <w:suppressAutoHyphens w:val="0"/>
        <w:spacing w:before="0" w:after="0" w:line="240" w:lineRule="auto"/>
        <w:rPr>
          <w:rFonts w:cs="Arial"/>
          <w:color w:val="000000"/>
          <w:lang w:eastAsia="en-GB"/>
        </w:rPr>
      </w:pPr>
      <w:r w:rsidRPr="00223709">
        <w:rPr>
          <w:rFonts w:cs="Arial"/>
          <w:color w:val="000000"/>
          <w:lang w:eastAsia="en-GB"/>
        </w:rPr>
        <w:t>ulaganja u energetske objekte 35 kV</w:t>
      </w:r>
      <w:r w:rsidR="00622DB1">
        <w:rPr>
          <w:rFonts w:cs="Arial"/>
          <w:color w:val="000000"/>
          <w:lang w:eastAsia="en-GB"/>
        </w:rPr>
        <w:t xml:space="preserve">      </w:t>
      </w:r>
      <w:r w:rsidRPr="00223709">
        <w:rPr>
          <w:rFonts w:cs="Arial"/>
          <w:color w:val="000000"/>
          <w:lang w:eastAsia="en-GB"/>
        </w:rPr>
        <w:t xml:space="preserve"> </w:t>
      </w:r>
      <w:r w:rsidRPr="00223709">
        <w:rPr>
          <w:rFonts w:cs="Arial"/>
          <w:color w:val="000000"/>
          <w:lang w:eastAsia="en-GB"/>
        </w:rPr>
        <w:tab/>
      </w:r>
      <w:r w:rsidRPr="00223709">
        <w:rPr>
          <w:rFonts w:cs="Arial"/>
          <w:color w:val="000000"/>
          <w:lang w:eastAsia="en-GB"/>
        </w:rPr>
        <w:tab/>
      </w:r>
      <w:r w:rsidRPr="00223709">
        <w:rPr>
          <w:rFonts w:cs="Arial"/>
          <w:color w:val="000000"/>
          <w:lang w:eastAsia="en-GB"/>
        </w:rPr>
        <w:tab/>
        <w:t xml:space="preserve">602.610.000 kn </w:t>
      </w:r>
    </w:p>
    <w:p w14:paraId="3DD66CCA" w14:textId="7E4412BA" w:rsidR="00E870B5" w:rsidRPr="00223709" w:rsidRDefault="00E870B5" w:rsidP="00840E2E">
      <w:pPr>
        <w:numPr>
          <w:ilvl w:val="0"/>
          <w:numId w:val="95"/>
        </w:numPr>
        <w:suppressAutoHyphens w:val="0"/>
        <w:spacing w:before="0" w:after="0" w:line="240" w:lineRule="auto"/>
        <w:rPr>
          <w:rFonts w:cs="Arial"/>
          <w:color w:val="000000"/>
          <w:lang w:eastAsia="en-GB"/>
        </w:rPr>
      </w:pPr>
      <w:r w:rsidRPr="00223709">
        <w:rPr>
          <w:rFonts w:cs="Arial"/>
          <w:color w:val="000000"/>
          <w:lang w:eastAsia="en-GB"/>
        </w:rPr>
        <w:t>ulaganja u energetske objekte 10 kV i 20 kV</w:t>
      </w:r>
      <w:r w:rsidR="00622DB1">
        <w:rPr>
          <w:rFonts w:cs="Arial"/>
          <w:color w:val="000000"/>
          <w:lang w:eastAsia="en-GB"/>
        </w:rPr>
        <w:t xml:space="preserve">  </w:t>
      </w:r>
      <w:r w:rsidRPr="00223709">
        <w:rPr>
          <w:rFonts w:cs="Arial"/>
          <w:color w:val="000000"/>
          <w:lang w:eastAsia="en-GB"/>
        </w:rPr>
        <w:t xml:space="preserve"> </w:t>
      </w:r>
      <w:r w:rsidRPr="00223709">
        <w:rPr>
          <w:rFonts w:cs="Arial"/>
          <w:color w:val="000000"/>
          <w:lang w:eastAsia="en-GB"/>
        </w:rPr>
        <w:tab/>
      </w:r>
      <w:r w:rsidRPr="00223709">
        <w:rPr>
          <w:rFonts w:cs="Arial"/>
          <w:color w:val="000000"/>
          <w:lang w:eastAsia="en-GB"/>
        </w:rPr>
        <w:tab/>
      </w:r>
      <w:r w:rsidRPr="00223709">
        <w:rPr>
          <w:rFonts w:cs="Arial"/>
          <w:color w:val="000000"/>
          <w:lang w:eastAsia="en-GB"/>
        </w:rPr>
        <w:tab/>
        <w:t>1.771.766.000 kn</w:t>
      </w:r>
    </w:p>
    <w:p w14:paraId="66185227" w14:textId="01F81E2B" w:rsidR="00E870B5" w:rsidRPr="00223709" w:rsidRDefault="00E870B5" w:rsidP="00840E2E">
      <w:pPr>
        <w:numPr>
          <w:ilvl w:val="0"/>
          <w:numId w:val="95"/>
        </w:numPr>
        <w:suppressAutoHyphens w:val="0"/>
        <w:spacing w:before="0" w:after="0" w:line="240" w:lineRule="auto"/>
        <w:rPr>
          <w:rFonts w:cs="Arial"/>
          <w:color w:val="000000"/>
          <w:lang w:eastAsia="en-GB"/>
        </w:rPr>
      </w:pPr>
      <w:r w:rsidRPr="00223709">
        <w:rPr>
          <w:rFonts w:cs="Arial"/>
          <w:color w:val="000000"/>
          <w:lang w:eastAsia="en-GB"/>
        </w:rPr>
        <w:t>ulaganja u niskonaponske objekte</w:t>
      </w:r>
      <w:r w:rsidR="00622DB1">
        <w:rPr>
          <w:rFonts w:cs="Arial"/>
          <w:color w:val="000000"/>
          <w:lang w:eastAsia="en-GB"/>
        </w:rPr>
        <w:t xml:space="preserve">       </w:t>
      </w:r>
      <w:r w:rsidRPr="00223709">
        <w:rPr>
          <w:rFonts w:cs="Arial"/>
          <w:color w:val="000000"/>
          <w:lang w:eastAsia="en-GB"/>
        </w:rPr>
        <w:t xml:space="preserve"> </w:t>
      </w:r>
      <w:r w:rsidRPr="00223709">
        <w:rPr>
          <w:rFonts w:cs="Arial"/>
          <w:color w:val="000000"/>
          <w:lang w:eastAsia="en-GB"/>
        </w:rPr>
        <w:tab/>
      </w:r>
      <w:r w:rsidRPr="00223709">
        <w:rPr>
          <w:rFonts w:cs="Arial"/>
          <w:color w:val="000000"/>
          <w:lang w:eastAsia="en-GB"/>
        </w:rPr>
        <w:tab/>
      </w:r>
      <w:r w:rsidRPr="00223709">
        <w:rPr>
          <w:rFonts w:cs="Arial"/>
          <w:color w:val="000000"/>
          <w:lang w:eastAsia="en-GB"/>
        </w:rPr>
        <w:tab/>
        <w:t>656.895.000 kn</w:t>
      </w:r>
      <w:r w:rsidRPr="00223709">
        <w:rPr>
          <w:rFonts w:cs="Arial"/>
          <w:color w:val="000000"/>
          <w:lang w:eastAsia="en-GB"/>
        </w:rPr>
        <w:tab/>
      </w:r>
    </w:p>
    <w:p w14:paraId="4E149B07" w14:textId="509416E5" w:rsidR="00E870B5" w:rsidRPr="00223709" w:rsidRDefault="00E870B5" w:rsidP="00840E2E">
      <w:pPr>
        <w:numPr>
          <w:ilvl w:val="0"/>
          <w:numId w:val="95"/>
        </w:numPr>
        <w:suppressAutoHyphens w:val="0"/>
        <w:spacing w:before="0" w:after="0" w:line="240" w:lineRule="auto"/>
        <w:rPr>
          <w:rFonts w:cs="Arial"/>
          <w:color w:val="000000"/>
          <w:lang w:eastAsia="en-GB"/>
        </w:rPr>
      </w:pPr>
      <w:r w:rsidRPr="00223709">
        <w:rPr>
          <w:rFonts w:cs="Arial"/>
          <w:color w:val="000000"/>
          <w:lang w:eastAsia="en-GB"/>
        </w:rPr>
        <w:t xml:space="preserve">ulaganja u Smart grid pilot projekte (sufinanciranje iz EU fondova) </w:t>
      </w:r>
      <w:r w:rsidRPr="00223709">
        <w:rPr>
          <w:rFonts w:cs="Arial"/>
          <w:color w:val="000000"/>
          <w:lang w:eastAsia="en-GB"/>
        </w:rPr>
        <w:tab/>
        <w:t>233.745.000 kn</w:t>
      </w:r>
      <w:r w:rsidR="00622DB1">
        <w:rPr>
          <w:rFonts w:cs="Arial"/>
          <w:color w:val="000000"/>
          <w:lang w:eastAsia="en-GB"/>
        </w:rPr>
        <w:t xml:space="preserve">        </w:t>
      </w:r>
    </w:p>
    <w:p w14:paraId="078C34DC" w14:textId="3626F924"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U sljedećoj tablici dan je raspored financijskih sredstava koja se ulažu u Smart grid pilot projekte:</w:t>
      </w:r>
    </w:p>
    <w:p w14:paraId="28D4A32E" w14:textId="77777777" w:rsidR="00E870B5" w:rsidRPr="00223709" w:rsidRDefault="00E870B5" w:rsidP="00E870B5">
      <w:pPr>
        <w:suppressAutoHyphens w:val="0"/>
        <w:spacing w:before="0" w:after="0" w:line="240" w:lineRule="auto"/>
        <w:rPr>
          <w:rFonts w:cs="Arial"/>
          <w:color w:val="000000"/>
          <w:lang w:eastAsia="en-GB"/>
        </w:rPr>
      </w:pPr>
    </w:p>
    <w:tbl>
      <w:tblPr>
        <w:tblStyle w:val="GridTable1Light15"/>
        <w:tblW w:w="5000" w:type="pct"/>
        <w:tblInd w:w="0" w:type="dxa"/>
        <w:tblLook w:val="04A0" w:firstRow="1" w:lastRow="0" w:firstColumn="1" w:lastColumn="0" w:noHBand="0" w:noVBand="1"/>
      </w:tblPr>
      <w:tblGrid>
        <w:gridCol w:w="857"/>
        <w:gridCol w:w="5159"/>
        <w:gridCol w:w="3044"/>
      </w:tblGrid>
      <w:tr w:rsidR="00E870B5" w:rsidRPr="00E870B5" w14:paraId="012D8FE3" w14:textId="77777777" w:rsidTr="00E870B5">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999999"/>
              <w:left w:val="single" w:sz="4" w:space="0" w:color="999999"/>
              <w:right w:val="single" w:sz="4" w:space="0" w:color="999999"/>
            </w:tcBorders>
            <w:hideMark/>
          </w:tcPr>
          <w:p w14:paraId="0084EB97" w14:textId="77777777" w:rsidR="00E870B5" w:rsidRPr="00223709" w:rsidRDefault="00E870B5" w:rsidP="00E870B5">
            <w:pPr>
              <w:spacing w:before="0" w:after="0" w:line="240" w:lineRule="auto"/>
              <w:rPr>
                <w:rFonts w:cs="Arial"/>
                <w:i/>
                <w:sz w:val="16"/>
                <w:szCs w:val="16"/>
              </w:rPr>
            </w:pPr>
            <w:r w:rsidRPr="00223709">
              <w:rPr>
                <w:rFonts w:cs="Arial"/>
                <w:i/>
                <w:sz w:val="16"/>
                <w:szCs w:val="16"/>
              </w:rPr>
              <w:t>Red.br.</w:t>
            </w:r>
          </w:p>
        </w:tc>
        <w:tc>
          <w:tcPr>
            <w:tcW w:w="2847" w:type="pct"/>
            <w:tcBorders>
              <w:top w:val="single" w:sz="4" w:space="0" w:color="999999"/>
              <w:left w:val="single" w:sz="4" w:space="0" w:color="999999"/>
              <w:right w:val="single" w:sz="4" w:space="0" w:color="999999"/>
            </w:tcBorders>
            <w:hideMark/>
          </w:tcPr>
          <w:p w14:paraId="064EA519" w14:textId="77777777" w:rsidR="00E870B5" w:rsidRPr="00223709" w:rsidRDefault="00E870B5" w:rsidP="00E870B5">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i/>
                <w:sz w:val="16"/>
                <w:szCs w:val="16"/>
              </w:rPr>
            </w:pPr>
            <w:r w:rsidRPr="00223709">
              <w:rPr>
                <w:rFonts w:cs="Arial"/>
                <w:i/>
                <w:sz w:val="16"/>
                <w:szCs w:val="16"/>
              </w:rPr>
              <w:t>Vrsta Ulaganja</w:t>
            </w:r>
          </w:p>
        </w:tc>
        <w:tc>
          <w:tcPr>
            <w:tcW w:w="1680" w:type="pct"/>
            <w:tcBorders>
              <w:top w:val="single" w:sz="4" w:space="0" w:color="999999"/>
              <w:left w:val="single" w:sz="4" w:space="0" w:color="999999"/>
              <w:right w:val="single" w:sz="4" w:space="0" w:color="999999"/>
            </w:tcBorders>
            <w:hideMark/>
          </w:tcPr>
          <w:p w14:paraId="12206E21" w14:textId="77777777" w:rsidR="00E870B5" w:rsidRPr="00223709" w:rsidRDefault="00E870B5" w:rsidP="00E870B5">
            <w:pPr>
              <w:spacing w:before="0" w:after="0" w:line="240" w:lineRule="auto"/>
              <w:ind w:left="-100"/>
              <w:jc w:val="center"/>
              <w:cnfStyle w:val="100000000000" w:firstRow="1" w:lastRow="0" w:firstColumn="0" w:lastColumn="0" w:oddVBand="0" w:evenVBand="0" w:oddHBand="0" w:evenHBand="0" w:firstRowFirstColumn="0" w:firstRowLastColumn="0" w:lastRowFirstColumn="0" w:lastRowLastColumn="0"/>
              <w:rPr>
                <w:rFonts w:cs="Arial"/>
                <w:i/>
                <w:sz w:val="16"/>
                <w:szCs w:val="16"/>
              </w:rPr>
            </w:pPr>
            <w:r w:rsidRPr="00223709">
              <w:rPr>
                <w:rFonts w:cs="Arial"/>
                <w:i/>
                <w:sz w:val="16"/>
                <w:szCs w:val="16"/>
              </w:rPr>
              <w:t>Ukupno 10G 2019.-2028..</w:t>
            </w:r>
          </w:p>
        </w:tc>
      </w:tr>
      <w:tr w:rsidR="00E870B5" w:rsidRPr="00E870B5" w14:paraId="7BEE5D12" w14:textId="77777777" w:rsidTr="00E870B5">
        <w:trPr>
          <w:trHeight w:val="271"/>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999999"/>
              <w:left w:val="single" w:sz="4" w:space="0" w:color="999999"/>
              <w:bottom w:val="single" w:sz="4" w:space="0" w:color="999999"/>
              <w:right w:val="single" w:sz="4" w:space="0" w:color="999999"/>
            </w:tcBorders>
            <w:noWrap/>
            <w:hideMark/>
          </w:tcPr>
          <w:p w14:paraId="4BF5ABE5" w14:textId="77777777" w:rsidR="00E870B5" w:rsidRPr="00223709" w:rsidRDefault="00E870B5" w:rsidP="00E870B5">
            <w:pPr>
              <w:spacing w:before="0" w:after="0" w:line="240" w:lineRule="auto"/>
              <w:rPr>
                <w:rFonts w:cs="Arial"/>
                <w:i/>
                <w:sz w:val="16"/>
                <w:szCs w:val="16"/>
              </w:rPr>
            </w:pPr>
            <w:r w:rsidRPr="00223709">
              <w:rPr>
                <w:rFonts w:cs="Arial"/>
                <w:i/>
                <w:sz w:val="16"/>
                <w:szCs w:val="16"/>
              </w:rPr>
              <w:t>1</w:t>
            </w:r>
          </w:p>
        </w:tc>
        <w:tc>
          <w:tcPr>
            <w:tcW w:w="2847" w:type="pct"/>
            <w:tcBorders>
              <w:top w:val="single" w:sz="4" w:space="0" w:color="999999"/>
              <w:left w:val="single" w:sz="4" w:space="0" w:color="999999"/>
              <w:bottom w:val="single" w:sz="4" w:space="0" w:color="999999"/>
              <w:right w:val="single" w:sz="4" w:space="0" w:color="999999"/>
            </w:tcBorders>
            <w:hideMark/>
          </w:tcPr>
          <w:p w14:paraId="2AD05794" w14:textId="77777777" w:rsidR="00E870B5" w:rsidRPr="00223709" w:rsidRDefault="00E870B5" w:rsidP="00E870B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i/>
                <w:sz w:val="18"/>
                <w:szCs w:val="18"/>
              </w:rPr>
            </w:pPr>
            <w:r w:rsidRPr="00223709">
              <w:rPr>
                <w:rFonts w:cs="Arial"/>
                <w:i/>
                <w:sz w:val="18"/>
                <w:szCs w:val="18"/>
              </w:rPr>
              <w:t>Napredna mjerna infrastruktura</w:t>
            </w:r>
          </w:p>
        </w:tc>
        <w:tc>
          <w:tcPr>
            <w:tcW w:w="1680" w:type="pct"/>
            <w:tcBorders>
              <w:top w:val="single" w:sz="4" w:space="0" w:color="999999"/>
              <w:left w:val="single" w:sz="4" w:space="0" w:color="999999"/>
              <w:bottom w:val="single" w:sz="4" w:space="0" w:color="999999"/>
              <w:right w:val="single" w:sz="4" w:space="0" w:color="999999"/>
            </w:tcBorders>
            <w:noWrap/>
            <w:hideMark/>
          </w:tcPr>
          <w:p w14:paraId="15BC82B0" w14:textId="77777777" w:rsidR="00E870B5" w:rsidRPr="00223709" w:rsidRDefault="00E870B5" w:rsidP="00E870B5">
            <w:pPr>
              <w:spacing w:before="0" w:after="0" w:line="240" w:lineRule="auto"/>
              <w:ind w:left="-100"/>
              <w:jc w:val="center"/>
              <w:cnfStyle w:val="000000000000" w:firstRow="0" w:lastRow="0" w:firstColumn="0" w:lastColumn="0" w:oddVBand="0" w:evenVBand="0" w:oddHBand="0" w:evenHBand="0" w:firstRowFirstColumn="0" w:firstRowLastColumn="0" w:lastRowFirstColumn="0" w:lastRowLastColumn="0"/>
              <w:rPr>
                <w:rFonts w:cs="Arial"/>
                <w:b/>
                <w:i/>
                <w:sz w:val="16"/>
                <w:szCs w:val="16"/>
              </w:rPr>
            </w:pPr>
            <w:r w:rsidRPr="00223709">
              <w:rPr>
                <w:rFonts w:cs="Arial"/>
                <w:b/>
                <w:i/>
                <w:sz w:val="16"/>
                <w:szCs w:val="16"/>
              </w:rPr>
              <w:t>90.918.000</w:t>
            </w:r>
          </w:p>
        </w:tc>
      </w:tr>
      <w:tr w:rsidR="00E870B5" w:rsidRPr="00E870B5" w14:paraId="58DD7D53" w14:textId="77777777" w:rsidTr="00E870B5">
        <w:trPr>
          <w:trHeight w:val="261"/>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999999"/>
              <w:left w:val="single" w:sz="4" w:space="0" w:color="999999"/>
              <w:bottom w:val="single" w:sz="4" w:space="0" w:color="999999"/>
              <w:right w:val="single" w:sz="4" w:space="0" w:color="999999"/>
            </w:tcBorders>
            <w:noWrap/>
            <w:hideMark/>
          </w:tcPr>
          <w:p w14:paraId="02757228" w14:textId="77777777" w:rsidR="00E870B5" w:rsidRPr="00223709" w:rsidRDefault="00E870B5" w:rsidP="00E870B5">
            <w:pPr>
              <w:spacing w:before="0" w:after="0" w:line="240" w:lineRule="auto"/>
              <w:rPr>
                <w:rFonts w:cs="Arial"/>
                <w:i/>
                <w:sz w:val="16"/>
                <w:szCs w:val="16"/>
              </w:rPr>
            </w:pPr>
            <w:r w:rsidRPr="00223709">
              <w:rPr>
                <w:rFonts w:cs="Arial"/>
                <w:i/>
                <w:sz w:val="16"/>
                <w:szCs w:val="16"/>
              </w:rPr>
              <w:t>2</w:t>
            </w:r>
          </w:p>
        </w:tc>
        <w:tc>
          <w:tcPr>
            <w:tcW w:w="2847" w:type="pct"/>
            <w:tcBorders>
              <w:top w:val="single" w:sz="4" w:space="0" w:color="999999"/>
              <w:left w:val="single" w:sz="4" w:space="0" w:color="999999"/>
              <w:bottom w:val="single" w:sz="4" w:space="0" w:color="999999"/>
              <w:right w:val="single" w:sz="4" w:space="0" w:color="999999"/>
            </w:tcBorders>
            <w:hideMark/>
          </w:tcPr>
          <w:p w14:paraId="6EA90A52" w14:textId="77777777" w:rsidR="00E870B5" w:rsidRPr="00223709" w:rsidRDefault="00E870B5" w:rsidP="00E870B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i/>
                <w:sz w:val="18"/>
                <w:szCs w:val="18"/>
              </w:rPr>
            </w:pPr>
            <w:r w:rsidRPr="00223709">
              <w:rPr>
                <w:rFonts w:cs="Arial"/>
                <w:i/>
                <w:sz w:val="18"/>
                <w:szCs w:val="18"/>
              </w:rPr>
              <w:t>Razvoj i optimiranje konvencionalne mreže</w:t>
            </w:r>
          </w:p>
        </w:tc>
        <w:tc>
          <w:tcPr>
            <w:tcW w:w="1680" w:type="pct"/>
            <w:tcBorders>
              <w:top w:val="single" w:sz="4" w:space="0" w:color="999999"/>
              <w:left w:val="single" w:sz="4" w:space="0" w:color="999999"/>
              <w:bottom w:val="single" w:sz="4" w:space="0" w:color="999999"/>
              <w:right w:val="single" w:sz="4" w:space="0" w:color="999999"/>
            </w:tcBorders>
            <w:noWrap/>
            <w:hideMark/>
          </w:tcPr>
          <w:p w14:paraId="65FDE8EB" w14:textId="77777777" w:rsidR="00E870B5" w:rsidRPr="00223709" w:rsidRDefault="00E870B5" w:rsidP="00E870B5">
            <w:pPr>
              <w:spacing w:before="0" w:after="0" w:line="240" w:lineRule="auto"/>
              <w:ind w:left="-100"/>
              <w:jc w:val="center"/>
              <w:cnfStyle w:val="000000000000" w:firstRow="0" w:lastRow="0" w:firstColumn="0" w:lastColumn="0" w:oddVBand="0" w:evenVBand="0" w:oddHBand="0" w:evenHBand="0" w:firstRowFirstColumn="0" w:firstRowLastColumn="0" w:lastRowFirstColumn="0" w:lastRowLastColumn="0"/>
              <w:rPr>
                <w:rFonts w:cs="Arial"/>
                <w:b/>
                <w:i/>
                <w:sz w:val="16"/>
                <w:szCs w:val="16"/>
              </w:rPr>
            </w:pPr>
            <w:r w:rsidRPr="00223709">
              <w:rPr>
                <w:rFonts w:cs="Arial"/>
                <w:b/>
                <w:i/>
                <w:sz w:val="16"/>
                <w:szCs w:val="16"/>
              </w:rPr>
              <w:t>40.618.000</w:t>
            </w:r>
          </w:p>
        </w:tc>
      </w:tr>
      <w:tr w:rsidR="00E870B5" w:rsidRPr="00E870B5" w14:paraId="08845DA5" w14:textId="77777777" w:rsidTr="00E870B5">
        <w:trPr>
          <w:trHeight w:val="70"/>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999999"/>
              <w:left w:val="single" w:sz="4" w:space="0" w:color="999999"/>
              <w:bottom w:val="single" w:sz="4" w:space="0" w:color="999999"/>
              <w:right w:val="single" w:sz="4" w:space="0" w:color="999999"/>
            </w:tcBorders>
            <w:noWrap/>
            <w:hideMark/>
          </w:tcPr>
          <w:p w14:paraId="441DBFF4" w14:textId="77777777" w:rsidR="00E870B5" w:rsidRPr="00223709" w:rsidRDefault="00E870B5" w:rsidP="00E870B5">
            <w:pPr>
              <w:spacing w:before="0" w:after="0" w:line="240" w:lineRule="auto"/>
              <w:rPr>
                <w:rFonts w:cs="Arial"/>
                <w:i/>
                <w:sz w:val="16"/>
                <w:szCs w:val="16"/>
              </w:rPr>
            </w:pPr>
            <w:r w:rsidRPr="00223709">
              <w:rPr>
                <w:rFonts w:cs="Arial"/>
                <w:i/>
                <w:sz w:val="16"/>
                <w:szCs w:val="16"/>
              </w:rPr>
              <w:t>3</w:t>
            </w:r>
          </w:p>
        </w:tc>
        <w:tc>
          <w:tcPr>
            <w:tcW w:w="2847" w:type="pct"/>
            <w:tcBorders>
              <w:top w:val="single" w:sz="4" w:space="0" w:color="999999"/>
              <w:left w:val="single" w:sz="4" w:space="0" w:color="999999"/>
              <w:bottom w:val="single" w:sz="4" w:space="0" w:color="999999"/>
              <w:right w:val="single" w:sz="4" w:space="0" w:color="999999"/>
            </w:tcBorders>
            <w:hideMark/>
          </w:tcPr>
          <w:p w14:paraId="4459D592" w14:textId="77777777" w:rsidR="00E870B5" w:rsidRPr="00223709" w:rsidRDefault="00E870B5" w:rsidP="00E870B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i/>
                <w:sz w:val="18"/>
                <w:szCs w:val="18"/>
              </w:rPr>
            </w:pPr>
            <w:r w:rsidRPr="00223709">
              <w:rPr>
                <w:rFonts w:cs="Arial"/>
                <w:i/>
                <w:sz w:val="18"/>
                <w:szCs w:val="18"/>
              </w:rPr>
              <w:t>Automatizacija distribucijske mreže</w:t>
            </w:r>
          </w:p>
        </w:tc>
        <w:tc>
          <w:tcPr>
            <w:tcW w:w="1680" w:type="pct"/>
            <w:tcBorders>
              <w:top w:val="single" w:sz="4" w:space="0" w:color="999999"/>
              <w:left w:val="single" w:sz="4" w:space="0" w:color="999999"/>
              <w:bottom w:val="single" w:sz="4" w:space="0" w:color="999999"/>
              <w:right w:val="single" w:sz="4" w:space="0" w:color="999999"/>
            </w:tcBorders>
            <w:noWrap/>
            <w:hideMark/>
          </w:tcPr>
          <w:p w14:paraId="45632B63" w14:textId="77777777" w:rsidR="00E870B5" w:rsidRPr="00223709" w:rsidRDefault="00E870B5" w:rsidP="00E870B5">
            <w:pPr>
              <w:spacing w:before="0" w:after="0" w:line="240" w:lineRule="auto"/>
              <w:ind w:left="-100"/>
              <w:jc w:val="center"/>
              <w:cnfStyle w:val="000000000000" w:firstRow="0" w:lastRow="0" w:firstColumn="0" w:lastColumn="0" w:oddVBand="0" w:evenVBand="0" w:oddHBand="0" w:evenHBand="0" w:firstRowFirstColumn="0" w:firstRowLastColumn="0" w:lastRowFirstColumn="0" w:lastRowLastColumn="0"/>
              <w:rPr>
                <w:rFonts w:cs="Arial"/>
                <w:b/>
                <w:i/>
                <w:sz w:val="16"/>
                <w:szCs w:val="16"/>
              </w:rPr>
            </w:pPr>
            <w:r w:rsidRPr="00223709">
              <w:rPr>
                <w:rFonts w:cs="Arial"/>
                <w:b/>
                <w:i/>
                <w:sz w:val="16"/>
                <w:szCs w:val="16"/>
              </w:rPr>
              <w:t>102.209.000</w:t>
            </w:r>
          </w:p>
        </w:tc>
      </w:tr>
      <w:tr w:rsidR="00E870B5" w:rsidRPr="00E870B5" w14:paraId="013419F1" w14:textId="77777777" w:rsidTr="00E870B5">
        <w:trPr>
          <w:trHeight w:val="70"/>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999999"/>
              <w:left w:val="single" w:sz="4" w:space="0" w:color="999999"/>
              <w:bottom w:val="single" w:sz="4" w:space="0" w:color="999999"/>
              <w:right w:val="single" w:sz="4" w:space="0" w:color="999999"/>
            </w:tcBorders>
            <w:noWrap/>
          </w:tcPr>
          <w:p w14:paraId="59092CE6" w14:textId="77777777" w:rsidR="00E870B5" w:rsidRPr="00223709" w:rsidRDefault="00E870B5" w:rsidP="00E870B5">
            <w:pPr>
              <w:spacing w:before="0" w:after="0" w:line="240" w:lineRule="auto"/>
              <w:rPr>
                <w:rFonts w:cs="Arial"/>
                <w:i/>
                <w:sz w:val="16"/>
                <w:szCs w:val="16"/>
              </w:rPr>
            </w:pPr>
          </w:p>
        </w:tc>
        <w:tc>
          <w:tcPr>
            <w:tcW w:w="2847" w:type="pct"/>
            <w:tcBorders>
              <w:top w:val="single" w:sz="4" w:space="0" w:color="999999"/>
              <w:left w:val="single" w:sz="4" w:space="0" w:color="999999"/>
              <w:bottom w:val="single" w:sz="4" w:space="0" w:color="999999"/>
              <w:right w:val="single" w:sz="4" w:space="0" w:color="999999"/>
            </w:tcBorders>
            <w:hideMark/>
          </w:tcPr>
          <w:p w14:paraId="500C68F7" w14:textId="77777777" w:rsidR="00E870B5" w:rsidRPr="00223709" w:rsidRDefault="00E870B5" w:rsidP="00E870B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i/>
                <w:sz w:val="18"/>
                <w:szCs w:val="18"/>
              </w:rPr>
            </w:pPr>
            <w:r w:rsidRPr="00223709">
              <w:rPr>
                <w:rFonts w:cs="Arial"/>
                <w:b/>
                <w:bCs/>
                <w:i/>
                <w:sz w:val="18"/>
                <w:szCs w:val="18"/>
              </w:rPr>
              <w:t>Ukupno</w:t>
            </w:r>
          </w:p>
        </w:tc>
        <w:tc>
          <w:tcPr>
            <w:tcW w:w="1680" w:type="pct"/>
            <w:tcBorders>
              <w:top w:val="single" w:sz="4" w:space="0" w:color="999999"/>
              <w:left w:val="single" w:sz="4" w:space="0" w:color="999999"/>
              <w:bottom w:val="single" w:sz="4" w:space="0" w:color="999999"/>
              <w:right w:val="single" w:sz="4" w:space="0" w:color="999999"/>
            </w:tcBorders>
            <w:noWrap/>
            <w:hideMark/>
          </w:tcPr>
          <w:p w14:paraId="0723BDC6" w14:textId="77777777" w:rsidR="00E870B5" w:rsidRPr="00223709" w:rsidRDefault="00E870B5" w:rsidP="00E870B5">
            <w:pPr>
              <w:spacing w:before="0" w:after="0" w:line="240" w:lineRule="auto"/>
              <w:ind w:left="-100"/>
              <w:jc w:val="center"/>
              <w:cnfStyle w:val="000000000000" w:firstRow="0" w:lastRow="0" w:firstColumn="0" w:lastColumn="0" w:oddVBand="0" w:evenVBand="0" w:oddHBand="0" w:evenHBand="0" w:firstRowFirstColumn="0" w:firstRowLastColumn="0" w:lastRowFirstColumn="0" w:lastRowLastColumn="0"/>
              <w:rPr>
                <w:rFonts w:cs="Arial"/>
                <w:b/>
                <w:i/>
                <w:sz w:val="16"/>
                <w:szCs w:val="16"/>
              </w:rPr>
            </w:pPr>
            <w:r w:rsidRPr="00223709">
              <w:rPr>
                <w:rFonts w:cs="Arial"/>
                <w:b/>
                <w:i/>
                <w:sz w:val="16"/>
                <w:szCs w:val="16"/>
              </w:rPr>
              <w:t>233.745.000</w:t>
            </w:r>
          </w:p>
        </w:tc>
      </w:tr>
    </w:tbl>
    <w:p w14:paraId="46D3F131" w14:textId="77777777" w:rsidR="00E870B5" w:rsidRPr="00223709" w:rsidRDefault="00E870B5" w:rsidP="00E870B5">
      <w:pPr>
        <w:suppressAutoHyphens w:val="0"/>
        <w:spacing w:before="0" w:after="0" w:line="240" w:lineRule="auto"/>
        <w:rPr>
          <w:rFonts w:cs="Arial"/>
          <w:b/>
          <w:bCs/>
          <w:color w:val="000000"/>
          <w:lang w:eastAsia="en-GB"/>
        </w:rPr>
      </w:pPr>
    </w:p>
    <w:p w14:paraId="4BD8B8F2" w14:textId="77777777" w:rsidR="00E870B5" w:rsidRPr="00223709" w:rsidRDefault="00E870B5" w:rsidP="00E870B5">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HEP-ODS, ESI fondovi</w:t>
      </w:r>
    </w:p>
    <w:p w14:paraId="543C008B" w14:textId="3CD1CF4F" w:rsidR="00E870B5" w:rsidRPr="00223709" w:rsidRDefault="00E870B5" w:rsidP="00E870B5">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HEP-ODS </w:t>
      </w:r>
    </w:p>
    <w:p w14:paraId="1CEDAC2A" w14:textId="77777777" w:rsidR="00E870B5" w:rsidRPr="00223709" w:rsidRDefault="00E870B5" w:rsidP="00E870B5">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 HERA</w:t>
      </w:r>
    </w:p>
    <w:p w14:paraId="64F28EAA"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gubitaka u distribucijskoj elektroenergetskoj mreži - HEP- Operator distribucijskog sustava izrađuje bilancu za prethodnu godinu, u kojoj se posebno iskazuju gubici električne energije .</w:t>
      </w:r>
    </w:p>
    <w:p w14:paraId="4857ED91"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 xml:space="preserve">Ukupni gubici električne energije sastoje se od tehničkih i netehničkih gubitaka. Tehnički gubici su posljedica pogonskog stanja distribucijske mreže i tehničkih značajki elemenata mreže. Mogu se podijeliti na: </w:t>
      </w:r>
    </w:p>
    <w:p w14:paraId="7041BD66" w14:textId="77777777" w:rsidR="00E870B5" w:rsidRPr="00223709" w:rsidRDefault="00E870B5" w:rsidP="00840E2E">
      <w:pPr>
        <w:numPr>
          <w:ilvl w:val="0"/>
          <w:numId w:val="95"/>
        </w:numPr>
        <w:suppressAutoHyphens w:val="0"/>
        <w:spacing w:before="0" w:after="0" w:line="240" w:lineRule="auto"/>
        <w:rPr>
          <w:rFonts w:cs="Arial"/>
          <w:color w:val="000000"/>
          <w:lang w:eastAsia="en-GB"/>
        </w:rPr>
      </w:pPr>
      <w:r w:rsidRPr="00223709">
        <w:rPr>
          <w:rFonts w:cs="Arial"/>
          <w:color w:val="000000"/>
          <w:lang w:eastAsia="en-GB"/>
        </w:rPr>
        <w:t xml:space="preserve">gubitke ovisne o naponu, odnosno stalne gubitke, koji su posljedica održavanja EES-a u stanju pogonske pripravnosti za opskrbu kupaca električnom energijom, </w:t>
      </w:r>
    </w:p>
    <w:p w14:paraId="250BD736" w14:textId="77777777" w:rsidR="00E870B5" w:rsidRPr="00223709" w:rsidRDefault="00E870B5" w:rsidP="00840E2E">
      <w:pPr>
        <w:numPr>
          <w:ilvl w:val="0"/>
          <w:numId w:val="95"/>
        </w:numPr>
        <w:suppressAutoHyphens w:val="0"/>
        <w:spacing w:before="0" w:after="0" w:line="240" w:lineRule="auto"/>
        <w:rPr>
          <w:rFonts w:cs="Arial"/>
          <w:color w:val="000000"/>
          <w:lang w:eastAsia="en-GB"/>
        </w:rPr>
      </w:pPr>
      <w:r w:rsidRPr="00223709">
        <w:rPr>
          <w:rFonts w:cs="Arial"/>
          <w:color w:val="000000"/>
          <w:lang w:eastAsia="en-GB"/>
        </w:rPr>
        <w:t xml:space="preserve">gubitke ovisne o struji, odnosno varijabilne gubitke, koji su posljedica protjecanja struje kroz komponente EES-a. </w:t>
      </w:r>
    </w:p>
    <w:p w14:paraId="524BEE7C" w14:textId="724FD08D"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Na temelju pretpostavljenih promjena opterećenja, potrošnje, značajki investicija i ulaska u pogon pojedinih objekata, moguće ukupno smanjenje tehničkih gubitaka ostvarenjem desetogodišnjeg plana razvoja distribucijske mreže 2019.-2028. godine procjenjuje se na 284 do 455 GWh (ove vrijednosti predstavljaju kumulativne uštede u danom razdoblju), od toga u prve tri godine</w:t>
      </w:r>
      <w:r w:rsidR="00E223DA">
        <w:rPr>
          <w:rFonts w:cs="Arial"/>
          <w:color w:val="000000"/>
          <w:lang w:eastAsia="en-GB"/>
        </w:rPr>
        <w:t xml:space="preserve"> </w:t>
      </w:r>
      <w:r w:rsidRPr="00223709">
        <w:rPr>
          <w:rFonts w:cs="Arial"/>
          <w:color w:val="000000"/>
          <w:lang w:eastAsia="en-GB"/>
        </w:rPr>
        <w:t>(razdoblje</w:t>
      </w:r>
      <w:r w:rsidR="00E223DA">
        <w:rPr>
          <w:rFonts w:cs="Arial"/>
          <w:color w:val="000000"/>
          <w:lang w:eastAsia="en-GB"/>
        </w:rPr>
        <w:t xml:space="preserve"> </w:t>
      </w:r>
      <w:r w:rsidRPr="00223709">
        <w:rPr>
          <w:rFonts w:cs="Arial"/>
          <w:color w:val="000000"/>
          <w:lang w:eastAsia="en-GB"/>
        </w:rPr>
        <w:t>2019.-2021.)</w:t>
      </w:r>
      <w:r w:rsidR="00E223DA">
        <w:rPr>
          <w:rFonts w:cs="Arial"/>
          <w:color w:val="000000"/>
          <w:lang w:eastAsia="en-GB"/>
        </w:rPr>
        <w:t xml:space="preserve"> </w:t>
      </w:r>
      <w:r w:rsidRPr="00223709">
        <w:rPr>
          <w:rFonts w:cs="Arial"/>
          <w:color w:val="000000"/>
          <w:lang w:eastAsia="en-GB"/>
        </w:rPr>
        <w:t>od</w:t>
      </w:r>
      <w:r w:rsidR="00E223DA">
        <w:rPr>
          <w:rFonts w:cs="Arial"/>
          <w:color w:val="000000"/>
          <w:lang w:eastAsia="en-GB"/>
        </w:rPr>
        <w:t xml:space="preserve"> </w:t>
      </w:r>
      <w:r w:rsidRPr="00223709">
        <w:rPr>
          <w:rFonts w:cs="Arial"/>
          <w:color w:val="000000"/>
          <w:lang w:eastAsia="en-GB"/>
        </w:rPr>
        <w:t>8,5</w:t>
      </w:r>
      <w:r w:rsidR="00E223DA">
        <w:rPr>
          <w:rFonts w:cs="Arial"/>
          <w:color w:val="000000"/>
          <w:lang w:eastAsia="en-GB"/>
        </w:rPr>
        <w:t xml:space="preserve"> </w:t>
      </w:r>
      <w:r w:rsidRPr="00223709">
        <w:rPr>
          <w:rFonts w:cs="Arial"/>
          <w:color w:val="000000"/>
          <w:lang w:eastAsia="en-GB"/>
        </w:rPr>
        <w:t>do</w:t>
      </w:r>
      <w:r w:rsidR="00E223DA">
        <w:rPr>
          <w:rFonts w:cs="Arial"/>
          <w:color w:val="000000"/>
          <w:lang w:eastAsia="en-GB"/>
        </w:rPr>
        <w:t xml:space="preserve"> </w:t>
      </w:r>
      <w:r w:rsidRPr="00223709">
        <w:rPr>
          <w:rFonts w:cs="Arial"/>
          <w:color w:val="000000"/>
          <w:lang w:eastAsia="en-GB"/>
        </w:rPr>
        <w:t>13,4 GWh prosječno godišnje. Mjereno prema prosječnoj godišnjoj potrošnji u razdoblju 2015.-2017. od 16.310 GWh, prosječno godišnje smanjenje tehničkih gubitaka u razdoblju 2019.-2021. iznosi od 0,05% do 0,08%. Učinak mjera, odnosno smanjenje tehničkih gubitaka, raste po godinama jer se opseg mjera povećava s vremenom. Npr. broj transformatora sa smanjenim gubicima bit će značajno veći na kraju desetogodišnjeg razdoblja pa će samim time i godišnje uštede na kraju desetogodišnjeg razdoblja biti veće.</w:t>
      </w:r>
    </w:p>
    <w:p w14:paraId="4608E9E8" w14:textId="440E5403"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 xml:space="preserve">Netehnički gubici, odnosno komercijalni gubici posljedica su preuzete, odnosno potrošene električne energije koja iz nekog razloga nije obračunata. Prema procjeni udjela tehničkih i netehničkih gubitaka u ukupnim gubicima distribucijske mreže, tehnički i netehnički gubici čine svaki oko 50% ukupnih gubitaka. Sukladno navedenom, za potrebe ocjene učinka u </w:t>
      </w:r>
      <w:r w:rsidR="00A560B9">
        <w:rPr>
          <w:rFonts w:cs="Arial"/>
          <w:color w:val="000000"/>
          <w:lang w:eastAsia="en-GB"/>
        </w:rPr>
        <w:t>razdoblj</w:t>
      </w:r>
      <w:r w:rsidRPr="00223709">
        <w:rPr>
          <w:rFonts w:cs="Arial"/>
          <w:color w:val="000000"/>
          <w:lang w:eastAsia="en-GB"/>
        </w:rPr>
        <w:t>u 2021. – 2030. godine, pretpostavljen je konstantan udio tehničkih (50%) i netehničkih gubitaka (50%) u ukupnim gubicima električne energije.</w:t>
      </w:r>
    </w:p>
    <w:tbl>
      <w:tblPr>
        <w:tblStyle w:val="GridTable1Light15"/>
        <w:tblW w:w="5000" w:type="pct"/>
        <w:tblInd w:w="0" w:type="dxa"/>
        <w:tblLook w:val="04A0" w:firstRow="1" w:lastRow="0" w:firstColumn="1" w:lastColumn="0" w:noHBand="0" w:noVBand="1"/>
      </w:tblPr>
      <w:tblGrid>
        <w:gridCol w:w="1710"/>
        <w:gridCol w:w="965"/>
        <w:gridCol w:w="983"/>
        <w:gridCol w:w="761"/>
        <w:gridCol w:w="663"/>
        <w:gridCol w:w="663"/>
        <w:gridCol w:w="664"/>
        <w:gridCol w:w="664"/>
        <w:gridCol w:w="664"/>
        <w:gridCol w:w="664"/>
        <w:gridCol w:w="659"/>
      </w:tblGrid>
      <w:tr w:rsidR="00E870B5" w:rsidRPr="00E870B5" w14:paraId="7E1B5F3E" w14:textId="77777777" w:rsidTr="00E870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33" w:type="pct"/>
            <w:gridSpan w:val="3"/>
            <w:tcBorders>
              <w:top w:val="single" w:sz="4" w:space="0" w:color="999999"/>
              <w:left w:val="single" w:sz="4" w:space="0" w:color="999999"/>
              <w:right w:val="single" w:sz="4" w:space="0" w:color="999999"/>
            </w:tcBorders>
            <w:noWrap/>
            <w:vAlign w:val="center"/>
            <w:hideMark/>
          </w:tcPr>
          <w:p w14:paraId="5F024178"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 xml:space="preserve">Projekcija gubitaka električne energije u TWh </w:t>
            </w:r>
          </w:p>
        </w:tc>
        <w:tc>
          <w:tcPr>
            <w:tcW w:w="456" w:type="pct"/>
            <w:tcBorders>
              <w:top w:val="single" w:sz="4" w:space="0" w:color="999999"/>
              <w:left w:val="single" w:sz="4" w:space="0" w:color="999999"/>
              <w:right w:val="single" w:sz="4" w:space="0" w:color="999999"/>
            </w:tcBorders>
            <w:noWrap/>
            <w:vAlign w:val="center"/>
            <w:hideMark/>
          </w:tcPr>
          <w:p w14:paraId="749690C7" w14:textId="77777777" w:rsidR="00E870B5" w:rsidRPr="00223709" w:rsidRDefault="00E870B5" w:rsidP="00E870B5">
            <w:pPr>
              <w:cnfStyle w:val="100000000000" w:firstRow="1" w:lastRow="0" w:firstColumn="0" w:lastColumn="0" w:oddVBand="0" w:evenVBand="0" w:oddHBand="0" w:evenHBand="0" w:firstRowFirstColumn="0" w:firstRowLastColumn="0" w:lastRowFirstColumn="0" w:lastRowLastColumn="0"/>
              <w:rPr>
                <w:rFonts w:cs="Arial"/>
                <w:i/>
                <w:iCs/>
                <w:sz w:val="16"/>
                <w:szCs w:val="14"/>
              </w:rPr>
            </w:pPr>
          </w:p>
        </w:tc>
        <w:tc>
          <w:tcPr>
            <w:tcW w:w="402" w:type="pct"/>
            <w:tcBorders>
              <w:top w:val="single" w:sz="4" w:space="0" w:color="999999"/>
              <w:left w:val="single" w:sz="4" w:space="0" w:color="999999"/>
              <w:right w:val="single" w:sz="4" w:space="0" w:color="999999"/>
            </w:tcBorders>
            <w:noWrap/>
            <w:vAlign w:val="center"/>
            <w:hideMark/>
          </w:tcPr>
          <w:p w14:paraId="4F3D099E" w14:textId="77777777" w:rsidR="00E870B5" w:rsidRPr="00223709" w:rsidRDefault="00E870B5" w:rsidP="00E870B5">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rPr>
            </w:pPr>
          </w:p>
        </w:tc>
        <w:tc>
          <w:tcPr>
            <w:tcW w:w="402" w:type="pct"/>
            <w:tcBorders>
              <w:top w:val="single" w:sz="4" w:space="0" w:color="999999"/>
              <w:left w:val="single" w:sz="4" w:space="0" w:color="999999"/>
              <w:right w:val="single" w:sz="4" w:space="0" w:color="999999"/>
            </w:tcBorders>
            <w:noWrap/>
            <w:vAlign w:val="center"/>
            <w:hideMark/>
          </w:tcPr>
          <w:p w14:paraId="73A6DED1" w14:textId="77777777" w:rsidR="00E870B5" w:rsidRPr="00223709" w:rsidRDefault="00E870B5" w:rsidP="00E870B5">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rPr>
            </w:pPr>
          </w:p>
        </w:tc>
        <w:tc>
          <w:tcPr>
            <w:tcW w:w="402" w:type="pct"/>
            <w:tcBorders>
              <w:top w:val="single" w:sz="4" w:space="0" w:color="999999"/>
              <w:left w:val="single" w:sz="4" w:space="0" w:color="999999"/>
              <w:right w:val="single" w:sz="4" w:space="0" w:color="999999"/>
            </w:tcBorders>
            <w:noWrap/>
            <w:vAlign w:val="center"/>
            <w:hideMark/>
          </w:tcPr>
          <w:p w14:paraId="63BEF1C2" w14:textId="77777777" w:rsidR="00E870B5" w:rsidRPr="00223709" w:rsidRDefault="00E870B5" w:rsidP="00E870B5">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rPr>
            </w:pPr>
          </w:p>
        </w:tc>
        <w:tc>
          <w:tcPr>
            <w:tcW w:w="402" w:type="pct"/>
            <w:tcBorders>
              <w:top w:val="single" w:sz="4" w:space="0" w:color="999999"/>
              <w:left w:val="single" w:sz="4" w:space="0" w:color="999999"/>
              <w:right w:val="single" w:sz="4" w:space="0" w:color="999999"/>
            </w:tcBorders>
            <w:noWrap/>
            <w:vAlign w:val="center"/>
            <w:hideMark/>
          </w:tcPr>
          <w:p w14:paraId="2F4D86CE" w14:textId="77777777" w:rsidR="00E870B5" w:rsidRPr="00223709" w:rsidRDefault="00E870B5" w:rsidP="00E870B5">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rPr>
            </w:pPr>
          </w:p>
        </w:tc>
        <w:tc>
          <w:tcPr>
            <w:tcW w:w="402" w:type="pct"/>
            <w:tcBorders>
              <w:top w:val="single" w:sz="4" w:space="0" w:color="999999"/>
              <w:left w:val="single" w:sz="4" w:space="0" w:color="999999"/>
              <w:right w:val="single" w:sz="4" w:space="0" w:color="999999"/>
            </w:tcBorders>
            <w:noWrap/>
            <w:vAlign w:val="center"/>
            <w:hideMark/>
          </w:tcPr>
          <w:p w14:paraId="4C3952D2" w14:textId="77777777" w:rsidR="00E870B5" w:rsidRPr="00223709" w:rsidRDefault="00E870B5" w:rsidP="00E870B5">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rPr>
            </w:pPr>
          </w:p>
        </w:tc>
        <w:tc>
          <w:tcPr>
            <w:tcW w:w="402" w:type="pct"/>
            <w:tcBorders>
              <w:top w:val="single" w:sz="4" w:space="0" w:color="999999"/>
              <w:left w:val="single" w:sz="4" w:space="0" w:color="999999"/>
              <w:right w:val="single" w:sz="4" w:space="0" w:color="999999"/>
            </w:tcBorders>
            <w:noWrap/>
            <w:vAlign w:val="center"/>
            <w:hideMark/>
          </w:tcPr>
          <w:p w14:paraId="4E2B0ECA" w14:textId="77777777" w:rsidR="00E870B5" w:rsidRPr="00223709" w:rsidRDefault="00E870B5" w:rsidP="00E870B5">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rPr>
            </w:pPr>
          </w:p>
        </w:tc>
        <w:tc>
          <w:tcPr>
            <w:tcW w:w="401" w:type="pct"/>
            <w:tcBorders>
              <w:top w:val="single" w:sz="4" w:space="0" w:color="999999"/>
              <w:left w:val="single" w:sz="4" w:space="0" w:color="999999"/>
              <w:right w:val="single" w:sz="4" w:space="0" w:color="999999"/>
            </w:tcBorders>
            <w:noWrap/>
            <w:vAlign w:val="center"/>
            <w:hideMark/>
          </w:tcPr>
          <w:p w14:paraId="64E346AE" w14:textId="77777777" w:rsidR="00E870B5" w:rsidRPr="00223709" w:rsidRDefault="00E870B5" w:rsidP="00E870B5">
            <w:pPr>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eastAsia="Calibri" w:cs="Arial"/>
              </w:rPr>
            </w:pPr>
          </w:p>
        </w:tc>
      </w:tr>
      <w:tr w:rsidR="00E870B5" w:rsidRPr="00E870B5" w14:paraId="2C305BAD"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10" w:type="pct"/>
            <w:tcBorders>
              <w:top w:val="single" w:sz="4" w:space="0" w:color="999999"/>
              <w:left w:val="single" w:sz="4" w:space="0" w:color="999999"/>
              <w:bottom w:val="single" w:sz="4" w:space="0" w:color="999999"/>
              <w:right w:val="single" w:sz="4" w:space="0" w:color="999999"/>
            </w:tcBorders>
            <w:noWrap/>
            <w:vAlign w:val="center"/>
            <w:hideMark/>
          </w:tcPr>
          <w:p w14:paraId="7B21CC26" w14:textId="77777777" w:rsidR="00E870B5" w:rsidRPr="00223709" w:rsidRDefault="00E870B5" w:rsidP="00E870B5">
            <w:pPr>
              <w:suppressAutoHyphens w:val="0"/>
              <w:spacing w:before="0" w:after="0" w:line="240" w:lineRule="auto"/>
              <w:jc w:val="left"/>
              <w:rPr>
                <w:rFonts w:eastAsia="Calibri" w:cs="Arial"/>
              </w:rPr>
            </w:pPr>
          </w:p>
        </w:tc>
        <w:tc>
          <w:tcPr>
            <w:tcW w:w="457" w:type="pct"/>
            <w:tcBorders>
              <w:top w:val="single" w:sz="4" w:space="0" w:color="999999"/>
              <w:left w:val="single" w:sz="4" w:space="0" w:color="999999"/>
              <w:bottom w:val="single" w:sz="4" w:space="0" w:color="999999"/>
              <w:right w:val="single" w:sz="4" w:space="0" w:color="999999"/>
            </w:tcBorders>
            <w:noWrap/>
            <w:vAlign w:val="center"/>
            <w:hideMark/>
          </w:tcPr>
          <w:p w14:paraId="5AA1CD1B"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2021</w:t>
            </w:r>
          </w:p>
        </w:tc>
        <w:tc>
          <w:tcPr>
            <w:tcW w:w="465" w:type="pct"/>
            <w:tcBorders>
              <w:top w:val="single" w:sz="4" w:space="0" w:color="999999"/>
              <w:left w:val="single" w:sz="4" w:space="0" w:color="999999"/>
              <w:bottom w:val="single" w:sz="4" w:space="0" w:color="999999"/>
              <w:right w:val="single" w:sz="4" w:space="0" w:color="999999"/>
            </w:tcBorders>
            <w:noWrap/>
            <w:vAlign w:val="center"/>
            <w:hideMark/>
          </w:tcPr>
          <w:p w14:paraId="0C46760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2022</w:t>
            </w:r>
          </w:p>
        </w:tc>
        <w:tc>
          <w:tcPr>
            <w:tcW w:w="456" w:type="pct"/>
            <w:tcBorders>
              <w:top w:val="single" w:sz="4" w:space="0" w:color="999999"/>
              <w:left w:val="single" w:sz="4" w:space="0" w:color="999999"/>
              <w:bottom w:val="single" w:sz="4" w:space="0" w:color="999999"/>
              <w:right w:val="single" w:sz="4" w:space="0" w:color="999999"/>
            </w:tcBorders>
            <w:noWrap/>
            <w:vAlign w:val="center"/>
            <w:hideMark/>
          </w:tcPr>
          <w:p w14:paraId="062AAFA1"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2023</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2EA07919"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2024</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5D52841B"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2025</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41A2D959"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2026</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1F79077F"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2027</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012156A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2028</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7705EB0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2029</w:t>
            </w:r>
          </w:p>
        </w:tc>
        <w:tc>
          <w:tcPr>
            <w:tcW w:w="401" w:type="pct"/>
            <w:tcBorders>
              <w:top w:val="single" w:sz="4" w:space="0" w:color="999999"/>
              <w:left w:val="single" w:sz="4" w:space="0" w:color="999999"/>
              <w:bottom w:val="single" w:sz="4" w:space="0" w:color="999999"/>
              <w:right w:val="single" w:sz="4" w:space="0" w:color="999999"/>
            </w:tcBorders>
            <w:noWrap/>
            <w:vAlign w:val="center"/>
            <w:hideMark/>
          </w:tcPr>
          <w:p w14:paraId="39166BBF"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2030</w:t>
            </w:r>
          </w:p>
        </w:tc>
      </w:tr>
      <w:tr w:rsidR="00E870B5" w:rsidRPr="00E870B5" w14:paraId="57080F16"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10" w:type="pct"/>
            <w:tcBorders>
              <w:top w:val="single" w:sz="4" w:space="0" w:color="999999"/>
              <w:left w:val="single" w:sz="4" w:space="0" w:color="999999"/>
              <w:bottom w:val="single" w:sz="4" w:space="0" w:color="999999"/>
              <w:right w:val="single" w:sz="4" w:space="0" w:color="999999"/>
            </w:tcBorders>
            <w:noWrap/>
            <w:vAlign w:val="center"/>
            <w:hideMark/>
          </w:tcPr>
          <w:p w14:paraId="5639B4CB"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Tehnički gubici</w:t>
            </w:r>
          </w:p>
        </w:tc>
        <w:tc>
          <w:tcPr>
            <w:tcW w:w="457" w:type="pct"/>
            <w:tcBorders>
              <w:top w:val="single" w:sz="4" w:space="0" w:color="999999"/>
              <w:left w:val="single" w:sz="4" w:space="0" w:color="999999"/>
              <w:bottom w:val="single" w:sz="4" w:space="0" w:color="999999"/>
              <w:right w:val="single" w:sz="4" w:space="0" w:color="999999"/>
            </w:tcBorders>
            <w:noWrap/>
            <w:vAlign w:val="center"/>
            <w:hideMark/>
          </w:tcPr>
          <w:p w14:paraId="7ED9AB61"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0,658</w:t>
            </w:r>
          </w:p>
        </w:tc>
        <w:tc>
          <w:tcPr>
            <w:tcW w:w="465" w:type="pct"/>
            <w:tcBorders>
              <w:top w:val="single" w:sz="4" w:space="0" w:color="999999"/>
              <w:left w:val="single" w:sz="4" w:space="0" w:color="999999"/>
              <w:bottom w:val="single" w:sz="4" w:space="0" w:color="999999"/>
              <w:right w:val="single" w:sz="4" w:space="0" w:color="999999"/>
            </w:tcBorders>
            <w:noWrap/>
            <w:vAlign w:val="center"/>
            <w:hideMark/>
          </w:tcPr>
          <w:p w14:paraId="7F90AE0F"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0,662</w:t>
            </w:r>
          </w:p>
        </w:tc>
        <w:tc>
          <w:tcPr>
            <w:tcW w:w="456" w:type="pct"/>
            <w:tcBorders>
              <w:top w:val="single" w:sz="4" w:space="0" w:color="999999"/>
              <w:left w:val="single" w:sz="4" w:space="0" w:color="999999"/>
              <w:bottom w:val="single" w:sz="4" w:space="0" w:color="999999"/>
              <w:right w:val="single" w:sz="4" w:space="0" w:color="999999"/>
            </w:tcBorders>
            <w:noWrap/>
            <w:vAlign w:val="center"/>
            <w:hideMark/>
          </w:tcPr>
          <w:p w14:paraId="6C725F2C"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0,665</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7ABA0036"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0,668</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4CA700BE"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0,672</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3DD44CDE"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0,675</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1495C44E"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0,678</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5098AE24"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0,682</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0C5D71B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0,685</w:t>
            </w:r>
          </w:p>
        </w:tc>
        <w:tc>
          <w:tcPr>
            <w:tcW w:w="401" w:type="pct"/>
            <w:tcBorders>
              <w:top w:val="single" w:sz="4" w:space="0" w:color="999999"/>
              <w:left w:val="single" w:sz="4" w:space="0" w:color="999999"/>
              <w:bottom w:val="single" w:sz="4" w:space="0" w:color="999999"/>
              <w:right w:val="single" w:sz="4" w:space="0" w:color="999999"/>
            </w:tcBorders>
            <w:noWrap/>
            <w:vAlign w:val="center"/>
            <w:hideMark/>
          </w:tcPr>
          <w:p w14:paraId="77DF929A"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0,689</w:t>
            </w:r>
          </w:p>
        </w:tc>
      </w:tr>
      <w:tr w:rsidR="00E870B5" w:rsidRPr="00E870B5" w14:paraId="4BC1BFC6"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10" w:type="pct"/>
            <w:tcBorders>
              <w:top w:val="single" w:sz="4" w:space="0" w:color="999999"/>
              <w:left w:val="single" w:sz="4" w:space="0" w:color="999999"/>
              <w:bottom w:val="single" w:sz="4" w:space="0" w:color="999999"/>
              <w:right w:val="single" w:sz="4" w:space="0" w:color="999999"/>
            </w:tcBorders>
            <w:noWrap/>
            <w:vAlign w:val="center"/>
            <w:hideMark/>
          </w:tcPr>
          <w:p w14:paraId="6B37A39E"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Netehnički gubici</w:t>
            </w:r>
          </w:p>
        </w:tc>
        <w:tc>
          <w:tcPr>
            <w:tcW w:w="457" w:type="pct"/>
            <w:tcBorders>
              <w:top w:val="single" w:sz="4" w:space="0" w:color="999999"/>
              <w:left w:val="single" w:sz="4" w:space="0" w:color="999999"/>
              <w:bottom w:val="single" w:sz="4" w:space="0" w:color="999999"/>
              <w:right w:val="single" w:sz="4" w:space="0" w:color="999999"/>
            </w:tcBorders>
            <w:noWrap/>
            <w:vAlign w:val="center"/>
            <w:hideMark/>
          </w:tcPr>
          <w:p w14:paraId="508CE26D"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0,658</w:t>
            </w:r>
          </w:p>
        </w:tc>
        <w:tc>
          <w:tcPr>
            <w:tcW w:w="465" w:type="pct"/>
            <w:tcBorders>
              <w:top w:val="single" w:sz="4" w:space="0" w:color="999999"/>
              <w:left w:val="single" w:sz="4" w:space="0" w:color="999999"/>
              <w:bottom w:val="single" w:sz="4" w:space="0" w:color="999999"/>
              <w:right w:val="single" w:sz="4" w:space="0" w:color="999999"/>
            </w:tcBorders>
            <w:noWrap/>
            <w:vAlign w:val="center"/>
            <w:hideMark/>
          </w:tcPr>
          <w:p w14:paraId="47D75D84"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0,662</w:t>
            </w:r>
          </w:p>
        </w:tc>
        <w:tc>
          <w:tcPr>
            <w:tcW w:w="456" w:type="pct"/>
            <w:tcBorders>
              <w:top w:val="single" w:sz="4" w:space="0" w:color="999999"/>
              <w:left w:val="single" w:sz="4" w:space="0" w:color="999999"/>
              <w:bottom w:val="single" w:sz="4" w:space="0" w:color="999999"/>
              <w:right w:val="single" w:sz="4" w:space="0" w:color="999999"/>
            </w:tcBorders>
            <w:noWrap/>
            <w:vAlign w:val="center"/>
            <w:hideMark/>
          </w:tcPr>
          <w:p w14:paraId="2C2B7CB4"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0,665</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1B5BC08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0,668</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29F52121"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0,672</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3C04CA0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0,675</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1EC73C9F"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0,678</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5C6D5D9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0,682</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6AABCAFC"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0,685</w:t>
            </w:r>
          </w:p>
        </w:tc>
        <w:tc>
          <w:tcPr>
            <w:tcW w:w="401" w:type="pct"/>
            <w:tcBorders>
              <w:top w:val="single" w:sz="4" w:space="0" w:color="999999"/>
              <w:left w:val="single" w:sz="4" w:space="0" w:color="999999"/>
              <w:bottom w:val="single" w:sz="4" w:space="0" w:color="999999"/>
              <w:right w:val="single" w:sz="4" w:space="0" w:color="999999"/>
            </w:tcBorders>
            <w:noWrap/>
            <w:vAlign w:val="center"/>
            <w:hideMark/>
          </w:tcPr>
          <w:p w14:paraId="5B9705AE"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0,689</w:t>
            </w:r>
          </w:p>
        </w:tc>
      </w:tr>
      <w:tr w:rsidR="00E870B5" w:rsidRPr="00E870B5" w14:paraId="4EFA8F30"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10" w:type="pct"/>
            <w:tcBorders>
              <w:top w:val="single" w:sz="4" w:space="0" w:color="999999"/>
              <w:left w:val="single" w:sz="4" w:space="0" w:color="999999"/>
              <w:bottom w:val="single" w:sz="4" w:space="0" w:color="999999"/>
              <w:right w:val="single" w:sz="4" w:space="0" w:color="999999"/>
            </w:tcBorders>
            <w:noWrap/>
            <w:vAlign w:val="center"/>
            <w:hideMark/>
          </w:tcPr>
          <w:p w14:paraId="62E6E76B"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Ukupni gubici</w:t>
            </w:r>
          </w:p>
        </w:tc>
        <w:tc>
          <w:tcPr>
            <w:tcW w:w="457" w:type="pct"/>
            <w:tcBorders>
              <w:top w:val="single" w:sz="4" w:space="0" w:color="999999"/>
              <w:left w:val="single" w:sz="4" w:space="0" w:color="999999"/>
              <w:bottom w:val="single" w:sz="4" w:space="0" w:color="999999"/>
              <w:right w:val="single" w:sz="4" w:space="0" w:color="999999"/>
            </w:tcBorders>
            <w:noWrap/>
            <w:vAlign w:val="center"/>
            <w:hideMark/>
          </w:tcPr>
          <w:p w14:paraId="4F48E191"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1,316</w:t>
            </w:r>
          </w:p>
        </w:tc>
        <w:tc>
          <w:tcPr>
            <w:tcW w:w="465" w:type="pct"/>
            <w:tcBorders>
              <w:top w:val="single" w:sz="4" w:space="0" w:color="999999"/>
              <w:left w:val="single" w:sz="4" w:space="0" w:color="999999"/>
              <w:bottom w:val="single" w:sz="4" w:space="0" w:color="999999"/>
              <w:right w:val="single" w:sz="4" w:space="0" w:color="999999"/>
            </w:tcBorders>
            <w:noWrap/>
            <w:vAlign w:val="center"/>
            <w:hideMark/>
          </w:tcPr>
          <w:p w14:paraId="3A024E85"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1,324</w:t>
            </w:r>
          </w:p>
        </w:tc>
        <w:tc>
          <w:tcPr>
            <w:tcW w:w="456" w:type="pct"/>
            <w:tcBorders>
              <w:top w:val="single" w:sz="4" w:space="0" w:color="999999"/>
              <w:left w:val="single" w:sz="4" w:space="0" w:color="999999"/>
              <w:bottom w:val="single" w:sz="4" w:space="0" w:color="999999"/>
              <w:right w:val="single" w:sz="4" w:space="0" w:color="999999"/>
            </w:tcBorders>
            <w:noWrap/>
            <w:vAlign w:val="center"/>
            <w:hideMark/>
          </w:tcPr>
          <w:p w14:paraId="058B0BCD"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1,330</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425075E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1,336</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23C76B12"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1,344</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346350B4"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1,350</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611BE7F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1,356</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069E37F6"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1,364</w:t>
            </w:r>
          </w:p>
        </w:tc>
        <w:tc>
          <w:tcPr>
            <w:tcW w:w="402" w:type="pct"/>
            <w:tcBorders>
              <w:top w:val="single" w:sz="4" w:space="0" w:color="999999"/>
              <w:left w:val="single" w:sz="4" w:space="0" w:color="999999"/>
              <w:bottom w:val="single" w:sz="4" w:space="0" w:color="999999"/>
              <w:right w:val="single" w:sz="4" w:space="0" w:color="999999"/>
            </w:tcBorders>
            <w:noWrap/>
            <w:vAlign w:val="center"/>
            <w:hideMark/>
          </w:tcPr>
          <w:p w14:paraId="7ED5944E"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1,370</w:t>
            </w:r>
          </w:p>
        </w:tc>
        <w:tc>
          <w:tcPr>
            <w:tcW w:w="401" w:type="pct"/>
            <w:tcBorders>
              <w:top w:val="single" w:sz="4" w:space="0" w:color="999999"/>
              <w:left w:val="single" w:sz="4" w:space="0" w:color="999999"/>
              <w:bottom w:val="single" w:sz="4" w:space="0" w:color="999999"/>
              <w:right w:val="single" w:sz="4" w:space="0" w:color="999999"/>
            </w:tcBorders>
            <w:noWrap/>
            <w:vAlign w:val="center"/>
            <w:hideMark/>
          </w:tcPr>
          <w:p w14:paraId="62A78086"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1,378</w:t>
            </w:r>
          </w:p>
        </w:tc>
      </w:tr>
    </w:tbl>
    <w:p w14:paraId="7D53FD99"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 xml:space="preserve">Implementacijom naprednih mjernih uređaja i sustava za njihovo umrežavanje kod krajnjih kupaca električne energije utječe se na smanjenje netehničkih gubitaka električne energije. Napredna brojila su opremljena indikatorima prekida napajanja i promjena parametara, čime se omogućuje otkrivanje neovlaštene potrošnje električne energije putem signalizacije neovlaštenog pristupa uređaju i njegove neovlaštene upotrebe te, u konačnici, daljinskog isključenja napajanja kupcu kod kojeg je takvo ponašanje otkriveno. </w:t>
      </w:r>
    </w:p>
    <w:p w14:paraId="1A34DCA2"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 xml:space="preserve">Sumarna brojila ugrađena u transformatorske stanice na temelju mjerenja ukupne potrošnje i proizvodnje energije na niskonaponskim izvodima iz transformatorske stanice omogućuju točan izračun gubitaka energije u srednjenaponskoj i niskonaponskoj distribucijskoj mreži, uspoređujući količinu preuzete energije u TS SN/NN i količinu energije potrošene kod krajnjih kupaca. Ugradnjom sumarnih brojila očekuje se efikasnije i brže otkrivanje te smanjenje neovlaštene potrošnje. </w:t>
      </w:r>
    </w:p>
    <w:p w14:paraId="7900E4AD" w14:textId="7B0094A6"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 xml:space="preserve">Unutar više analiza troškova i koristi ugradnje naprednih mjernih uređaja, provedenih u zemljama članicama Europske unije, ustanovljeno je očekivano smanjenje neovlaštene potrošnje u iznosu 50% netehničkih gubitaka (Litva, Slovenija), što odgovara i iskustvima drugih međunarodnih pilot projekata. </w:t>
      </w:r>
      <w:r w:rsidR="00505EEF">
        <w:rPr>
          <w:rFonts w:cs="Arial"/>
          <w:color w:val="000000"/>
          <w:lang w:eastAsia="en-GB"/>
        </w:rPr>
        <w:t>Na temelju</w:t>
      </w:r>
      <w:r w:rsidR="00505EEF" w:rsidRPr="00223709">
        <w:rPr>
          <w:rFonts w:cs="Arial"/>
          <w:color w:val="000000"/>
          <w:lang w:eastAsia="en-GB"/>
        </w:rPr>
        <w:t xml:space="preserve"> </w:t>
      </w:r>
      <w:r w:rsidRPr="00223709">
        <w:rPr>
          <w:rFonts w:cs="Arial"/>
          <w:color w:val="000000"/>
          <w:lang w:eastAsia="en-GB"/>
        </w:rPr>
        <w:t>navedenog, prognoza smanjenja neovlaštene potrošnje u slučaju Hrvatske je određena u iznosu od 50% netehničkih gubitaka.</w:t>
      </w:r>
    </w:p>
    <w:p w14:paraId="3251B909" w14:textId="6053A601" w:rsidR="00E870B5" w:rsidRPr="00223709" w:rsidRDefault="00E870B5" w:rsidP="00E870B5">
      <w:pPr>
        <w:suppressAutoHyphens w:val="0"/>
        <w:spacing w:before="0" w:after="0" w:line="240" w:lineRule="auto"/>
        <w:rPr>
          <w:rFonts w:cs="Arial"/>
          <w:color w:val="000000"/>
          <w:lang w:eastAsia="en-GB"/>
        </w:rPr>
      </w:pPr>
      <w:r w:rsidRPr="00223709">
        <w:rPr>
          <w:rFonts w:cs="Arial"/>
          <w:color w:val="000000"/>
          <w:lang w:eastAsia="en-GB"/>
        </w:rPr>
        <w:t xml:space="preserve">Netehnički gubici koji nastaju tijekom referentnog razdoblja promatranja, implementacijom naprednih mjernih uređaja i sustava za njihovo umrežavanje, prikazani su u tablici u nastavku, a izračunati su </w:t>
      </w:r>
      <w:r w:rsidR="00E94899">
        <w:rPr>
          <w:rFonts w:cs="Arial"/>
          <w:color w:val="000000"/>
          <w:lang w:eastAsia="en-GB"/>
        </w:rPr>
        <w:t>na temelju</w:t>
      </w:r>
      <w:r w:rsidR="00E94899" w:rsidRPr="00223709">
        <w:rPr>
          <w:rFonts w:cs="Arial"/>
          <w:color w:val="000000"/>
          <w:lang w:eastAsia="en-GB"/>
        </w:rPr>
        <w:t xml:space="preserve"> </w:t>
      </w:r>
      <w:r w:rsidRPr="00223709">
        <w:rPr>
          <w:rFonts w:cs="Arial"/>
          <w:color w:val="000000"/>
          <w:lang w:eastAsia="en-GB"/>
        </w:rPr>
        <w:t>procjene iznosa netehničkih gubitaka, procijenjenog maksimalnog smanjenja neovlaštene potrošnje u iznosu od 50% ukupnih netehničkih gubitaka nakon završetka implementacije naprednih mjernih uređaja i sustava za njihovo umrežavanje.</w:t>
      </w:r>
    </w:p>
    <w:tbl>
      <w:tblPr>
        <w:tblStyle w:val="GridTable1Light15"/>
        <w:tblW w:w="5000" w:type="pct"/>
        <w:tblInd w:w="0" w:type="dxa"/>
        <w:tblLook w:val="04A0" w:firstRow="1" w:lastRow="0" w:firstColumn="1" w:lastColumn="0" w:noHBand="0" w:noVBand="1"/>
      </w:tblPr>
      <w:tblGrid>
        <w:gridCol w:w="1575"/>
        <w:gridCol w:w="748"/>
        <w:gridCol w:w="748"/>
        <w:gridCol w:w="748"/>
        <w:gridCol w:w="747"/>
        <w:gridCol w:w="746"/>
        <w:gridCol w:w="746"/>
        <w:gridCol w:w="746"/>
        <w:gridCol w:w="746"/>
        <w:gridCol w:w="746"/>
        <w:gridCol w:w="764"/>
      </w:tblGrid>
      <w:tr w:rsidR="00E870B5" w:rsidRPr="00E870B5" w14:paraId="65D076C7" w14:textId="77777777" w:rsidTr="00E870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single" w:sz="4" w:space="0" w:color="999999"/>
              <w:left w:val="single" w:sz="4" w:space="0" w:color="999999"/>
              <w:right w:val="single" w:sz="4" w:space="0" w:color="999999"/>
            </w:tcBorders>
            <w:noWrap/>
            <w:vAlign w:val="center"/>
            <w:hideMark/>
          </w:tcPr>
          <w:p w14:paraId="04344F3D"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Projekcija gubitaka električne energije s implementacijom naprednih mjernih uređaja i sustava za njihovo umrežavanje, u TWh</w:t>
            </w:r>
          </w:p>
        </w:tc>
      </w:tr>
      <w:tr w:rsidR="00E870B5" w:rsidRPr="00E870B5" w14:paraId="5911C83B"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999999"/>
              <w:left w:val="single" w:sz="4" w:space="0" w:color="999999"/>
              <w:bottom w:val="single" w:sz="4" w:space="0" w:color="999999"/>
              <w:right w:val="single" w:sz="4" w:space="0" w:color="999999"/>
            </w:tcBorders>
            <w:noWrap/>
            <w:vAlign w:val="center"/>
            <w:hideMark/>
          </w:tcPr>
          <w:p w14:paraId="0969A329" w14:textId="77777777" w:rsidR="00E870B5" w:rsidRPr="00223709" w:rsidRDefault="00E870B5" w:rsidP="00E870B5">
            <w:pPr>
              <w:rPr>
                <w:rFonts w:cs="Arial"/>
                <w:i/>
                <w:iCs/>
                <w:sz w:val="16"/>
                <w:szCs w:val="14"/>
              </w:rPr>
            </w:pP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34A520D4"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2021</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3DE9430D"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2022</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38BE21FD"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2023</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712ABFB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2024</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1009193C"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2025</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4819D928"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2026</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22AC9C8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2027</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2FD2448"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2028</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465BE10"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2029</w:t>
            </w:r>
          </w:p>
        </w:tc>
        <w:tc>
          <w:tcPr>
            <w:tcW w:w="420" w:type="pct"/>
            <w:tcBorders>
              <w:top w:val="single" w:sz="4" w:space="0" w:color="999999"/>
              <w:left w:val="single" w:sz="4" w:space="0" w:color="999999"/>
              <w:bottom w:val="single" w:sz="4" w:space="0" w:color="999999"/>
              <w:right w:val="single" w:sz="4" w:space="0" w:color="999999"/>
            </w:tcBorders>
            <w:noWrap/>
            <w:vAlign w:val="center"/>
            <w:hideMark/>
          </w:tcPr>
          <w:p w14:paraId="5E3958D5"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2030</w:t>
            </w:r>
          </w:p>
        </w:tc>
      </w:tr>
      <w:tr w:rsidR="00E870B5" w:rsidRPr="00E870B5" w14:paraId="18102F5E"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999999"/>
              <w:left w:val="single" w:sz="4" w:space="0" w:color="999999"/>
              <w:bottom w:val="single" w:sz="4" w:space="0" w:color="999999"/>
              <w:right w:val="single" w:sz="4" w:space="0" w:color="999999"/>
            </w:tcBorders>
            <w:noWrap/>
            <w:vAlign w:val="center"/>
            <w:hideMark/>
          </w:tcPr>
          <w:p w14:paraId="1A3B6C02"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Tehnički gubici</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74AB43C4"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0,658</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6953BB80"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0,662</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4C4CFCBC"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0,665</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40888CF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0,668</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194C34F"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0,672</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31596E6"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0,675</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7E4AD04A"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0,678</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1725A5D0"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0,682</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1A56EB04"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0,685</w:t>
            </w:r>
          </w:p>
        </w:tc>
        <w:tc>
          <w:tcPr>
            <w:tcW w:w="420" w:type="pct"/>
            <w:tcBorders>
              <w:top w:val="single" w:sz="4" w:space="0" w:color="999999"/>
              <w:left w:val="single" w:sz="4" w:space="0" w:color="999999"/>
              <w:bottom w:val="single" w:sz="4" w:space="0" w:color="999999"/>
              <w:right w:val="single" w:sz="4" w:space="0" w:color="999999"/>
            </w:tcBorders>
            <w:noWrap/>
            <w:vAlign w:val="center"/>
            <w:hideMark/>
          </w:tcPr>
          <w:p w14:paraId="1382B2C0"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0,689</w:t>
            </w:r>
          </w:p>
        </w:tc>
      </w:tr>
      <w:tr w:rsidR="00E870B5" w:rsidRPr="00E870B5" w14:paraId="1996B8F8"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999999"/>
              <w:left w:val="single" w:sz="4" w:space="0" w:color="999999"/>
              <w:bottom w:val="single" w:sz="4" w:space="0" w:color="999999"/>
              <w:right w:val="single" w:sz="4" w:space="0" w:color="999999"/>
            </w:tcBorders>
            <w:noWrap/>
            <w:vAlign w:val="center"/>
            <w:hideMark/>
          </w:tcPr>
          <w:p w14:paraId="3FF5E4CB"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Netehnički gubici</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75709B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0,496</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411BFC95"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0,467</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69B5B0D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0,438</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7A4D808A"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0,409</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0A4931EF"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0,379</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350D64C8"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0,350</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DE02705"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0,321</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7B45C6E6"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0,321</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3EEC6ED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0,321</w:t>
            </w:r>
          </w:p>
        </w:tc>
        <w:tc>
          <w:tcPr>
            <w:tcW w:w="420" w:type="pct"/>
            <w:tcBorders>
              <w:top w:val="single" w:sz="4" w:space="0" w:color="999999"/>
              <w:left w:val="single" w:sz="4" w:space="0" w:color="999999"/>
              <w:bottom w:val="single" w:sz="4" w:space="0" w:color="999999"/>
              <w:right w:val="single" w:sz="4" w:space="0" w:color="999999"/>
            </w:tcBorders>
            <w:noWrap/>
            <w:vAlign w:val="center"/>
            <w:hideMark/>
          </w:tcPr>
          <w:p w14:paraId="0F646581"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0,321</w:t>
            </w:r>
          </w:p>
        </w:tc>
      </w:tr>
      <w:tr w:rsidR="00E870B5" w:rsidRPr="00E870B5" w14:paraId="5D1A95C8" w14:textId="77777777" w:rsidTr="00E870B5">
        <w:trPr>
          <w:trHeight w:val="300"/>
        </w:trPr>
        <w:tc>
          <w:tcPr>
            <w:cnfStyle w:val="001000000000" w:firstRow="0" w:lastRow="0" w:firstColumn="1" w:lastColumn="0" w:oddVBand="0" w:evenVBand="0" w:oddHBand="0" w:evenHBand="0" w:firstRowFirstColumn="0" w:firstRowLastColumn="0" w:lastRowFirstColumn="0" w:lastRowLastColumn="0"/>
            <w:tcW w:w="880" w:type="pct"/>
            <w:tcBorders>
              <w:top w:val="single" w:sz="4" w:space="0" w:color="999999"/>
              <w:left w:val="single" w:sz="4" w:space="0" w:color="999999"/>
              <w:bottom w:val="single" w:sz="4" w:space="0" w:color="999999"/>
              <w:right w:val="single" w:sz="4" w:space="0" w:color="999999"/>
            </w:tcBorders>
            <w:noWrap/>
            <w:vAlign w:val="center"/>
            <w:hideMark/>
          </w:tcPr>
          <w:p w14:paraId="4642B0ED" w14:textId="77777777" w:rsidR="00E870B5" w:rsidRPr="00223709" w:rsidRDefault="00E870B5" w:rsidP="00E870B5">
            <w:pPr>
              <w:suppressAutoHyphens w:val="0"/>
              <w:spacing w:before="0" w:after="0" w:line="240" w:lineRule="auto"/>
              <w:jc w:val="left"/>
              <w:rPr>
                <w:rFonts w:cs="Arial"/>
                <w:i/>
                <w:iCs/>
                <w:sz w:val="16"/>
                <w:szCs w:val="14"/>
              </w:rPr>
            </w:pPr>
            <w:r w:rsidRPr="00223709">
              <w:rPr>
                <w:rFonts w:cs="Arial"/>
                <w:i/>
                <w:iCs/>
                <w:sz w:val="16"/>
                <w:szCs w:val="14"/>
              </w:rPr>
              <w:t>Ukupni gubici</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078A3BBC"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1,154</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D224149"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1,129</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062F6AE2"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1,103</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64242003"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1,077</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58ED10F8"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1,051</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19B0D9EE"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1,025</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30A53F2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0,999</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4E747DC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1,003</w:t>
            </w:r>
          </w:p>
        </w:tc>
        <w:tc>
          <w:tcPr>
            <w:tcW w:w="411" w:type="pct"/>
            <w:tcBorders>
              <w:top w:val="single" w:sz="4" w:space="0" w:color="999999"/>
              <w:left w:val="single" w:sz="4" w:space="0" w:color="999999"/>
              <w:bottom w:val="single" w:sz="4" w:space="0" w:color="999999"/>
              <w:right w:val="single" w:sz="4" w:space="0" w:color="999999"/>
            </w:tcBorders>
            <w:noWrap/>
            <w:vAlign w:val="center"/>
            <w:hideMark/>
          </w:tcPr>
          <w:p w14:paraId="660A277D"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1,006</w:t>
            </w:r>
          </w:p>
        </w:tc>
        <w:tc>
          <w:tcPr>
            <w:tcW w:w="420" w:type="pct"/>
            <w:tcBorders>
              <w:top w:val="single" w:sz="4" w:space="0" w:color="999999"/>
              <w:left w:val="single" w:sz="4" w:space="0" w:color="999999"/>
              <w:bottom w:val="single" w:sz="4" w:space="0" w:color="999999"/>
              <w:right w:val="single" w:sz="4" w:space="0" w:color="999999"/>
            </w:tcBorders>
            <w:noWrap/>
            <w:vAlign w:val="center"/>
            <w:hideMark/>
          </w:tcPr>
          <w:p w14:paraId="2E99CB57" w14:textId="77777777" w:rsidR="00E870B5" w:rsidRPr="00223709" w:rsidRDefault="00E870B5" w:rsidP="00E870B5">
            <w:pPr>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i/>
                <w:iCs/>
                <w:sz w:val="16"/>
                <w:szCs w:val="14"/>
              </w:rPr>
            </w:pPr>
            <w:r w:rsidRPr="00223709">
              <w:rPr>
                <w:rFonts w:cs="Arial"/>
                <w:i/>
                <w:iCs/>
                <w:sz w:val="16"/>
                <w:szCs w:val="14"/>
              </w:rPr>
              <w:t>1,010</w:t>
            </w:r>
          </w:p>
        </w:tc>
      </w:tr>
    </w:tbl>
    <w:p w14:paraId="5FF0F6F1" w14:textId="77777777" w:rsidR="00E870B5" w:rsidRPr="00223709" w:rsidRDefault="00E870B5" w:rsidP="00E870B5">
      <w:pPr>
        <w:suppressAutoHyphens w:val="0"/>
        <w:spacing w:before="0" w:after="0" w:line="240" w:lineRule="auto"/>
        <w:rPr>
          <w:rFonts w:cs="Arial"/>
          <w:color w:val="000000"/>
          <w:lang w:eastAsia="en-GB"/>
        </w:rPr>
      </w:pPr>
      <w:r w:rsidRPr="00223709">
        <w:rPr>
          <w:rFonts w:eastAsia="Calibri" w:cs="Arial"/>
          <w:color w:val="000000"/>
          <w:lang w:eastAsia="en-GB"/>
        </w:rPr>
        <w:t xml:space="preserve">Kumulativne uštede energije u razdoblju 2021.-2030. </w:t>
      </w:r>
      <w:r w:rsidRPr="00223709">
        <w:rPr>
          <w:rFonts w:eastAsia="Calibri" w:cs="Arial"/>
          <w:szCs w:val="18"/>
        </w:rPr>
        <w:t>24,4 ktoe (284 GWh; 1,0 PJ</w:t>
      </w:r>
      <w:r w:rsidRPr="00223709">
        <w:rPr>
          <w:rFonts w:eastAsia="Calibri" w:cs="Arial"/>
          <w:color w:val="000000"/>
          <w:lang w:eastAsia="en-GB"/>
        </w:rPr>
        <w:t>); kumulativno smanjenje emisija CO</w:t>
      </w:r>
      <w:r w:rsidRPr="00223709">
        <w:rPr>
          <w:rFonts w:eastAsia="Calibri" w:cs="Arial"/>
          <w:color w:val="000000"/>
          <w:vertAlign w:val="subscript"/>
          <w:lang w:eastAsia="en-GB"/>
        </w:rPr>
        <w:t>2</w:t>
      </w:r>
      <w:r w:rsidRPr="00223709">
        <w:rPr>
          <w:rFonts w:eastAsia="Calibri" w:cs="Arial"/>
          <w:color w:val="000000"/>
          <w:lang w:eastAsia="en-GB"/>
        </w:rPr>
        <w:t xml:space="preserve"> u razdoblju 2021.-2030. </w:t>
      </w:r>
      <w:r w:rsidRPr="00223709">
        <w:rPr>
          <w:rFonts w:eastAsia="Calibri" w:cs="Arial"/>
          <w:szCs w:val="18"/>
        </w:rPr>
        <w:t xml:space="preserve">32,6 </w:t>
      </w:r>
      <w:r w:rsidRPr="00223709">
        <w:rPr>
          <w:rFonts w:eastAsia="Calibri" w:cs="Arial"/>
          <w:color w:val="000000"/>
          <w:lang w:eastAsia="en-GB"/>
        </w:rPr>
        <w:t>ktCO</w:t>
      </w:r>
      <w:r w:rsidRPr="00223709">
        <w:rPr>
          <w:rFonts w:eastAsia="Calibri" w:cs="Arial"/>
          <w:color w:val="000000"/>
          <w:vertAlign w:val="subscript"/>
          <w:lang w:eastAsia="en-GB"/>
        </w:rPr>
        <w:t>2e</w:t>
      </w:r>
    </w:p>
    <w:p w14:paraId="3A3E5ADC" w14:textId="7894CADA" w:rsidR="00E870B5" w:rsidRPr="00223709" w:rsidRDefault="00E870B5" w:rsidP="00E870B5">
      <w:pPr>
        <w:suppressAutoHyphens w:val="0"/>
        <w:spacing w:before="0" w:after="0" w:line="240" w:lineRule="auto"/>
        <w:rPr>
          <w:rFonts w:cs="Arial"/>
          <w:bCs/>
          <w:color w:val="000000"/>
          <w:lang w:eastAsia="en-GB"/>
        </w:rPr>
      </w:pPr>
      <w:r w:rsidRPr="00223709">
        <w:rPr>
          <w:rFonts w:cs="Arial"/>
          <w:bCs/>
          <w:color w:val="000000"/>
          <w:lang w:eastAsia="en-GB"/>
        </w:rPr>
        <w:t>Procjena ušteda u cijelosti se temelji na pretpostavkama danim u Desetogodišnjem</w:t>
      </w:r>
      <w:r w:rsidR="00E223DA">
        <w:rPr>
          <w:rFonts w:cs="Arial"/>
          <w:bCs/>
          <w:color w:val="000000"/>
          <w:lang w:eastAsia="en-GB"/>
        </w:rPr>
        <w:t xml:space="preserve"> </w:t>
      </w:r>
      <w:r w:rsidRPr="00223709">
        <w:rPr>
          <w:rFonts w:cs="Arial"/>
          <w:bCs/>
          <w:color w:val="000000"/>
          <w:lang w:eastAsia="en-GB"/>
        </w:rPr>
        <w:t>planu</w:t>
      </w:r>
      <w:r w:rsidR="00E223DA">
        <w:rPr>
          <w:rFonts w:cs="Arial"/>
          <w:bCs/>
          <w:color w:val="000000"/>
          <w:lang w:eastAsia="en-GB"/>
        </w:rPr>
        <w:t xml:space="preserve"> </w:t>
      </w:r>
      <w:r w:rsidRPr="00223709">
        <w:rPr>
          <w:rFonts w:cs="Arial"/>
          <w:bCs/>
          <w:color w:val="000000"/>
          <w:lang w:eastAsia="en-GB"/>
        </w:rPr>
        <w:t>razvoja</w:t>
      </w:r>
      <w:r w:rsidR="00E223DA">
        <w:rPr>
          <w:rFonts w:cs="Arial"/>
          <w:bCs/>
          <w:color w:val="000000"/>
          <w:lang w:eastAsia="en-GB"/>
        </w:rPr>
        <w:t xml:space="preserve"> </w:t>
      </w:r>
      <w:r w:rsidRPr="00223709">
        <w:rPr>
          <w:rFonts w:cs="Arial"/>
          <w:bCs/>
          <w:color w:val="000000"/>
          <w:lang w:eastAsia="en-GB"/>
        </w:rPr>
        <w:t>distribucijske</w:t>
      </w:r>
      <w:r w:rsidR="00E223DA">
        <w:rPr>
          <w:rFonts w:cs="Arial"/>
          <w:bCs/>
          <w:color w:val="000000"/>
          <w:lang w:eastAsia="en-GB"/>
        </w:rPr>
        <w:t xml:space="preserve"> </w:t>
      </w:r>
      <w:r w:rsidRPr="00223709">
        <w:rPr>
          <w:rFonts w:cs="Arial"/>
          <w:bCs/>
          <w:color w:val="000000"/>
          <w:lang w:eastAsia="en-GB"/>
        </w:rPr>
        <w:t>mreže za razdoblje</w:t>
      </w:r>
      <w:r w:rsidR="00E223DA">
        <w:rPr>
          <w:rFonts w:cs="Arial"/>
          <w:bCs/>
          <w:color w:val="000000"/>
          <w:lang w:eastAsia="en-GB"/>
        </w:rPr>
        <w:t xml:space="preserve"> </w:t>
      </w:r>
      <w:r w:rsidRPr="00223709">
        <w:rPr>
          <w:rFonts w:cs="Arial"/>
          <w:bCs/>
          <w:color w:val="000000"/>
          <w:lang w:eastAsia="en-GB"/>
        </w:rPr>
        <w:t>2019. – 2028. HEP-ODS-a.</w:t>
      </w:r>
    </w:p>
    <w:p w14:paraId="05308590"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HEP-ODS izrađuje bilancu za prethodnu godinu, u kojoj se posebno iskazuju gubici električne energije.</w:t>
      </w:r>
    </w:p>
    <w:p w14:paraId="31809E69" w14:textId="77777777" w:rsidR="00E870B5" w:rsidRPr="00223709" w:rsidRDefault="00E870B5" w:rsidP="00E870B5">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HEP-Operator distribucijskog sustava izrađuje bilancu za prethodnu godinu, u kojoj se posebno iskazuju gubici električne energije..</w:t>
      </w:r>
    </w:p>
    <w:p w14:paraId="2E49E55B" w14:textId="00B68B52" w:rsidR="00E870B5" w:rsidRPr="00223709" w:rsidRDefault="00E870B5" w:rsidP="00E870B5">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Ulaganja u distribucijsku mrežu izravno utječu na dimenzije energetska sigurnost i unutarnje energetsko tržište, a smanjenjem gubitaka ostvaruju se i ciljevi dekarbonizacije. Napredna mjerenja osnažuju ulogu kupca na energetskom tržištu.</w:t>
      </w:r>
      <w:r w:rsidR="00622DB1">
        <w:rPr>
          <w:rFonts w:cs="Arial"/>
          <w:color w:val="000000"/>
          <w:lang w:eastAsia="en-GB"/>
        </w:rPr>
        <w:t xml:space="preserve"> </w:t>
      </w:r>
    </w:p>
    <w:p w14:paraId="63F0AB46" w14:textId="77777777" w:rsidR="00E870B5" w:rsidRPr="00223709" w:rsidRDefault="00E870B5" w:rsidP="00E870B5">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Pr="00223709">
        <w:rPr>
          <w:rFonts w:cs="Arial"/>
          <w:color w:val="000000"/>
          <w:lang w:eastAsia="en-GB"/>
        </w:rPr>
        <w:t>/</w:t>
      </w:r>
    </w:p>
    <w:p w14:paraId="22E786C1" w14:textId="77777777" w:rsidR="00E870B5" w:rsidRPr="00223709" w:rsidRDefault="00E870B5" w:rsidP="00E870B5">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xml:space="preserve">: mjera za sobom povlači istraživanje i razvoj </w:t>
      </w:r>
      <w:r w:rsidRPr="00223709">
        <w:rPr>
          <w:rFonts w:eastAsia="Calibri" w:cs="Arial"/>
          <w:color w:val="000000"/>
        </w:rPr>
        <w:t>razvojem novih i energetski učinkovitijih tehnologija vezanih uz distribucijski sustav (elektroenergetska oprema), njegovo vođenje (informacijsko-komunikacijske tehnologije za napredne mreže i napredno mjerenje).</w:t>
      </w:r>
    </w:p>
    <w:p w14:paraId="4FA8B30F" w14:textId="77D6DAA3" w:rsidR="0091416F" w:rsidRPr="0091416F" w:rsidRDefault="0091416F" w:rsidP="00223709">
      <w:pPr>
        <w:widowControl w:val="0"/>
        <w:ind w:firstLine="720"/>
        <w:rPr>
          <w:rFonts w:cstheme="minorHAnsi"/>
        </w:rPr>
      </w:pPr>
    </w:p>
    <w:p w14:paraId="0D77254D" w14:textId="47A56E05" w:rsidR="00E870B5" w:rsidRPr="00286B4C" w:rsidRDefault="00184324" w:rsidP="00286B4C">
      <w:pPr>
        <w:pStyle w:val="NormalWeb"/>
        <w:spacing w:after="120" w:line="288" w:lineRule="auto"/>
        <w:jc w:val="both"/>
        <w:rPr>
          <w:rFonts w:cs="Arial"/>
          <w:b/>
          <w:bCs/>
          <w:color w:val="000000"/>
        </w:rPr>
      </w:pPr>
      <w:r>
        <w:rPr>
          <w:rFonts w:ascii="Arial" w:hAnsi="Arial" w:cs="Arial"/>
          <w:b/>
          <w:bCs/>
          <w:color w:val="000000"/>
          <w:sz w:val="22"/>
          <w:szCs w:val="22"/>
        </w:rPr>
        <w:t>ENU-17</w:t>
      </w:r>
      <w:r w:rsidR="00C70AEA" w:rsidRPr="00286B4C">
        <w:rPr>
          <w:rFonts w:ascii="Arial" w:hAnsi="Arial" w:cs="Arial"/>
          <w:b/>
          <w:bCs/>
          <w:color w:val="000000"/>
          <w:sz w:val="22"/>
          <w:szCs w:val="22"/>
        </w:rPr>
        <w:t>: Povećanje učinkovitosti sustava toplinarstva</w:t>
      </w:r>
    </w:p>
    <w:p w14:paraId="2E3BA032" w14:textId="77777777" w:rsidR="00EC160F" w:rsidRPr="00286B4C" w:rsidRDefault="00EC160F" w:rsidP="00286B4C">
      <w:pPr>
        <w:pStyle w:val="NormalWeb"/>
        <w:spacing w:after="120" w:line="288" w:lineRule="auto"/>
        <w:jc w:val="both"/>
        <w:rPr>
          <w:rFonts w:cs="Arial"/>
          <w:b/>
          <w:bCs/>
          <w:color w:val="000000"/>
        </w:rPr>
      </w:pPr>
      <w:r w:rsidRPr="00286B4C">
        <w:rPr>
          <w:rFonts w:ascii="Arial" w:hAnsi="Arial" w:cs="Arial"/>
          <w:b/>
          <w:bCs/>
          <w:color w:val="000000"/>
          <w:sz w:val="22"/>
          <w:szCs w:val="22"/>
        </w:rPr>
        <w:t xml:space="preserve">Financijska i organizacijska mjera; provedba 2021.-2030. </w:t>
      </w:r>
    </w:p>
    <w:p w14:paraId="271E5F4C" w14:textId="6C1F8D0C" w:rsidR="00EC160F" w:rsidRPr="00223709" w:rsidRDefault="00EC160F" w:rsidP="00EC160F">
      <w:pPr>
        <w:suppressAutoHyphens w:val="0"/>
        <w:spacing w:before="0" w:after="0" w:line="240" w:lineRule="auto"/>
        <w:rPr>
          <w:rFonts w:cs="Arial"/>
          <w:color w:val="000000"/>
          <w:lang w:eastAsia="en-GB"/>
        </w:rPr>
      </w:pPr>
      <w:r w:rsidRPr="00223709">
        <w:rPr>
          <w:rFonts w:cs="Arial"/>
          <w:b/>
          <w:bCs/>
          <w:color w:val="000000"/>
          <w:lang w:eastAsia="en-GB"/>
        </w:rPr>
        <w:t>Cilj i opis mjere:</w:t>
      </w:r>
      <w:r w:rsidRPr="00223709">
        <w:rPr>
          <w:rFonts w:cs="Arial"/>
          <w:color w:val="000000"/>
          <w:lang w:eastAsia="en-GB"/>
        </w:rPr>
        <w:t xml:space="preserve"> U postojećim velikim centraliziranim toplinskim sustavima veliki izvor gubitaka je dotrajala </w:t>
      </w:r>
      <w:r w:rsidR="00F04E3B" w:rsidRPr="00F04E3B">
        <w:rPr>
          <w:rFonts w:cs="Arial"/>
          <w:color w:val="000000"/>
          <w:lang w:eastAsia="en-GB"/>
        </w:rPr>
        <w:t xml:space="preserve">distribucijska </w:t>
      </w:r>
      <w:r w:rsidRPr="00223709">
        <w:rPr>
          <w:rFonts w:cs="Arial"/>
          <w:color w:val="000000"/>
          <w:lang w:eastAsia="en-GB"/>
        </w:rPr>
        <w:t>mreža te se ovom mjerom predviđa nastavak zamjene vrelovoda i parovoda s dotrajalom izolacijom čeličnih cjevovoda novim predizoliranim cijevima</w:t>
      </w:r>
      <w:r w:rsidR="00F04E3B" w:rsidRPr="00F04E3B">
        <w:rPr>
          <w:rFonts w:cs="Arial"/>
          <w:color w:val="000000"/>
          <w:lang w:eastAsia="en-GB"/>
        </w:rPr>
        <w:t xml:space="preserve"> i tehnološki pomak k </w:t>
      </w:r>
      <w:r w:rsidR="00F04E3B">
        <w:rPr>
          <w:rFonts w:cs="Arial"/>
          <w:color w:val="000000"/>
          <w:lang w:eastAsia="en-GB"/>
        </w:rPr>
        <w:t>č</w:t>
      </w:r>
      <w:r w:rsidR="00F04E3B" w:rsidRPr="00F04E3B">
        <w:rPr>
          <w:rFonts w:cs="Arial"/>
          <w:color w:val="000000"/>
          <w:lang w:eastAsia="en-GB"/>
        </w:rPr>
        <w:t>etvrtoj generaciji daljinskog grijanja. U manjim sustavima s vlastitim kotlovnicama potrebno je omogućiti rekonstrukciju kotlovnica</w:t>
      </w:r>
      <w:r w:rsidR="00FB35C4">
        <w:rPr>
          <w:rFonts w:cs="Arial"/>
          <w:color w:val="000000"/>
          <w:lang w:eastAsia="en-GB"/>
        </w:rPr>
        <w:t>,</w:t>
      </w:r>
      <w:r w:rsidR="00F04E3B" w:rsidRPr="00F04E3B">
        <w:rPr>
          <w:rFonts w:cs="Arial"/>
          <w:color w:val="000000"/>
          <w:lang w:eastAsia="en-GB"/>
        </w:rPr>
        <w:t xml:space="preserve"> poglavito zamjen</w:t>
      </w:r>
      <w:r w:rsidR="00F04E3B">
        <w:rPr>
          <w:rFonts w:cs="Arial"/>
          <w:color w:val="000000"/>
          <w:lang w:eastAsia="en-GB"/>
        </w:rPr>
        <w:t>om</w:t>
      </w:r>
      <w:r w:rsidR="00F04E3B" w:rsidRPr="00F04E3B">
        <w:rPr>
          <w:rFonts w:cs="Arial"/>
          <w:color w:val="000000"/>
          <w:lang w:eastAsia="en-GB"/>
        </w:rPr>
        <w:t xml:space="preserve"> visokoučinkovitim kogeneracijskim sustavima ili sustavima koji koriste dizalice topline. Mjera također predviđa i razvoj novih sustava grijanja i hlađenja, koji koriste visokoučinkovitu kogeneraciju ili obnovljive izvore energije. S obzirom na odredbe </w:t>
      </w:r>
      <w:r w:rsidR="0088427A" w:rsidRPr="0088427A">
        <w:rPr>
          <w:rFonts w:cs="Arial"/>
          <w:color w:val="000000"/>
          <w:lang w:eastAsia="en-GB"/>
        </w:rPr>
        <w:t>Direktive 2018/2002</w:t>
      </w:r>
      <w:r w:rsidR="007201EC">
        <w:rPr>
          <w:rFonts w:cs="Arial"/>
          <w:color w:val="000000"/>
          <w:lang w:eastAsia="en-GB"/>
        </w:rPr>
        <w:t xml:space="preserve"> o energetskoj učinkovitosti</w:t>
      </w:r>
      <w:r w:rsidR="0088427A">
        <w:rPr>
          <w:rFonts w:cs="Arial"/>
          <w:color w:val="000000"/>
          <w:lang w:eastAsia="en-GB"/>
        </w:rPr>
        <w:t>,</w:t>
      </w:r>
      <w:r w:rsidR="00F04E3B" w:rsidRPr="00F04E3B">
        <w:rPr>
          <w:rFonts w:cs="Arial"/>
          <w:color w:val="000000"/>
          <w:lang w:eastAsia="en-GB"/>
        </w:rPr>
        <w:t xml:space="preserve"> a posebice s uvođenjem obaveze individualnog mjerenja na razini krajnjeg potrošača, sustavi daljinskog grijanja su postali sustavi s promjenjivom potražnjom za toplinskom energijom što zaht</w:t>
      </w:r>
      <w:r w:rsidR="00FB35C4">
        <w:rPr>
          <w:rFonts w:cs="Arial"/>
          <w:color w:val="000000"/>
          <w:lang w:eastAsia="en-GB"/>
        </w:rPr>
        <w:t>i</w:t>
      </w:r>
      <w:r w:rsidR="00F04E3B" w:rsidRPr="00F04E3B">
        <w:rPr>
          <w:rFonts w:cs="Arial"/>
          <w:color w:val="000000"/>
          <w:lang w:eastAsia="en-GB"/>
        </w:rPr>
        <w:t xml:space="preserve">jeva </w:t>
      </w:r>
      <w:r w:rsidR="00160C6B">
        <w:rPr>
          <w:rFonts w:cs="Arial"/>
          <w:color w:val="000000"/>
          <w:lang w:eastAsia="en-GB"/>
        </w:rPr>
        <w:t>uvođenje</w:t>
      </w:r>
      <w:r w:rsidR="00F04E3B" w:rsidRPr="00F04E3B">
        <w:rPr>
          <w:rFonts w:cs="Arial"/>
          <w:color w:val="000000"/>
          <w:lang w:eastAsia="en-GB"/>
        </w:rPr>
        <w:t xml:space="preserve"> sustav</w:t>
      </w:r>
      <w:r w:rsidR="00160C6B">
        <w:rPr>
          <w:rFonts w:cs="Arial"/>
          <w:color w:val="000000"/>
          <w:lang w:eastAsia="en-GB"/>
        </w:rPr>
        <w:t>a</w:t>
      </w:r>
      <w:r w:rsidR="00F04E3B" w:rsidRPr="00F04E3B">
        <w:rPr>
          <w:rFonts w:cs="Arial"/>
          <w:color w:val="000000"/>
          <w:lang w:eastAsia="en-GB"/>
        </w:rPr>
        <w:t xml:space="preserve"> </w:t>
      </w:r>
      <w:r w:rsidR="00FB35C4">
        <w:rPr>
          <w:rFonts w:cs="Arial"/>
          <w:color w:val="000000"/>
          <w:lang w:eastAsia="en-GB"/>
        </w:rPr>
        <w:t>naprednog</w:t>
      </w:r>
      <w:r w:rsidR="00F04E3B" w:rsidRPr="00F04E3B">
        <w:rPr>
          <w:rFonts w:cs="Arial"/>
          <w:color w:val="000000"/>
          <w:lang w:eastAsia="en-GB"/>
        </w:rPr>
        <w:t xml:space="preserve"> mjerenja kao dodat</w:t>
      </w:r>
      <w:r w:rsidR="00160C6B">
        <w:rPr>
          <w:rFonts w:cs="Arial"/>
          <w:color w:val="000000"/>
          <w:lang w:eastAsia="en-GB"/>
        </w:rPr>
        <w:t>an</w:t>
      </w:r>
      <w:r w:rsidR="00F04E3B" w:rsidRPr="00F04E3B">
        <w:rPr>
          <w:rFonts w:cs="Arial"/>
          <w:color w:val="000000"/>
          <w:lang w:eastAsia="en-GB"/>
        </w:rPr>
        <w:t xml:space="preserve"> korak integraciji različitih energetskih sustava i povećanju ukupne energetske učinkovi</w:t>
      </w:r>
      <w:r w:rsidR="007E5C17">
        <w:rPr>
          <w:rFonts w:cs="Arial"/>
          <w:color w:val="000000"/>
          <w:lang w:eastAsia="en-GB"/>
        </w:rPr>
        <w:t>to</w:t>
      </w:r>
      <w:r w:rsidR="00F04E3B" w:rsidRPr="00F04E3B">
        <w:rPr>
          <w:rFonts w:cs="Arial"/>
          <w:color w:val="000000"/>
          <w:lang w:eastAsia="en-GB"/>
        </w:rPr>
        <w:t>sti</w:t>
      </w:r>
      <w:r w:rsidRPr="00223709">
        <w:rPr>
          <w:rFonts w:cs="Arial"/>
          <w:color w:val="000000"/>
          <w:lang w:eastAsia="en-GB"/>
        </w:rPr>
        <w:t>.</w:t>
      </w:r>
    </w:p>
    <w:p w14:paraId="533AB38F" w14:textId="77777777" w:rsidR="00EC160F" w:rsidRPr="00223709" w:rsidRDefault="00EC160F" w:rsidP="00EC160F">
      <w:pPr>
        <w:suppressAutoHyphens w:val="0"/>
        <w:spacing w:before="0" w:after="0" w:line="240" w:lineRule="auto"/>
        <w:rPr>
          <w:rFonts w:eastAsia="Calibri" w:cs="Arial"/>
          <w:color w:val="000000"/>
        </w:rPr>
      </w:pPr>
    </w:p>
    <w:p w14:paraId="0E0763B2" w14:textId="77777777" w:rsidR="00EC160F" w:rsidRPr="00223709" w:rsidRDefault="00EC160F" w:rsidP="00EC160F">
      <w:pPr>
        <w:suppressAutoHyphens w:val="0"/>
        <w:spacing w:before="0" w:after="0" w:line="240" w:lineRule="auto"/>
        <w:rPr>
          <w:rFonts w:cs="Arial"/>
          <w:color w:val="000000"/>
          <w:lang w:eastAsia="en-GB"/>
        </w:rPr>
      </w:pPr>
      <w:r w:rsidRPr="00223709">
        <w:rPr>
          <w:rFonts w:cs="Arial"/>
          <w:b/>
          <w:bCs/>
          <w:color w:val="000000"/>
          <w:lang w:eastAsia="en-GB"/>
        </w:rPr>
        <w:t>Aktivnosti:</w:t>
      </w:r>
      <w:r w:rsidRPr="00223709">
        <w:rPr>
          <w:rFonts w:cs="Arial"/>
          <w:color w:val="000000"/>
          <w:lang w:eastAsia="en-GB"/>
        </w:rPr>
        <w:t xml:space="preserve"> U okviru mjere provest će se sljedeće aktivnosti: </w:t>
      </w:r>
    </w:p>
    <w:p w14:paraId="4C8868F9" w14:textId="2A48C224" w:rsidR="00EC160F" w:rsidRPr="00223709" w:rsidRDefault="00EC160F" w:rsidP="00840E2E">
      <w:pPr>
        <w:numPr>
          <w:ilvl w:val="0"/>
          <w:numId w:val="95"/>
        </w:numPr>
        <w:suppressAutoHyphens w:val="0"/>
        <w:spacing w:before="0" w:after="0" w:line="240" w:lineRule="auto"/>
        <w:rPr>
          <w:rFonts w:eastAsia="Calibri" w:cs="Arial"/>
          <w:color w:val="000000"/>
        </w:rPr>
      </w:pPr>
      <w:r w:rsidRPr="00223709">
        <w:rPr>
          <w:rFonts w:eastAsia="Calibri" w:cs="Arial"/>
          <w:color w:val="000000"/>
        </w:rPr>
        <w:t>Priprema dokumentacije za zamjenu dotrajalih distribu</w:t>
      </w:r>
      <w:r w:rsidR="00D52610">
        <w:rPr>
          <w:rFonts w:eastAsia="Calibri" w:cs="Arial"/>
          <w:color w:val="000000"/>
        </w:rPr>
        <w:t>cijsk</w:t>
      </w:r>
      <w:r w:rsidRPr="00223709">
        <w:rPr>
          <w:rFonts w:eastAsia="Calibri" w:cs="Arial"/>
          <w:color w:val="000000"/>
        </w:rPr>
        <w:t>ih sustava</w:t>
      </w:r>
    </w:p>
    <w:p w14:paraId="282FF2F9" w14:textId="0548B02D" w:rsidR="00BC276F" w:rsidRPr="00BC276F" w:rsidRDefault="00EC160F" w:rsidP="00840E2E">
      <w:pPr>
        <w:numPr>
          <w:ilvl w:val="0"/>
          <w:numId w:val="95"/>
        </w:numPr>
        <w:suppressAutoHyphens w:val="0"/>
        <w:spacing w:before="0" w:after="0" w:line="240" w:lineRule="auto"/>
        <w:rPr>
          <w:rFonts w:eastAsia="Calibri" w:cs="Arial"/>
          <w:color w:val="000000"/>
        </w:rPr>
      </w:pPr>
      <w:r w:rsidRPr="00223709">
        <w:rPr>
          <w:rFonts w:eastAsia="Calibri" w:cs="Arial"/>
          <w:color w:val="000000"/>
        </w:rPr>
        <w:t xml:space="preserve">Zamjena </w:t>
      </w:r>
      <w:r w:rsidR="00D52610" w:rsidRPr="00223709">
        <w:rPr>
          <w:rFonts w:eastAsia="Calibri" w:cs="Arial"/>
          <w:color w:val="000000"/>
        </w:rPr>
        <w:t>distribu</w:t>
      </w:r>
      <w:r w:rsidR="00D52610">
        <w:rPr>
          <w:rFonts w:eastAsia="Calibri" w:cs="Arial"/>
          <w:color w:val="000000"/>
        </w:rPr>
        <w:t>cijsk</w:t>
      </w:r>
      <w:r w:rsidR="00D52610" w:rsidRPr="00223709">
        <w:rPr>
          <w:rFonts w:eastAsia="Calibri" w:cs="Arial"/>
          <w:color w:val="000000"/>
        </w:rPr>
        <w:t>ih sustava</w:t>
      </w:r>
      <w:r w:rsidRPr="00223709">
        <w:rPr>
          <w:rFonts w:eastAsia="Calibri" w:cs="Arial"/>
          <w:color w:val="000000"/>
        </w:rPr>
        <w:t xml:space="preserve"> s dotrajalom izolacijom čeličnih cjevovoda novim predizoliranim cijevima </w:t>
      </w:r>
    </w:p>
    <w:p w14:paraId="2F932A35" w14:textId="7FF95AF3" w:rsidR="007549F8" w:rsidRPr="006F3286" w:rsidRDefault="007549F8" w:rsidP="00840E2E">
      <w:pPr>
        <w:numPr>
          <w:ilvl w:val="0"/>
          <w:numId w:val="95"/>
        </w:numPr>
        <w:suppressAutoHyphens w:val="0"/>
        <w:spacing w:before="0" w:after="0" w:line="240" w:lineRule="auto"/>
        <w:rPr>
          <w:rFonts w:eastAsia="Calibri" w:cs="Arial"/>
          <w:color w:val="000000"/>
        </w:rPr>
      </w:pPr>
      <w:r w:rsidRPr="007549F8">
        <w:rPr>
          <w:rFonts w:eastAsia="Calibri" w:cs="Arial"/>
          <w:color w:val="000000"/>
        </w:rPr>
        <w:t xml:space="preserve">Uvođenje </w:t>
      </w:r>
      <w:r>
        <w:rPr>
          <w:rFonts w:eastAsia="Calibri" w:cs="Arial"/>
          <w:color w:val="000000"/>
        </w:rPr>
        <w:t>naprednog mjerenja potrošnje</w:t>
      </w:r>
    </w:p>
    <w:p w14:paraId="5288FE1E" w14:textId="77777777" w:rsidR="00EC160F" w:rsidRPr="00223709" w:rsidRDefault="00EC160F" w:rsidP="00EC160F">
      <w:pPr>
        <w:suppressAutoHyphens w:val="0"/>
        <w:spacing w:before="0" w:after="0" w:line="240" w:lineRule="auto"/>
        <w:ind w:left="720"/>
        <w:rPr>
          <w:rFonts w:eastAsia="Calibri" w:cs="Arial"/>
          <w:color w:val="000000"/>
        </w:rPr>
      </w:pPr>
    </w:p>
    <w:p w14:paraId="6C899F8F" w14:textId="77777777" w:rsidR="00EC160F" w:rsidRPr="00223709" w:rsidRDefault="00EC160F" w:rsidP="00EC160F">
      <w:pPr>
        <w:suppressAutoHyphens w:val="0"/>
        <w:spacing w:before="0" w:after="0" w:line="240" w:lineRule="auto"/>
        <w:rPr>
          <w:rFonts w:cs="Arial"/>
          <w:b/>
          <w:bCs/>
          <w:color w:val="000000"/>
          <w:lang w:eastAsia="en-GB"/>
        </w:rPr>
      </w:pPr>
      <w:r w:rsidRPr="00223709">
        <w:rPr>
          <w:rFonts w:cs="Arial"/>
          <w:b/>
          <w:bCs/>
          <w:color w:val="000000"/>
          <w:lang w:eastAsia="en-GB"/>
        </w:rPr>
        <w:t xml:space="preserve">Sredstva potrebna za provedbu: </w:t>
      </w:r>
      <w:r w:rsidRPr="00223709">
        <w:rPr>
          <w:rFonts w:cs="Arial"/>
          <w:color w:val="000000"/>
          <w:lang w:eastAsia="en-GB"/>
        </w:rPr>
        <w:t>Procjena sredstava tek se treba napraviti prema planovima operatora CTS-a</w:t>
      </w:r>
    </w:p>
    <w:p w14:paraId="76BB28E8" w14:textId="77777777" w:rsidR="00EC160F" w:rsidRPr="00223709" w:rsidRDefault="00EC160F" w:rsidP="00EC160F">
      <w:pPr>
        <w:suppressAutoHyphens w:val="0"/>
        <w:spacing w:before="0" w:after="0" w:line="240" w:lineRule="auto"/>
        <w:rPr>
          <w:rFonts w:eastAsia="Calibri" w:cs="Arial"/>
          <w:color w:val="000000"/>
        </w:rPr>
      </w:pPr>
      <w:r w:rsidRPr="00223709">
        <w:rPr>
          <w:rFonts w:cs="Arial"/>
          <w:b/>
          <w:bCs/>
          <w:color w:val="000000"/>
          <w:lang w:eastAsia="en-GB"/>
        </w:rPr>
        <w:t xml:space="preserve">Izvori financiranja: </w:t>
      </w:r>
      <w:r w:rsidRPr="00223709">
        <w:rPr>
          <w:rFonts w:cs="Arial"/>
          <w:color w:val="000000"/>
          <w:lang w:eastAsia="en-GB"/>
        </w:rPr>
        <w:t>Operatori CTS-a, ESI fondovi</w:t>
      </w:r>
    </w:p>
    <w:p w14:paraId="051D4525" w14:textId="0B5E5C17" w:rsidR="00EC160F" w:rsidRPr="00223709" w:rsidRDefault="00EC160F" w:rsidP="00EC160F">
      <w:pPr>
        <w:suppressAutoHyphens w:val="0"/>
        <w:spacing w:before="0" w:after="0" w:line="240" w:lineRule="auto"/>
        <w:rPr>
          <w:rFonts w:cs="Arial"/>
          <w:color w:val="000000"/>
          <w:lang w:eastAsia="en-GB"/>
        </w:rPr>
      </w:pPr>
      <w:r w:rsidRPr="00223709">
        <w:rPr>
          <w:rFonts w:cs="Arial"/>
          <w:b/>
          <w:bCs/>
          <w:color w:val="000000"/>
          <w:lang w:eastAsia="en-GB"/>
        </w:rPr>
        <w:t>Izvršno tijelo:</w:t>
      </w:r>
      <w:r w:rsidRPr="00223709">
        <w:rPr>
          <w:rFonts w:cs="Arial"/>
          <w:color w:val="000000"/>
          <w:lang w:eastAsia="en-GB"/>
        </w:rPr>
        <w:t xml:space="preserve"> Proizvođači, distributeri i opskrbljivači toplinskom energijom iz CTS-a</w:t>
      </w:r>
    </w:p>
    <w:p w14:paraId="4EF24F78" w14:textId="77777777" w:rsidR="00EC160F" w:rsidRPr="00223709" w:rsidRDefault="00EC160F" w:rsidP="00EC160F">
      <w:pPr>
        <w:suppressAutoHyphens w:val="0"/>
        <w:spacing w:before="0" w:after="0" w:line="240" w:lineRule="auto"/>
        <w:rPr>
          <w:rFonts w:eastAsia="Calibri" w:cs="Arial"/>
          <w:color w:val="000000"/>
        </w:rPr>
      </w:pPr>
      <w:r w:rsidRPr="00223709">
        <w:rPr>
          <w:rFonts w:cs="Arial"/>
          <w:b/>
          <w:bCs/>
          <w:color w:val="000000"/>
          <w:lang w:eastAsia="en-GB"/>
        </w:rPr>
        <w:t>Tijela za praćenje (nadzor):</w:t>
      </w:r>
      <w:r w:rsidRPr="00223709">
        <w:rPr>
          <w:rFonts w:cs="Arial"/>
          <w:color w:val="000000"/>
          <w:lang w:eastAsia="en-GB"/>
        </w:rPr>
        <w:t xml:space="preserve"> MZOE-NKT</w:t>
      </w:r>
    </w:p>
    <w:p w14:paraId="40DF7CD2" w14:textId="77777777" w:rsidR="00EC160F" w:rsidRPr="00223709" w:rsidRDefault="00EC160F" w:rsidP="00EC160F">
      <w:pPr>
        <w:suppressAutoHyphens w:val="0"/>
        <w:spacing w:before="0" w:after="0" w:line="240" w:lineRule="auto"/>
        <w:rPr>
          <w:rFonts w:cs="Arial"/>
          <w:color w:val="000000"/>
          <w:lang w:eastAsia="en-GB"/>
        </w:rPr>
      </w:pPr>
      <w:r w:rsidRPr="00223709">
        <w:rPr>
          <w:rFonts w:cs="Arial"/>
          <w:b/>
          <w:bCs/>
          <w:color w:val="000000"/>
          <w:lang w:eastAsia="en-GB"/>
        </w:rPr>
        <w:t xml:space="preserve">Učinak: </w:t>
      </w:r>
      <w:r w:rsidRPr="00223709">
        <w:rPr>
          <w:rFonts w:cs="Arial"/>
          <w:color w:val="000000"/>
          <w:lang w:eastAsia="en-GB"/>
        </w:rPr>
        <w:t>Smanjenje gubitaka u CTS-ima</w:t>
      </w:r>
    </w:p>
    <w:p w14:paraId="58C4500A" w14:textId="3DFFA7DC" w:rsidR="00EC160F" w:rsidRPr="00223709" w:rsidRDefault="00EC160F" w:rsidP="00EC160F">
      <w:pPr>
        <w:suppressAutoHyphens w:val="0"/>
        <w:spacing w:before="0" w:after="0" w:line="240" w:lineRule="auto"/>
        <w:rPr>
          <w:rFonts w:cs="Arial"/>
          <w:color w:val="000000"/>
          <w:lang w:eastAsia="en-GB"/>
        </w:rPr>
      </w:pPr>
      <w:r w:rsidRPr="00223709">
        <w:rPr>
          <w:rFonts w:cs="Arial"/>
          <w:b/>
          <w:bCs/>
          <w:color w:val="000000"/>
          <w:lang w:eastAsia="en-GB"/>
        </w:rPr>
        <w:t>Metoda praćenja:</w:t>
      </w:r>
      <w:r w:rsidRPr="00223709">
        <w:rPr>
          <w:rFonts w:cs="Arial"/>
          <w:color w:val="000000"/>
          <w:lang w:eastAsia="en-GB"/>
        </w:rPr>
        <w:t xml:space="preserve"> Praćenje učinaka ove mjere ostvaruje se </w:t>
      </w:r>
      <w:r w:rsidR="00CE5980">
        <w:rPr>
          <w:rFonts w:cs="Arial"/>
          <w:color w:val="000000"/>
          <w:lang w:eastAsia="en-GB"/>
        </w:rPr>
        <w:t>na temelju</w:t>
      </w:r>
      <w:r w:rsidR="00CE5980" w:rsidRPr="00223709">
        <w:rPr>
          <w:rFonts w:cs="Arial"/>
          <w:color w:val="000000"/>
          <w:lang w:eastAsia="en-GB"/>
        </w:rPr>
        <w:t xml:space="preserve"> </w:t>
      </w:r>
      <w:r w:rsidRPr="00223709">
        <w:rPr>
          <w:rFonts w:cs="Arial"/>
          <w:color w:val="000000"/>
          <w:lang w:eastAsia="en-GB"/>
        </w:rPr>
        <w:t xml:space="preserve">podataka distributera toplinske energije o gubitcima prije i poslije primjene mjera. </w:t>
      </w:r>
    </w:p>
    <w:p w14:paraId="7E3F81F8" w14:textId="735B14F4" w:rsidR="00EC160F" w:rsidRPr="00223709" w:rsidRDefault="00EC160F" w:rsidP="00EC160F">
      <w:pPr>
        <w:suppressAutoHyphens w:val="0"/>
        <w:spacing w:before="0" w:after="0" w:line="240" w:lineRule="auto"/>
        <w:rPr>
          <w:rFonts w:eastAsia="Calibri" w:cs="Arial"/>
          <w:color w:val="000000"/>
        </w:rPr>
      </w:pPr>
      <w:r w:rsidRPr="00223709">
        <w:rPr>
          <w:rFonts w:cs="Arial"/>
          <w:b/>
          <w:bCs/>
          <w:color w:val="000000"/>
          <w:lang w:eastAsia="en-GB"/>
        </w:rPr>
        <w:t xml:space="preserve">Povezanost s drugim dimenzijama: </w:t>
      </w:r>
      <w:r w:rsidRPr="00223709">
        <w:rPr>
          <w:rFonts w:cs="Arial"/>
          <w:color w:val="000000"/>
          <w:lang w:eastAsia="en-GB"/>
        </w:rPr>
        <w:t>dekarbonizacij</w:t>
      </w:r>
      <w:r w:rsidR="00DB3CA4">
        <w:rPr>
          <w:rFonts w:cs="Arial"/>
          <w:color w:val="000000"/>
          <w:lang w:eastAsia="en-GB"/>
        </w:rPr>
        <w:t>a, energetska sigurnost,</w:t>
      </w:r>
      <w:r w:rsidR="009B74C9">
        <w:rPr>
          <w:rFonts w:cs="Arial"/>
          <w:color w:val="000000"/>
          <w:lang w:eastAsia="en-GB"/>
        </w:rPr>
        <w:t xml:space="preserve"> energetska tržišta</w:t>
      </w:r>
    </w:p>
    <w:p w14:paraId="656A0E56" w14:textId="25AFDDC7" w:rsidR="00EC160F" w:rsidRPr="00223709" w:rsidRDefault="00EC160F" w:rsidP="00EC160F">
      <w:pPr>
        <w:suppressAutoHyphens w:val="0"/>
        <w:spacing w:before="0" w:after="0" w:line="240" w:lineRule="auto"/>
        <w:rPr>
          <w:rFonts w:eastAsia="Calibri" w:cs="Arial"/>
          <w:color w:val="000000"/>
        </w:rPr>
      </w:pPr>
      <w:r w:rsidRPr="00223709">
        <w:rPr>
          <w:rFonts w:cs="Arial"/>
          <w:b/>
          <w:bCs/>
          <w:color w:val="000000"/>
          <w:lang w:eastAsia="en-GB"/>
        </w:rPr>
        <w:t xml:space="preserve">Povezanost s prilagodbom klimatskim promjenama: </w:t>
      </w:r>
      <w:r w:rsidR="00026810">
        <w:rPr>
          <w:rFonts w:cs="Arial"/>
          <w:color w:val="000000"/>
          <w:lang w:eastAsia="en-GB"/>
        </w:rPr>
        <w:t>Uvažavanje posljedica klimatsk</w:t>
      </w:r>
      <w:r w:rsidR="00943820">
        <w:rPr>
          <w:rFonts w:cs="Arial"/>
          <w:color w:val="000000"/>
          <w:lang w:eastAsia="en-GB"/>
        </w:rPr>
        <w:t>i</w:t>
      </w:r>
      <w:r w:rsidR="00026810">
        <w:rPr>
          <w:rFonts w:cs="Arial"/>
          <w:color w:val="000000"/>
          <w:lang w:eastAsia="en-GB"/>
        </w:rPr>
        <w:t>h promjena u planiranju infrastrukture</w:t>
      </w:r>
      <w:r w:rsidR="00026810" w:rsidRPr="00223709" w:rsidDel="00026810">
        <w:rPr>
          <w:rFonts w:cs="Arial"/>
          <w:color w:val="000000"/>
          <w:lang w:eastAsia="en-GB"/>
        </w:rPr>
        <w:t xml:space="preserve"> </w:t>
      </w:r>
    </w:p>
    <w:p w14:paraId="30B4F433" w14:textId="585F2DEE" w:rsidR="00EC160F" w:rsidRPr="00223709" w:rsidRDefault="00EC160F" w:rsidP="00EC160F">
      <w:pPr>
        <w:suppressAutoHyphens w:val="0"/>
        <w:spacing w:before="0" w:after="0" w:line="240" w:lineRule="auto"/>
        <w:rPr>
          <w:rFonts w:eastAsia="Calibri" w:cs="Arial"/>
        </w:rPr>
      </w:pPr>
      <w:r w:rsidRPr="00223709">
        <w:rPr>
          <w:rFonts w:cs="Arial"/>
          <w:b/>
          <w:bCs/>
          <w:color w:val="000000"/>
          <w:lang w:eastAsia="en-GB"/>
        </w:rPr>
        <w:t>Istraživanje i razvoj</w:t>
      </w:r>
      <w:r w:rsidRPr="00223709">
        <w:rPr>
          <w:rFonts w:cs="Arial"/>
          <w:color w:val="000000"/>
          <w:lang w:eastAsia="en-GB"/>
        </w:rPr>
        <w:t xml:space="preserve">: </w:t>
      </w:r>
      <w:r w:rsidR="00351FA5">
        <w:rPr>
          <w:rFonts w:cs="Arial"/>
          <w:color w:val="000000"/>
          <w:lang w:eastAsia="en-GB"/>
        </w:rPr>
        <w:t xml:space="preserve">Tranzicija k četvrtoj i petoj generaciji </w:t>
      </w:r>
      <w:r w:rsidR="001B5FDF">
        <w:rPr>
          <w:rFonts w:cs="Arial"/>
          <w:color w:val="000000"/>
          <w:lang w:eastAsia="en-GB"/>
        </w:rPr>
        <w:t>daljinskog grijanja i hlađenja; pohrana energije; fleksibilnost energetskih sustava</w:t>
      </w:r>
    </w:p>
    <w:p w14:paraId="6C3FC056" w14:textId="459D8385" w:rsidR="00B57716" w:rsidRPr="00286B4C" w:rsidRDefault="00184324" w:rsidP="00286B4C">
      <w:pPr>
        <w:pStyle w:val="NormalWeb"/>
        <w:spacing w:after="120" w:line="288" w:lineRule="auto"/>
        <w:jc w:val="both"/>
        <w:rPr>
          <w:rFonts w:ascii="Arial" w:hAnsi="Arial" w:cs="Arial"/>
          <w:b/>
          <w:bCs/>
          <w:color w:val="000000"/>
          <w:sz w:val="22"/>
          <w:szCs w:val="22"/>
        </w:rPr>
      </w:pPr>
      <w:r>
        <w:rPr>
          <w:rFonts w:ascii="Arial" w:hAnsi="Arial" w:cs="Arial"/>
          <w:b/>
          <w:bCs/>
          <w:color w:val="000000"/>
          <w:sz w:val="22"/>
          <w:szCs w:val="22"/>
        </w:rPr>
        <w:t>ENU-18</w:t>
      </w:r>
      <w:r w:rsidR="00B57716" w:rsidRPr="00286B4C">
        <w:rPr>
          <w:rFonts w:ascii="Arial" w:hAnsi="Arial" w:cs="Arial"/>
          <w:b/>
          <w:bCs/>
          <w:color w:val="000000"/>
          <w:sz w:val="22"/>
          <w:szCs w:val="22"/>
        </w:rPr>
        <w:t xml:space="preserve"> Povećanje učinkovitosti plinskog sustava </w:t>
      </w:r>
    </w:p>
    <w:p w14:paraId="64C29F52" w14:textId="77777777" w:rsidR="00B57716" w:rsidRPr="00286B4C" w:rsidRDefault="00B57716" w:rsidP="00286B4C">
      <w:pPr>
        <w:pStyle w:val="NormalWeb"/>
        <w:spacing w:after="120" w:line="288" w:lineRule="auto"/>
        <w:jc w:val="both"/>
        <w:rPr>
          <w:rFonts w:ascii="Arial" w:hAnsi="Arial" w:cs="Arial"/>
          <w:b/>
          <w:bCs/>
          <w:color w:val="000000"/>
          <w:sz w:val="22"/>
          <w:szCs w:val="22"/>
        </w:rPr>
      </w:pPr>
      <w:r w:rsidRPr="00286B4C">
        <w:rPr>
          <w:rFonts w:ascii="Arial" w:hAnsi="Arial" w:cs="Arial"/>
          <w:b/>
          <w:bCs/>
          <w:color w:val="000000"/>
          <w:sz w:val="22"/>
          <w:szCs w:val="22"/>
        </w:rPr>
        <w:t xml:space="preserve">Financijska i organizacijska mjera; provedba 2021.-2030. </w:t>
      </w:r>
    </w:p>
    <w:p w14:paraId="203F4B66" w14:textId="220231AB" w:rsidR="00B57716" w:rsidRPr="00223709" w:rsidRDefault="00B57716" w:rsidP="00286B4C">
      <w:pPr>
        <w:pStyle w:val="NormalWeb"/>
        <w:spacing w:before="120" w:beforeAutospacing="0"/>
        <w:jc w:val="both"/>
        <w:rPr>
          <w:rFonts w:ascii="Arial" w:hAnsi="Arial" w:cs="Arial"/>
          <w:color w:val="000000"/>
          <w:sz w:val="22"/>
          <w:szCs w:val="22"/>
          <w:lang w:eastAsia="en-GB"/>
        </w:rPr>
      </w:pPr>
      <w:r w:rsidRPr="00223709">
        <w:rPr>
          <w:rFonts w:ascii="Arial" w:hAnsi="Arial" w:cs="Arial"/>
          <w:b/>
          <w:bCs/>
          <w:color w:val="000000"/>
          <w:sz w:val="22"/>
          <w:szCs w:val="22"/>
          <w:lang w:eastAsia="en-GB"/>
        </w:rPr>
        <w:t>Cilj i opis mjere:</w:t>
      </w:r>
      <w:r w:rsidRPr="00223709">
        <w:rPr>
          <w:rFonts w:ascii="Arial" w:hAnsi="Arial" w:cs="Arial"/>
          <w:color w:val="000000"/>
          <w:sz w:val="22"/>
          <w:szCs w:val="22"/>
          <w:lang w:eastAsia="en-GB"/>
        </w:rPr>
        <w:t xml:space="preserve"> Potencijal za povećanje energetske učinkovitosti transportnog plinskog sustava najveći je u potrošnji prirodnog plina, koji se najvećim dijelom (70%) troši za predgrijavanje prirodnog plina prije</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isporuke</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korisnicima,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samo</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manjim</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dijelom</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(30%)</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za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grijanje</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poslovnih</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prostorija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i različita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tehnološka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rasterećenja,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odnosno</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ispuhivanje</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sustava.</w:t>
      </w:r>
      <w:r w:rsidR="00E223DA">
        <w:rPr>
          <w:rFonts w:ascii="Arial" w:hAnsi="Arial" w:cs="Arial"/>
          <w:color w:val="000000"/>
          <w:sz w:val="22"/>
          <w:szCs w:val="22"/>
          <w:lang w:eastAsia="en-GB"/>
        </w:rPr>
        <w:t xml:space="preserve"> </w:t>
      </w:r>
      <w:r w:rsidRPr="00223709">
        <w:rPr>
          <w:rFonts w:ascii="Arial" w:hAnsi="Arial" w:cs="Arial"/>
          <w:color w:val="000000"/>
          <w:sz w:val="22"/>
          <w:szCs w:val="22"/>
          <w:lang w:eastAsia="en-GB"/>
        </w:rPr>
        <w:t xml:space="preserve">Plinacro će u narednom razdoblju provoditi aktivnosti za poboljšanje energetske učinkovitosti sukladno Desetogodišnjem planu </w:t>
      </w:r>
      <w:r w:rsidR="00E33A27">
        <w:rPr>
          <w:rFonts w:ascii="Arial" w:hAnsi="Arial" w:cs="Arial"/>
          <w:color w:val="000000"/>
          <w:sz w:val="22"/>
          <w:szCs w:val="22"/>
          <w:lang w:eastAsia="en-GB"/>
        </w:rPr>
        <w:t>razvoja</w:t>
      </w:r>
      <w:r w:rsidR="00E33A27" w:rsidRPr="00223709">
        <w:rPr>
          <w:rFonts w:ascii="Arial" w:hAnsi="Arial" w:cs="Arial"/>
          <w:color w:val="000000"/>
          <w:sz w:val="22"/>
          <w:szCs w:val="22"/>
          <w:lang w:eastAsia="en-GB"/>
        </w:rPr>
        <w:t xml:space="preserve"> </w:t>
      </w:r>
      <w:r w:rsidRPr="00223709">
        <w:rPr>
          <w:rFonts w:ascii="Arial" w:hAnsi="Arial" w:cs="Arial"/>
          <w:color w:val="000000"/>
          <w:sz w:val="22"/>
          <w:szCs w:val="22"/>
          <w:lang w:eastAsia="en-GB"/>
        </w:rPr>
        <w:t>plinskog transportnog sustava RH 2018. -2027.</w:t>
      </w:r>
    </w:p>
    <w:p w14:paraId="1DB0577A" w14:textId="77777777" w:rsidR="00B57716" w:rsidRPr="00223709" w:rsidRDefault="00B57716" w:rsidP="00223709">
      <w:pPr>
        <w:pStyle w:val="NormalWeb"/>
        <w:spacing w:after="0" w:afterAutospacing="0"/>
        <w:jc w:val="both"/>
        <w:rPr>
          <w:rFonts w:ascii="Arial" w:hAnsi="Arial" w:cs="Arial"/>
          <w:color w:val="000000"/>
          <w:sz w:val="22"/>
          <w:szCs w:val="22"/>
          <w:lang w:eastAsia="en-GB"/>
        </w:rPr>
      </w:pPr>
      <w:r w:rsidRPr="00223709">
        <w:rPr>
          <w:rFonts w:ascii="Arial" w:hAnsi="Arial" w:cs="Arial"/>
          <w:b/>
          <w:bCs/>
          <w:color w:val="000000"/>
          <w:sz w:val="22"/>
          <w:szCs w:val="22"/>
          <w:lang w:eastAsia="en-GB"/>
        </w:rPr>
        <w:t>Aktivnosti:</w:t>
      </w:r>
      <w:r w:rsidRPr="00223709">
        <w:rPr>
          <w:rFonts w:ascii="Arial" w:hAnsi="Arial" w:cs="Arial"/>
          <w:color w:val="000000"/>
          <w:sz w:val="22"/>
          <w:szCs w:val="22"/>
          <w:lang w:eastAsia="en-GB"/>
        </w:rPr>
        <w:t xml:space="preserve"> U okviru mjere provest će se sljedeće aktivnosti: </w:t>
      </w:r>
    </w:p>
    <w:p w14:paraId="11189DB1" w14:textId="31527248" w:rsidR="00B57716" w:rsidRPr="00223709" w:rsidRDefault="00B57716" w:rsidP="00840E2E">
      <w:pPr>
        <w:pStyle w:val="NormalWeb"/>
        <w:numPr>
          <w:ilvl w:val="0"/>
          <w:numId w:val="99"/>
        </w:numPr>
        <w:spacing w:before="0" w:beforeAutospacing="0" w:after="0" w:afterAutospacing="0"/>
        <w:jc w:val="both"/>
        <w:rPr>
          <w:rFonts w:ascii="Arial" w:eastAsiaTheme="minorHAnsi" w:hAnsi="Arial" w:cs="Arial"/>
          <w:color w:val="000000"/>
          <w:sz w:val="22"/>
          <w:szCs w:val="22"/>
        </w:rPr>
      </w:pPr>
      <w:r w:rsidRPr="00223709">
        <w:rPr>
          <w:rFonts w:ascii="Arial" w:hAnsi="Arial" w:cs="Arial"/>
          <w:color w:val="000000"/>
          <w:sz w:val="22"/>
          <w:szCs w:val="22"/>
        </w:rPr>
        <w:t>Redukcija</w:t>
      </w:r>
      <w:r w:rsidR="00E223DA">
        <w:rPr>
          <w:rFonts w:ascii="Arial" w:hAnsi="Arial" w:cs="Arial"/>
          <w:color w:val="000000"/>
          <w:sz w:val="22"/>
          <w:szCs w:val="22"/>
        </w:rPr>
        <w:t xml:space="preserve"> </w:t>
      </w:r>
      <w:r w:rsidRPr="00223709">
        <w:rPr>
          <w:rFonts w:ascii="Arial" w:hAnsi="Arial" w:cs="Arial"/>
          <w:color w:val="000000"/>
          <w:sz w:val="22"/>
          <w:szCs w:val="22"/>
        </w:rPr>
        <w:t>tlaka,</w:t>
      </w:r>
      <w:r w:rsidR="00E223DA">
        <w:rPr>
          <w:rFonts w:ascii="Arial" w:hAnsi="Arial" w:cs="Arial"/>
          <w:color w:val="000000"/>
          <w:sz w:val="22"/>
          <w:szCs w:val="22"/>
        </w:rPr>
        <w:t xml:space="preserve"> </w:t>
      </w:r>
      <w:r w:rsidRPr="00223709">
        <w:rPr>
          <w:rFonts w:ascii="Arial" w:hAnsi="Arial" w:cs="Arial"/>
          <w:color w:val="000000"/>
          <w:sz w:val="22"/>
          <w:szCs w:val="22"/>
        </w:rPr>
        <w:t>s</w:t>
      </w:r>
      <w:r w:rsidR="00E223DA">
        <w:rPr>
          <w:rFonts w:ascii="Arial" w:hAnsi="Arial" w:cs="Arial"/>
          <w:color w:val="000000"/>
          <w:sz w:val="22"/>
          <w:szCs w:val="22"/>
        </w:rPr>
        <w:t xml:space="preserve"> </w:t>
      </w:r>
      <w:r w:rsidRPr="00223709">
        <w:rPr>
          <w:rFonts w:ascii="Arial" w:hAnsi="Arial" w:cs="Arial"/>
          <w:color w:val="000000"/>
          <w:sz w:val="22"/>
          <w:szCs w:val="22"/>
        </w:rPr>
        <w:t>tlaka transportnog</w:t>
      </w:r>
      <w:r w:rsidR="00E223DA">
        <w:rPr>
          <w:rFonts w:ascii="Arial" w:hAnsi="Arial" w:cs="Arial"/>
          <w:color w:val="000000"/>
          <w:sz w:val="22"/>
          <w:szCs w:val="22"/>
        </w:rPr>
        <w:t xml:space="preserve"> </w:t>
      </w:r>
      <w:r w:rsidRPr="00223709">
        <w:rPr>
          <w:rFonts w:ascii="Arial" w:hAnsi="Arial" w:cs="Arial"/>
          <w:color w:val="000000"/>
          <w:sz w:val="22"/>
          <w:szCs w:val="22"/>
        </w:rPr>
        <w:t>sustava</w:t>
      </w:r>
      <w:r w:rsidR="00E223DA">
        <w:rPr>
          <w:rFonts w:ascii="Arial" w:hAnsi="Arial" w:cs="Arial"/>
          <w:color w:val="000000"/>
          <w:sz w:val="22"/>
          <w:szCs w:val="22"/>
        </w:rPr>
        <w:t xml:space="preserve"> </w:t>
      </w:r>
      <w:r w:rsidRPr="00223709">
        <w:rPr>
          <w:rFonts w:ascii="Arial" w:hAnsi="Arial" w:cs="Arial"/>
          <w:color w:val="000000"/>
          <w:sz w:val="22"/>
          <w:szCs w:val="22"/>
        </w:rPr>
        <w:t>na</w:t>
      </w:r>
      <w:r w:rsidR="00E223DA">
        <w:rPr>
          <w:rFonts w:ascii="Arial" w:hAnsi="Arial" w:cs="Arial"/>
          <w:color w:val="000000"/>
          <w:sz w:val="22"/>
          <w:szCs w:val="22"/>
        </w:rPr>
        <w:t xml:space="preserve"> </w:t>
      </w:r>
      <w:r w:rsidRPr="00223709">
        <w:rPr>
          <w:rFonts w:ascii="Arial" w:hAnsi="Arial" w:cs="Arial"/>
          <w:color w:val="000000"/>
          <w:sz w:val="22"/>
          <w:szCs w:val="22"/>
        </w:rPr>
        <w:t>tlak</w:t>
      </w:r>
      <w:r w:rsidR="00E223DA">
        <w:rPr>
          <w:rFonts w:ascii="Arial" w:hAnsi="Arial" w:cs="Arial"/>
          <w:color w:val="000000"/>
          <w:sz w:val="22"/>
          <w:szCs w:val="22"/>
        </w:rPr>
        <w:t xml:space="preserve"> </w:t>
      </w:r>
      <w:r w:rsidRPr="00223709">
        <w:rPr>
          <w:rFonts w:ascii="Arial" w:hAnsi="Arial" w:cs="Arial"/>
          <w:color w:val="000000"/>
          <w:sz w:val="22"/>
          <w:szCs w:val="22"/>
        </w:rPr>
        <w:t>isporuke</w:t>
      </w:r>
      <w:r w:rsidR="00E223DA">
        <w:rPr>
          <w:rFonts w:ascii="Arial" w:hAnsi="Arial" w:cs="Arial"/>
          <w:color w:val="000000"/>
          <w:sz w:val="22"/>
          <w:szCs w:val="22"/>
        </w:rPr>
        <w:t xml:space="preserve"> </w:t>
      </w:r>
      <w:r w:rsidRPr="00223709">
        <w:rPr>
          <w:rFonts w:ascii="Arial" w:hAnsi="Arial" w:cs="Arial"/>
          <w:color w:val="000000"/>
          <w:sz w:val="22"/>
          <w:szCs w:val="22"/>
        </w:rPr>
        <w:t>korisnicima uzrokuje značajno pothlađivanje prirodnog plina, koje je neprihvatljivo iz tehničkih i sigurnosnih razloga, a slijedom toga i komercijalnih. Ovo se</w:t>
      </w:r>
      <w:r w:rsidR="00622DB1">
        <w:rPr>
          <w:rFonts w:ascii="Arial" w:hAnsi="Arial" w:cs="Arial"/>
          <w:color w:val="000000"/>
          <w:sz w:val="22"/>
          <w:szCs w:val="22"/>
        </w:rPr>
        <w:t xml:space="preserve"> </w:t>
      </w:r>
      <w:r w:rsidRPr="00223709">
        <w:rPr>
          <w:rFonts w:ascii="Arial" w:hAnsi="Arial" w:cs="Arial"/>
          <w:color w:val="000000"/>
          <w:sz w:val="22"/>
          <w:szCs w:val="22"/>
        </w:rPr>
        <w:t>predgrijavanje</w:t>
      </w:r>
      <w:r w:rsidR="00622DB1">
        <w:rPr>
          <w:rFonts w:ascii="Arial" w:hAnsi="Arial" w:cs="Arial"/>
          <w:color w:val="000000"/>
          <w:sz w:val="22"/>
          <w:szCs w:val="22"/>
        </w:rPr>
        <w:t xml:space="preserve"> </w:t>
      </w:r>
      <w:r w:rsidRPr="00223709">
        <w:rPr>
          <w:rFonts w:ascii="Arial" w:hAnsi="Arial" w:cs="Arial"/>
          <w:color w:val="000000"/>
          <w:sz w:val="22"/>
          <w:szCs w:val="22"/>
        </w:rPr>
        <w:t>obavlja</w:t>
      </w:r>
      <w:r w:rsidR="00622DB1">
        <w:rPr>
          <w:rFonts w:ascii="Arial" w:hAnsi="Arial" w:cs="Arial"/>
          <w:color w:val="000000"/>
          <w:sz w:val="22"/>
          <w:szCs w:val="22"/>
        </w:rPr>
        <w:t xml:space="preserve"> </w:t>
      </w:r>
      <w:r w:rsidRPr="00223709">
        <w:rPr>
          <w:rFonts w:ascii="Arial" w:hAnsi="Arial" w:cs="Arial"/>
          <w:color w:val="000000"/>
          <w:sz w:val="22"/>
          <w:szCs w:val="22"/>
        </w:rPr>
        <w:t>na</w:t>
      </w:r>
      <w:r w:rsidR="00622DB1">
        <w:rPr>
          <w:rFonts w:ascii="Arial" w:hAnsi="Arial" w:cs="Arial"/>
          <w:color w:val="000000"/>
          <w:sz w:val="22"/>
          <w:szCs w:val="22"/>
        </w:rPr>
        <w:t xml:space="preserve"> </w:t>
      </w:r>
      <w:r w:rsidRPr="00223709">
        <w:rPr>
          <w:rFonts w:ascii="Arial" w:hAnsi="Arial" w:cs="Arial"/>
          <w:color w:val="000000"/>
          <w:sz w:val="22"/>
          <w:szCs w:val="22"/>
        </w:rPr>
        <w:t>mjerno-redukcijskim</w:t>
      </w:r>
      <w:r w:rsidR="00622DB1">
        <w:rPr>
          <w:rFonts w:ascii="Arial" w:hAnsi="Arial" w:cs="Arial"/>
          <w:color w:val="000000"/>
          <w:sz w:val="22"/>
          <w:szCs w:val="22"/>
        </w:rPr>
        <w:t xml:space="preserve"> </w:t>
      </w:r>
      <w:r w:rsidRPr="00223709">
        <w:rPr>
          <w:rFonts w:ascii="Arial" w:hAnsi="Arial" w:cs="Arial"/>
          <w:color w:val="000000"/>
          <w:sz w:val="22"/>
          <w:szCs w:val="22"/>
        </w:rPr>
        <w:t>stanicama i</w:t>
      </w:r>
      <w:r w:rsidR="00622DB1">
        <w:rPr>
          <w:rFonts w:ascii="Arial" w:hAnsi="Arial" w:cs="Arial"/>
          <w:color w:val="000000"/>
          <w:sz w:val="22"/>
          <w:szCs w:val="22"/>
        </w:rPr>
        <w:t xml:space="preserve"> </w:t>
      </w:r>
      <w:r w:rsidRPr="00223709">
        <w:rPr>
          <w:rFonts w:ascii="Arial" w:hAnsi="Arial" w:cs="Arial"/>
          <w:color w:val="000000"/>
          <w:sz w:val="22"/>
          <w:szCs w:val="22"/>
        </w:rPr>
        <w:t>mjerno-redukcijskim čvorovima putem plinskih kotlovnica i pripadajućih izmjenjivača topline te grijaćih kabela. U sljedećem razdoblju Plinacro će nastaviti sa sustavnom</w:t>
      </w:r>
      <w:r w:rsidR="00E223DA">
        <w:rPr>
          <w:rFonts w:ascii="Arial" w:hAnsi="Arial" w:cs="Arial"/>
          <w:color w:val="000000"/>
          <w:sz w:val="22"/>
          <w:szCs w:val="22"/>
        </w:rPr>
        <w:t xml:space="preserve"> </w:t>
      </w:r>
      <w:r w:rsidRPr="00223709">
        <w:rPr>
          <w:rFonts w:ascii="Arial" w:hAnsi="Arial" w:cs="Arial"/>
          <w:color w:val="000000"/>
          <w:sz w:val="22"/>
          <w:szCs w:val="22"/>
        </w:rPr>
        <w:t>zamjenom</w:t>
      </w:r>
      <w:r w:rsidR="00E223DA">
        <w:rPr>
          <w:rFonts w:ascii="Arial" w:hAnsi="Arial" w:cs="Arial"/>
          <w:color w:val="000000"/>
          <w:sz w:val="22"/>
          <w:szCs w:val="22"/>
        </w:rPr>
        <w:t xml:space="preserve"> </w:t>
      </w:r>
      <w:r w:rsidRPr="00223709">
        <w:rPr>
          <w:rFonts w:ascii="Arial" w:hAnsi="Arial" w:cs="Arial"/>
          <w:color w:val="000000"/>
          <w:sz w:val="22"/>
          <w:szCs w:val="22"/>
        </w:rPr>
        <w:t>opreme</w:t>
      </w:r>
      <w:r w:rsidR="00E223DA">
        <w:rPr>
          <w:rFonts w:ascii="Arial" w:hAnsi="Arial" w:cs="Arial"/>
          <w:color w:val="000000"/>
          <w:sz w:val="22"/>
          <w:szCs w:val="22"/>
        </w:rPr>
        <w:t xml:space="preserve"> </w:t>
      </w:r>
      <w:r w:rsidRPr="00223709">
        <w:rPr>
          <w:rFonts w:ascii="Arial" w:hAnsi="Arial" w:cs="Arial"/>
          <w:color w:val="000000"/>
          <w:sz w:val="22"/>
          <w:szCs w:val="22"/>
        </w:rPr>
        <w:t>na</w:t>
      </w:r>
      <w:r w:rsidR="00E223DA">
        <w:rPr>
          <w:rFonts w:ascii="Arial" w:hAnsi="Arial" w:cs="Arial"/>
          <w:color w:val="000000"/>
          <w:sz w:val="22"/>
          <w:szCs w:val="22"/>
        </w:rPr>
        <w:t xml:space="preserve"> </w:t>
      </w:r>
      <w:r w:rsidRPr="00223709">
        <w:rPr>
          <w:rFonts w:ascii="Arial" w:hAnsi="Arial" w:cs="Arial"/>
          <w:color w:val="000000"/>
          <w:sz w:val="22"/>
          <w:szCs w:val="22"/>
        </w:rPr>
        <w:t>kotlovnicama</w:t>
      </w:r>
      <w:r w:rsidR="00E223DA">
        <w:rPr>
          <w:rFonts w:ascii="Arial" w:hAnsi="Arial" w:cs="Arial"/>
          <w:color w:val="000000"/>
          <w:sz w:val="22"/>
          <w:szCs w:val="22"/>
        </w:rPr>
        <w:t xml:space="preserve"> </w:t>
      </w:r>
      <w:r w:rsidRPr="00223709">
        <w:rPr>
          <w:rFonts w:ascii="Arial" w:hAnsi="Arial" w:cs="Arial"/>
          <w:color w:val="000000"/>
          <w:sz w:val="22"/>
          <w:szCs w:val="22"/>
        </w:rPr>
        <w:t>(kotlovi,</w:t>
      </w:r>
      <w:r w:rsidR="00E223DA">
        <w:rPr>
          <w:rFonts w:ascii="Arial" w:hAnsi="Arial" w:cs="Arial"/>
          <w:color w:val="000000"/>
          <w:sz w:val="22"/>
          <w:szCs w:val="22"/>
        </w:rPr>
        <w:t xml:space="preserve"> </w:t>
      </w:r>
      <w:r w:rsidRPr="00223709">
        <w:rPr>
          <w:rFonts w:ascii="Arial" w:hAnsi="Arial" w:cs="Arial"/>
          <w:color w:val="000000"/>
          <w:sz w:val="22"/>
          <w:szCs w:val="22"/>
        </w:rPr>
        <w:t>plamenici,</w:t>
      </w:r>
      <w:r w:rsidR="00E223DA">
        <w:rPr>
          <w:rFonts w:ascii="Arial" w:hAnsi="Arial" w:cs="Arial"/>
          <w:color w:val="000000"/>
          <w:sz w:val="22"/>
          <w:szCs w:val="22"/>
        </w:rPr>
        <w:t xml:space="preserve"> </w:t>
      </w:r>
      <w:r w:rsidRPr="00223709">
        <w:rPr>
          <w:rFonts w:ascii="Arial" w:hAnsi="Arial" w:cs="Arial"/>
          <w:color w:val="000000"/>
          <w:sz w:val="22"/>
          <w:szCs w:val="22"/>
        </w:rPr>
        <w:t>sustav</w:t>
      </w:r>
      <w:r w:rsidR="00E223DA">
        <w:rPr>
          <w:rFonts w:ascii="Arial" w:hAnsi="Arial" w:cs="Arial"/>
          <w:color w:val="000000"/>
          <w:sz w:val="22"/>
          <w:szCs w:val="22"/>
        </w:rPr>
        <w:t xml:space="preserve"> </w:t>
      </w:r>
      <w:r w:rsidRPr="00223709">
        <w:rPr>
          <w:rFonts w:ascii="Arial" w:hAnsi="Arial" w:cs="Arial"/>
          <w:color w:val="000000"/>
          <w:sz w:val="22"/>
          <w:szCs w:val="22"/>
        </w:rPr>
        <w:t>upravljanja</w:t>
      </w:r>
      <w:r w:rsidR="00E223DA">
        <w:rPr>
          <w:rFonts w:ascii="Arial" w:hAnsi="Arial" w:cs="Arial"/>
          <w:color w:val="000000"/>
          <w:sz w:val="22"/>
          <w:szCs w:val="22"/>
        </w:rPr>
        <w:t xml:space="preserve"> </w:t>
      </w:r>
      <w:r w:rsidRPr="00223709">
        <w:rPr>
          <w:rFonts w:ascii="Arial" w:hAnsi="Arial" w:cs="Arial"/>
          <w:color w:val="000000"/>
          <w:sz w:val="22"/>
          <w:szCs w:val="22"/>
        </w:rPr>
        <w:t xml:space="preserve">radom kotlovnice). </w:t>
      </w:r>
    </w:p>
    <w:p w14:paraId="786655E1" w14:textId="77777777" w:rsidR="00B57716" w:rsidRPr="00223709" w:rsidRDefault="00B57716" w:rsidP="00840E2E">
      <w:pPr>
        <w:pStyle w:val="NormalWeb"/>
        <w:numPr>
          <w:ilvl w:val="0"/>
          <w:numId w:val="99"/>
        </w:numPr>
        <w:spacing w:before="0" w:beforeAutospacing="0" w:after="0" w:afterAutospacing="0"/>
        <w:jc w:val="both"/>
        <w:rPr>
          <w:rFonts w:ascii="Arial" w:hAnsi="Arial" w:cs="Arial"/>
          <w:color w:val="000000"/>
          <w:sz w:val="22"/>
          <w:szCs w:val="22"/>
        </w:rPr>
      </w:pPr>
      <w:r w:rsidRPr="00223709">
        <w:rPr>
          <w:rFonts w:ascii="Arial" w:hAnsi="Arial" w:cs="Arial"/>
          <w:color w:val="000000"/>
          <w:sz w:val="22"/>
          <w:szCs w:val="22"/>
        </w:rPr>
        <w:t xml:space="preserve">Jedna od mjera bit će i smanjenje temperature predgrijavanja izlaznog plina s dosadašnjih 15°C na 12°C, čime će se ostvariti dodatne uštede. Ipak, navedeno smanjenje temperature moći će se ostvariti samo na onim objektima gdje smanjena temperatura izlaznog plina neće imati utjecaja na sigurnost isporuke plina i na kupce plina. </w:t>
      </w:r>
    </w:p>
    <w:p w14:paraId="08F99CFE" w14:textId="1CD04E10" w:rsidR="00B57716" w:rsidRPr="00223709" w:rsidRDefault="00B57716" w:rsidP="00840E2E">
      <w:pPr>
        <w:pStyle w:val="NormalWeb"/>
        <w:numPr>
          <w:ilvl w:val="0"/>
          <w:numId w:val="99"/>
        </w:numPr>
        <w:spacing w:before="0" w:beforeAutospacing="0" w:after="0" w:afterAutospacing="0"/>
        <w:jc w:val="both"/>
        <w:rPr>
          <w:rFonts w:ascii="Arial" w:hAnsi="Arial" w:cs="Arial"/>
          <w:color w:val="000000"/>
          <w:sz w:val="22"/>
          <w:szCs w:val="22"/>
        </w:rPr>
      </w:pPr>
      <w:r w:rsidRPr="00223709">
        <w:rPr>
          <w:rFonts w:ascii="Arial" w:hAnsi="Arial" w:cs="Arial"/>
          <w:color w:val="000000"/>
          <w:sz w:val="22"/>
          <w:szCs w:val="22"/>
        </w:rPr>
        <w:t>Prostor</w:t>
      </w:r>
      <w:r w:rsidR="00E223DA">
        <w:rPr>
          <w:rFonts w:ascii="Arial" w:hAnsi="Arial" w:cs="Arial"/>
          <w:color w:val="000000"/>
          <w:sz w:val="22"/>
          <w:szCs w:val="22"/>
        </w:rPr>
        <w:t xml:space="preserve"> </w:t>
      </w:r>
      <w:r w:rsidRPr="00223709">
        <w:rPr>
          <w:rFonts w:ascii="Arial" w:hAnsi="Arial" w:cs="Arial"/>
          <w:color w:val="000000"/>
          <w:sz w:val="22"/>
          <w:szCs w:val="22"/>
        </w:rPr>
        <w:t>za</w:t>
      </w:r>
      <w:r w:rsidR="00E223DA">
        <w:rPr>
          <w:rFonts w:ascii="Arial" w:hAnsi="Arial" w:cs="Arial"/>
          <w:color w:val="000000"/>
          <w:sz w:val="22"/>
          <w:szCs w:val="22"/>
        </w:rPr>
        <w:t xml:space="preserve"> </w:t>
      </w:r>
      <w:r w:rsidRPr="00223709">
        <w:rPr>
          <w:rFonts w:ascii="Arial" w:hAnsi="Arial" w:cs="Arial"/>
          <w:color w:val="000000"/>
          <w:sz w:val="22"/>
          <w:szCs w:val="22"/>
        </w:rPr>
        <w:t>povećanje</w:t>
      </w:r>
      <w:r w:rsidR="00E223DA">
        <w:rPr>
          <w:rFonts w:ascii="Arial" w:hAnsi="Arial" w:cs="Arial"/>
          <w:color w:val="000000"/>
          <w:sz w:val="22"/>
          <w:szCs w:val="22"/>
        </w:rPr>
        <w:t xml:space="preserve"> </w:t>
      </w:r>
      <w:r w:rsidRPr="00223709">
        <w:rPr>
          <w:rFonts w:ascii="Arial" w:hAnsi="Arial" w:cs="Arial"/>
          <w:color w:val="000000"/>
          <w:sz w:val="22"/>
          <w:szCs w:val="22"/>
        </w:rPr>
        <w:t>energetske</w:t>
      </w:r>
      <w:r w:rsidR="00E223DA">
        <w:rPr>
          <w:rFonts w:ascii="Arial" w:hAnsi="Arial" w:cs="Arial"/>
          <w:color w:val="000000"/>
          <w:sz w:val="22"/>
          <w:szCs w:val="22"/>
        </w:rPr>
        <w:t xml:space="preserve"> </w:t>
      </w:r>
      <w:r w:rsidRPr="00223709">
        <w:rPr>
          <w:rFonts w:ascii="Arial" w:hAnsi="Arial" w:cs="Arial"/>
          <w:color w:val="000000"/>
          <w:sz w:val="22"/>
          <w:szCs w:val="22"/>
        </w:rPr>
        <w:t>učinkovitosti</w:t>
      </w:r>
      <w:r w:rsidR="00E223DA">
        <w:rPr>
          <w:rFonts w:ascii="Arial" w:hAnsi="Arial" w:cs="Arial"/>
          <w:color w:val="000000"/>
          <w:sz w:val="22"/>
          <w:szCs w:val="22"/>
        </w:rPr>
        <w:t xml:space="preserve"> </w:t>
      </w:r>
      <w:r w:rsidRPr="00223709">
        <w:rPr>
          <w:rFonts w:ascii="Arial" w:hAnsi="Arial" w:cs="Arial"/>
          <w:color w:val="000000"/>
          <w:sz w:val="22"/>
          <w:szCs w:val="22"/>
        </w:rPr>
        <w:t>postoji</w:t>
      </w:r>
      <w:r w:rsidR="00E223DA">
        <w:rPr>
          <w:rFonts w:ascii="Arial" w:hAnsi="Arial" w:cs="Arial"/>
          <w:color w:val="000000"/>
          <w:sz w:val="22"/>
          <w:szCs w:val="22"/>
        </w:rPr>
        <w:t xml:space="preserve"> </w:t>
      </w:r>
      <w:r w:rsidRPr="00223709">
        <w:rPr>
          <w:rFonts w:ascii="Arial" w:hAnsi="Arial" w:cs="Arial"/>
          <w:color w:val="000000"/>
          <w:sz w:val="22"/>
          <w:szCs w:val="22"/>
        </w:rPr>
        <w:t>i</w:t>
      </w:r>
      <w:r w:rsidR="00E223DA">
        <w:rPr>
          <w:rFonts w:ascii="Arial" w:hAnsi="Arial" w:cs="Arial"/>
          <w:color w:val="000000"/>
          <w:sz w:val="22"/>
          <w:szCs w:val="22"/>
        </w:rPr>
        <w:t xml:space="preserve"> </w:t>
      </w:r>
      <w:r w:rsidRPr="00223709">
        <w:rPr>
          <w:rFonts w:ascii="Arial" w:hAnsi="Arial" w:cs="Arial"/>
          <w:color w:val="000000"/>
          <w:sz w:val="22"/>
          <w:szCs w:val="22"/>
        </w:rPr>
        <w:t>u optimalnom vođenju plinskog transportnog sustava u vezi s tlakovima u sustavu, jer manji tlak transportnog sustava znači manju redukciju plina za korisnika i njegovo manje predgrijavanje, a time i manje potrošene energije, odnosno plina. Naravno, te su mogućnosti u ovom trenutku ograničene zbog sadašnjih tehničkih značajki plinskog transportnog sustava, uvjeta preuzimanja domaćeg plina i plina iz uvoza te njegove isporuke korisnicima. Međutim, daljnjim razvojem plinskog transportnog sustava, prije svega kompresorskih stanica koje su nužne, ali koje će biti značajan kupac pogonske energije, optimalnom pogonu i vođenju sustava morat će se posvetiti velika pozornost. Kod održavanja sustava treba poduzeti sve mjere da se tehnološka ispuštanja plina svedu na minimum.</w:t>
      </w:r>
    </w:p>
    <w:p w14:paraId="6B086050" w14:textId="77777777" w:rsidR="00B57716" w:rsidRPr="00223709" w:rsidRDefault="00B57716" w:rsidP="00840E2E">
      <w:pPr>
        <w:pStyle w:val="NormalWeb"/>
        <w:numPr>
          <w:ilvl w:val="0"/>
          <w:numId w:val="99"/>
        </w:numPr>
        <w:spacing w:before="0" w:beforeAutospacing="0" w:after="0" w:afterAutospacing="0"/>
        <w:jc w:val="both"/>
        <w:rPr>
          <w:rFonts w:ascii="Arial" w:hAnsi="Arial" w:cs="Arial"/>
          <w:color w:val="000000"/>
          <w:sz w:val="22"/>
          <w:szCs w:val="22"/>
        </w:rPr>
      </w:pPr>
      <w:r w:rsidRPr="00223709">
        <w:rPr>
          <w:rFonts w:ascii="Arial" w:hAnsi="Arial" w:cs="Arial"/>
          <w:color w:val="000000"/>
          <w:sz w:val="22"/>
          <w:szCs w:val="22"/>
        </w:rPr>
        <w:t>Električna energija se u plinskom transportnom sustavu koristi za pogon električnih uređaja, katodnu zaštitu i, naravno, za rasvjetu. Iako je njezin udjel u energetskoj potrošnji plinskog transportnog sustava značajno manji od potrošnje prirodnog plina, redovnim održavanjem i (po potrebi) zamjenom neučinkovitih trošila učinkovitim će se smanjiti njezina potrošnja.</w:t>
      </w:r>
    </w:p>
    <w:p w14:paraId="47589781" w14:textId="77777777" w:rsidR="007840E7" w:rsidRPr="00223709" w:rsidRDefault="007840E7" w:rsidP="00223709">
      <w:pPr>
        <w:pStyle w:val="NormalWeb"/>
        <w:spacing w:before="0" w:beforeAutospacing="0" w:after="0" w:afterAutospacing="0"/>
        <w:jc w:val="both"/>
        <w:rPr>
          <w:rFonts w:ascii="Arial" w:hAnsi="Arial" w:cs="Arial"/>
          <w:b/>
          <w:bCs/>
          <w:color w:val="000000"/>
          <w:sz w:val="22"/>
          <w:szCs w:val="22"/>
          <w:lang w:eastAsia="en-GB"/>
        </w:rPr>
      </w:pPr>
    </w:p>
    <w:p w14:paraId="7D8BD525" w14:textId="77777777" w:rsidR="00B57716" w:rsidRPr="00223709" w:rsidRDefault="00B57716" w:rsidP="00223709">
      <w:pPr>
        <w:pStyle w:val="NormalWeb"/>
        <w:spacing w:before="0" w:beforeAutospacing="0" w:after="0" w:afterAutospacing="0"/>
        <w:jc w:val="both"/>
        <w:rPr>
          <w:rFonts w:ascii="Arial" w:hAnsi="Arial" w:cs="Arial"/>
          <w:b/>
          <w:bCs/>
          <w:color w:val="000000"/>
          <w:sz w:val="22"/>
          <w:szCs w:val="22"/>
          <w:lang w:eastAsia="en-GB"/>
        </w:rPr>
      </w:pPr>
      <w:r w:rsidRPr="00223709">
        <w:rPr>
          <w:rFonts w:ascii="Arial" w:hAnsi="Arial" w:cs="Arial"/>
          <w:b/>
          <w:bCs/>
          <w:color w:val="000000"/>
          <w:sz w:val="22"/>
          <w:szCs w:val="22"/>
          <w:lang w:eastAsia="en-GB"/>
        </w:rPr>
        <w:t xml:space="preserve">Sredstva potrebna za provedbu: </w:t>
      </w:r>
      <w:r w:rsidRPr="00223709">
        <w:rPr>
          <w:rFonts w:ascii="Arial" w:hAnsi="Arial" w:cs="Arial"/>
          <w:color w:val="000000"/>
          <w:sz w:val="22"/>
          <w:szCs w:val="22"/>
          <w:lang w:eastAsia="en-GB"/>
        </w:rPr>
        <w:t>Procjene izrađuje Plinacro</w:t>
      </w:r>
    </w:p>
    <w:p w14:paraId="787CE094" w14:textId="77777777" w:rsidR="00B57716" w:rsidRPr="00223709" w:rsidRDefault="00B57716" w:rsidP="00223709">
      <w:pPr>
        <w:pStyle w:val="NormalWeb"/>
        <w:spacing w:before="0" w:beforeAutospacing="0" w:after="0" w:afterAutospacing="0"/>
        <w:jc w:val="both"/>
        <w:rPr>
          <w:rFonts w:ascii="Arial" w:eastAsiaTheme="minorHAnsi" w:hAnsi="Arial" w:cs="Arial"/>
          <w:color w:val="000000"/>
          <w:sz w:val="22"/>
          <w:szCs w:val="22"/>
        </w:rPr>
      </w:pPr>
      <w:r w:rsidRPr="00223709">
        <w:rPr>
          <w:rFonts w:ascii="Arial" w:hAnsi="Arial" w:cs="Arial"/>
          <w:b/>
          <w:bCs/>
          <w:color w:val="000000"/>
          <w:sz w:val="22"/>
          <w:szCs w:val="22"/>
          <w:lang w:eastAsia="en-GB"/>
        </w:rPr>
        <w:t xml:space="preserve">Izvori financiranja: </w:t>
      </w:r>
      <w:r w:rsidRPr="00223709">
        <w:rPr>
          <w:rFonts w:ascii="Arial" w:hAnsi="Arial" w:cs="Arial"/>
          <w:color w:val="000000"/>
          <w:sz w:val="22"/>
          <w:szCs w:val="22"/>
          <w:lang w:eastAsia="en-GB"/>
        </w:rPr>
        <w:t>Plinacro</w:t>
      </w:r>
    </w:p>
    <w:p w14:paraId="69C07C95" w14:textId="7E4F7EA5" w:rsidR="00B57716" w:rsidRPr="00223709" w:rsidRDefault="00B57716" w:rsidP="00223709">
      <w:pPr>
        <w:pStyle w:val="NormalWeb"/>
        <w:spacing w:before="0" w:beforeAutospacing="0" w:after="0" w:afterAutospacing="0"/>
        <w:jc w:val="both"/>
        <w:rPr>
          <w:rFonts w:ascii="Arial" w:hAnsi="Arial" w:cs="Arial"/>
          <w:color w:val="000000"/>
          <w:sz w:val="22"/>
          <w:szCs w:val="22"/>
          <w:lang w:eastAsia="en-GB"/>
        </w:rPr>
      </w:pPr>
      <w:r w:rsidRPr="00223709">
        <w:rPr>
          <w:rFonts w:ascii="Arial" w:hAnsi="Arial" w:cs="Arial"/>
          <w:b/>
          <w:bCs/>
          <w:color w:val="000000"/>
          <w:sz w:val="22"/>
          <w:szCs w:val="22"/>
          <w:lang w:eastAsia="en-GB"/>
        </w:rPr>
        <w:t>Izvršno tijelo:</w:t>
      </w:r>
      <w:r w:rsidRPr="00223709">
        <w:rPr>
          <w:rFonts w:ascii="Arial" w:hAnsi="Arial" w:cs="Arial"/>
          <w:color w:val="000000"/>
          <w:sz w:val="22"/>
          <w:szCs w:val="22"/>
          <w:lang w:eastAsia="en-GB"/>
        </w:rPr>
        <w:t xml:space="preserve"> Plinacro</w:t>
      </w:r>
    </w:p>
    <w:p w14:paraId="187852D9" w14:textId="77777777" w:rsidR="00B57716" w:rsidRPr="00223709" w:rsidRDefault="00B57716" w:rsidP="00223709">
      <w:pPr>
        <w:pStyle w:val="NormalWeb"/>
        <w:spacing w:before="0" w:beforeAutospacing="0" w:after="0" w:afterAutospacing="0"/>
        <w:jc w:val="both"/>
        <w:rPr>
          <w:rFonts w:ascii="Arial" w:eastAsiaTheme="minorHAnsi" w:hAnsi="Arial" w:cs="Arial"/>
          <w:color w:val="000000"/>
          <w:sz w:val="22"/>
          <w:szCs w:val="22"/>
        </w:rPr>
      </w:pPr>
      <w:r w:rsidRPr="00223709">
        <w:rPr>
          <w:rFonts w:ascii="Arial" w:hAnsi="Arial" w:cs="Arial"/>
          <w:b/>
          <w:bCs/>
          <w:color w:val="000000"/>
          <w:sz w:val="22"/>
          <w:szCs w:val="22"/>
          <w:lang w:eastAsia="en-GB"/>
        </w:rPr>
        <w:t>Tijela za praćenje (nadzor):</w:t>
      </w:r>
      <w:r w:rsidRPr="00223709">
        <w:rPr>
          <w:rFonts w:ascii="Arial" w:hAnsi="Arial" w:cs="Arial"/>
          <w:color w:val="000000"/>
          <w:sz w:val="22"/>
          <w:szCs w:val="22"/>
          <w:lang w:eastAsia="en-GB"/>
        </w:rPr>
        <w:t xml:space="preserve"> MZOE-NKT, HERA</w:t>
      </w:r>
    </w:p>
    <w:p w14:paraId="5B0F05D4" w14:textId="77777777" w:rsidR="00B57716" w:rsidRPr="00223709" w:rsidRDefault="00B57716" w:rsidP="00223709">
      <w:pPr>
        <w:pStyle w:val="NormalWeb"/>
        <w:spacing w:before="0" w:beforeAutospacing="0" w:after="0" w:afterAutospacing="0"/>
        <w:jc w:val="both"/>
        <w:rPr>
          <w:rFonts w:ascii="Arial" w:hAnsi="Arial" w:cs="Arial"/>
          <w:color w:val="000000"/>
          <w:sz w:val="22"/>
          <w:szCs w:val="22"/>
          <w:lang w:eastAsia="en-GB"/>
        </w:rPr>
      </w:pPr>
      <w:r w:rsidRPr="00223709">
        <w:rPr>
          <w:rFonts w:ascii="Arial" w:hAnsi="Arial" w:cs="Arial"/>
          <w:b/>
          <w:bCs/>
          <w:color w:val="000000"/>
          <w:sz w:val="22"/>
          <w:szCs w:val="22"/>
          <w:lang w:eastAsia="en-GB"/>
        </w:rPr>
        <w:t xml:space="preserve">Učinak: </w:t>
      </w:r>
      <w:r w:rsidRPr="00223709">
        <w:rPr>
          <w:rFonts w:ascii="Arial" w:hAnsi="Arial" w:cs="Arial"/>
          <w:color w:val="000000"/>
          <w:sz w:val="22"/>
          <w:szCs w:val="22"/>
          <w:lang w:eastAsia="en-GB"/>
        </w:rPr>
        <w:t>Smanjenje gubitaka u transportnom plinskom sustavu</w:t>
      </w:r>
    </w:p>
    <w:p w14:paraId="6A5F7C4A" w14:textId="4ABA810B" w:rsidR="00B57716" w:rsidRPr="00223709" w:rsidRDefault="00B57716" w:rsidP="00223709">
      <w:pPr>
        <w:pStyle w:val="NormalWeb"/>
        <w:spacing w:before="0" w:beforeAutospacing="0" w:after="0" w:afterAutospacing="0"/>
        <w:jc w:val="both"/>
        <w:rPr>
          <w:rFonts w:ascii="Arial" w:hAnsi="Arial" w:cs="Arial"/>
          <w:color w:val="000000"/>
          <w:sz w:val="22"/>
          <w:szCs w:val="22"/>
          <w:lang w:eastAsia="en-GB"/>
        </w:rPr>
      </w:pPr>
      <w:r w:rsidRPr="00223709">
        <w:rPr>
          <w:rFonts w:ascii="Arial" w:hAnsi="Arial" w:cs="Arial"/>
          <w:b/>
          <w:bCs/>
          <w:color w:val="000000"/>
          <w:sz w:val="22"/>
          <w:szCs w:val="22"/>
          <w:lang w:eastAsia="en-GB"/>
        </w:rPr>
        <w:t>Metoda praćenja:</w:t>
      </w:r>
      <w:r w:rsidRPr="00223709">
        <w:rPr>
          <w:rFonts w:ascii="Arial" w:hAnsi="Arial" w:cs="Arial"/>
          <w:color w:val="000000"/>
          <w:sz w:val="22"/>
          <w:szCs w:val="22"/>
          <w:lang w:eastAsia="en-GB"/>
        </w:rPr>
        <w:t xml:space="preserve"> Praćenje učinaka ove mjere ostvaruje se </w:t>
      </w:r>
      <w:r w:rsidR="009B003B">
        <w:rPr>
          <w:rFonts w:ascii="Arial" w:hAnsi="Arial" w:cs="Arial"/>
          <w:color w:val="000000"/>
          <w:sz w:val="22"/>
          <w:szCs w:val="22"/>
          <w:lang w:eastAsia="en-GB"/>
        </w:rPr>
        <w:t>na temelju</w:t>
      </w:r>
      <w:r w:rsidR="009B003B" w:rsidRPr="00223709">
        <w:rPr>
          <w:rFonts w:ascii="Arial" w:hAnsi="Arial" w:cs="Arial"/>
          <w:color w:val="000000"/>
          <w:sz w:val="22"/>
          <w:szCs w:val="22"/>
          <w:lang w:eastAsia="en-GB"/>
        </w:rPr>
        <w:t xml:space="preserve"> </w:t>
      </w:r>
      <w:r w:rsidRPr="00223709">
        <w:rPr>
          <w:rFonts w:ascii="Arial" w:hAnsi="Arial" w:cs="Arial"/>
          <w:color w:val="000000"/>
          <w:sz w:val="22"/>
          <w:szCs w:val="22"/>
          <w:lang w:eastAsia="en-GB"/>
        </w:rPr>
        <w:t>podataka Plinacro-a</w:t>
      </w:r>
    </w:p>
    <w:p w14:paraId="6C3020C3" w14:textId="77777777" w:rsidR="00B57716" w:rsidRPr="00223709" w:rsidRDefault="00B57716" w:rsidP="00223709">
      <w:pPr>
        <w:pStyle w:val="NormalWeb"/>
        <w:spacing w:before="0" w:beforeAutospacing="0" w:after="0" w:afterAutospacing="0"/>
        <w:jc w:val="both"/>
        <w:rPr>
          <w:rFonts w:ascii="Arial" w:eastAsiaTheme="minorHAnsi" w:hAnsi="Arial" w:cs="Arial"/>
          <w:color w:val="000000"/>
          <w:sz w:val="22"/>
          <w:szCs w:val="22"/>
        </w:rPr>
      </w:pPr>
      <w:r w:rsidRPr="00223709">
        <w:rPr>
          <w:rFonts w:ascii="Arial" w:hAnsi="Arial" w:cs="Arial"/>
          <w:b/>
          <w:bCs/>
          <w:color w:val="000000"/>
          <w:sz w:val="22"/>
          <w:szCs w:val="22"/>
          <w:lang w:eastAsia="en-GB"/>
        </w:rPr>
        <w:t xml:space="preserve">Povezanost s drugim dimenzijama: </w:t>
      </w:r>
      <w:r w:rsidRPr="00223709">
        <w:rPr>
          <w:rFonts w:ascii="Arial" w:hAnsi="Arial" w:cs="Arial"/>
          <w:color w:val="000000"/>
          <w:sz w:val="22"/>
          <w:szCs w:val="22"/>
          <w:lang w:eastAsia="en-GB"/>
        </w:rPr>
        <w:t>Smanjenjem gubitaka u plinskom sustavu doprinosi se ciljevima sigurnosti opskrbe i dekarbonizacije</w:t>
      </w:r>
    </w:p>
    <w:p w14:paraId="0D65B8AD" w14:textId="66DBF4AE" w:rsidR="00B57716" w:rsidRPr="00223709" w:rsidRDefault="00B57716" w:rsidP="00223709">
      <w:pPr>
        <w:pStyle w:val="NormalWeb"/>
        <w:spacing w:before="0" w:beforeAutospacing="0" w:after="0" w:afterAutospacing="0"/>
        <w:jc w:val="both"/>
        <w:rPr>
          <w:rFonts w:ascii="Arial" w:hAnsi="Arial" w:cs="Arial"/>
          <w:color w:val="000000"/>
          <w:sz w:val="22"/>
          <w:szCs w:val="22"/>
        </w:rPr>
      </w:pPr>
      <w:r w:rsidRPr="00223709">
        <w:rPr>
          <w:rFonts w:ascii="Arial" w:hAnsi="Arial" w:cs="Arial"/>
          <w:b/>
          <w:bCs/>
          <w:color w:val="000000"/>
          <w:sz w:val="22"/>
          <w:szCs w:val="22"/>
          <w:lang w:eastAsia="en-GB"/>
        </w:rPr>
        <w:t xml:space="preserve">Povezanost s prilagodbom klimatskim promjenama: </w:t>
      </w:r>
      <w:r w:rsidR="00CB36ED">
        <w:rPr>
          <w:rFonts w:ascii="Arial" w:hAnsi="Arial" w:cs="Arial"/>
          <w:color w:val="000000"/>
          <w:sz w:val="22"/>
          <w:szCs w:val="22"/>
          <w:lang w:eastAsia="en-GB"/>
        </w:rPr>
        <w:t xml:space="preserve">Uvažavanje posljedica </w:t>
      </w:r>
      <w:r w:rsidR="00026810">
        <w:rPr>
          <w:rFonts w:ascii="Arial" w:hAnsi="Arial" w:cs="Arial"/>
          <w:color w:val="000000"/>
          <w:sz w:val="22"/>
          <w:szCs w:val="22"/>
          <w:lang w:eastAsia="en-GB"/>
        </w:rPr>
        <w:t>klimatsk</w:t>
      </w:r>
      <w:r w:rsidR="00943820">
        <w:rPr>
          <w:rFonts w:ascii="Arial" w:hAnsi="Arial" w:cs="Arial"/>
          <w:color w:val="000000"/>
          <w:sz w:val="22"/>
          <w:szCs w:val="22"/>
          <w:lang w:eastAsia="en-GB"/>
        </w:rPr>
        <w:t>i</w:t>
      </w:r>
      <w:r w:rsidR="00026810">
        <w:rPr>
          <w:rFonts w:ascii="Arial" w:hAnsi="Arial" w:cs="Arial"/>
          <w:color w:val="000000"/>
          <w:sz w:val="22"/>
          <w:szCs w:val="22"/>
          <w:lang w:eastAsia="en-GB"/>
        </w:rPr>
        <w:t>h promjena u planiranju infrastrukture</w:t>
      </w:r>
    </w:p>
    <w:p w14:paraId="126A849D" w14:textId="3D0BE1DD" w:rsidR="00B57716" w:rsidRPr="00223709" w:rsidRDefault="00B57716" w:rsidP="00223709">
      <w:pPr>
        <w:pStyle w:val="NormalWeb"/>
        <w:spacing w:before="0" w:beforeAutospacing="0" w:after="0" w:afterAutospacing="0"/>
        <w:jc w:val="both"/>
        <w:rPr>
          <w:rFonts w:ascii="Arial" w:hAnsi="Arial" w:cs="Arial"/>
          <w:sz w:val="22"/>
          <w:szCs w:val="22"/>
        </w:rPr>
      </w:pPr>
      <w:r w:rsidRPr="00223709">
        <w:rPr>
          <w:rFonts w:ascii="Arial" w:hAnsi="Arial" w:cs="Arial"/>
          <w:b/>
          <w:bCs/>
          <w:color w:val="000000"/>
          <w:sz w:val="22"/>
          <w:szCs w:val="22"/>
          <w:lang w:eastAsia="en-GB"/>
        </w:rPr>
        <w:t>Istraživanje i razvoj</w:t>
      </w:r>
      <w:r w:rsidRPr="00223709">
        <w:rPr>
          <w:rFonts w:ascii="Arial" w:hAnsi="Arial" w:cs="Arial"/>
          <w:color w:val="000000"/>
          <w:sz w:val="22"/>
          <w:szCs w:val="22"/>
          <w:lang w:eastAsia="en-GB"/>
        </w:rPr>
        <w:t xml:space="preserve">: </w:t>
      </w:r>
      <w:r w:rsidR="009B74C9">
        <w:rPr>
          <w:rFonts w:ascii="Arial" w:hAnsi="Arial" w:cs="Arial"/>
          <w:color w:val="000000"/>
          <w:sz w:val="22"/>
          <w:szCs w:val="22"/>
          <w:lang w:eastAsia="en-GB"/>
        </w:rPr>
        <w:t>Skladištenje energije; fleksibilnost energetskih sustava</w:t>
      </w:r>
    </w:p>
    <w:p w14:paraId="25D2DE4D" w14:textId="77777777" w:rsidR="004E592D" w:rsidRPr="00A2724B" w:rsidRDefault="004E592D" w:rsidP="00840E2E">
      <w:pPr>
        <w:pStyle w:val="Heading3"/>
        <w:numPr>
          <w:ilvl w:val="0"/>
          <w:numId w:val="70"/>
        </w:numPr>
      </w:pPr>
      <w:r w:rsidRPr="00A2724B">
        <w:t>Regionalna suradnja u ovom području, ako je primjenjivo.</w:t>
      </w:r>
    </w:p>
    <w:p w14:paraId="07DDFBCA" w14:textId="1E40810E" w:rsidR="003E3D6B" w:rsidRDefault="003E3D6B" w:rsidP="003E3D6B">
      <w:pPr>
        <w:suppressAutoHyphens w:val="0"/>
      </w:pPr>
      <w:r>
        <w:t xml:space="preserve">Na regionalnoj radionici održanoj u Ljubljani u srpnju 2019. godine, kao teme za regionalnu suradnju u okviru dimenzije energetska </w:t>
      </w:r>
      <w:r w:rsidRPr="00F0212A">
        <w:t>učinkovitost predloženo je</w:t>
      </w:r>
    </w:p>
    <w:p w14:paraId="2BA3B7BA" w14:textId="2A958EA0" w:rsidR="00F0212A" w:rsidRDefault="00F0212A" w:rsidP="00840E2E">
      <w:pPr>
        <w:pStyle w:val="ListParagraph"/>
        <w:numPr>
          <w:ilvl w:val="0"/>
          <w:numId w:val="106"/>
        </w:numPr>
        <w:suppressAutoHyphens w:val="0"/>
      </w:pPr>
      <w:r w:rsidRPr="00B56FE5">
        <w:t>razmjena iskustava i dobre prakse na području energetske učinkovitosti</w:t>
      </w:r>
      <w:r w:rsidR="00A546C9">
        <w:t>,</w:t>
      </w:r>
    </w:p>
    <w:p w14:paraId="5CF75421" w14:textId="0AEEE93F" w:rsidR="00F0212A" w:rsidRDefault="006038BB" w:rsidP="00840E2E">
      <w:pPr>
        <w:pStyle w:val="ListParagraph"/>
        <w:numPr>
          <w:ilvl w:val="0"/>
          <w:numId w:val="106"/>
        </w:numPr>
        <w:suppressAutoHyphens w:val="0"/>
      </w:pPr>
      <w:r>
        <w:t>regionalno upravljanje teretnim prometom</w:t>
      </w:r>
      <w:r w:rsidR="00E460F1">
        <w:t xml:space="preserve"> (poticanje korištenja željezničkog prometa, energetski učinkovita logistika)</w:t>
      </w:r>
      <w:r w:rsidR="00A546C9">
        <w:t>,</w:t>
      </w:r>
    </w:p>
    <w:p w14:paraId="66163062" w14:textId="0A76C46C" w:rsidR="002F13BF" w:rsidRDefault="002F13BF" w:rsidP="00840E2E">
      <w:pPr>
        <w:pStyle w:val="ListParagraph"/>
        <w:numPr>
          <w:ilvl w:val="0"/>
          <w:numId w:val="106"/>
        </w:numPr>
        <w:suppressAutoHyphens w:val="0"/>
      </w:pPr>
      <w:r>
        <w:t>regionaln</w:t>
      </w:r>
      <w:r w:rsidR="00A546C9">
        <w:t>o planiranje razvoja infrastrukture za alternativna goriva,</w:t>
      </w:r>
    </w:p>
    <w:p w14:paraId="20250164" w14:textId="095A0EFF" w:rsidR="00BF52BC" w:rsidRPr="00223709" w:rsidRDefault="00BF52BC" w:rsidP="00840E2E">
      <w:pPr>
        <w:pStyle w:val="ListParagraph"/>
        <w:numPr>
          <w:ilvl w:val="0"/>
          <w:numId w:val="106"/>
        </w:numPr>
        <w:suppressAutoHyphens w:val="0"/>
      </w:pPr>
      <w:r>
        <w:t>regionalna suradnja na razvoju učinkovitog javnog prijevoza</w:t>
      </w:r>
      <w:r w:rsidR="00B67245">
        <w:t xml:space="preserve"> (željeznica, autobus, zeleni turizam)</w:t>
      </w:r>
      <w:r w:rsidR="00884820">
        <w:t>.</w:t>
      </w:r>
    </w:p>
    <w:p w14:paraId="140F4E09" w14:textId="483E9170" w:rsidR="00F9627B" w:rsidRDefault="003E3D6B" w:rsidP="00286B4C">
      <w:pPr>
        <w:suppressAutoHyphens w:val="0"/>
      </w:pPr>
      <w:r>
        <w:t>Države koje sudjeluju u</w:t>
      </w:r>
      <w:r w:rsidR="00702F6E">
        <w:t xml:space="preserve"> neformalnoj</w:t>
      </w:r>
      <w:r>
        <w:t xml:space="preserve"> regionalnoj koordinaciji razmatraju iznesene prijedloge te će dogovoriti naredne korake.</w:t>
      </w:r>
    </w:p>
    <w:p w14:paraId="2CC0CD7B" w14:textId="77777777" w:rsidR="00B26C2C" w:rsidRPr="00A2724B" w:rsidRDefault="00B26C2C" w:rsidP="00840E2E">
      <w:pPr>
        <w:pStyle w:val="Heading3"/>
        <w:numPr>
          <w:ilvl w:val="0"/>
          <w:numId w:val="70"/>
        </w:numPr>
      </w:pPr>
      <w:r w:rsidRPr="00A2724B">
        <w:t>Financijske mjere u ovom području na nacionalnoj razini, uključujući potporu EU-a i upotrebu sredstava EU-a.</w:t>
      </w:r>
    </w:p>
    <w:p w14:paraId="6B4CC729" w14:textId="77777777" w:rsidR="002B6FB0" w:rsidRDefault="00291D42" w:rsidP="00C21988">
      <w:r w:rsidRPr="00051989">
        <w:t>Za razdoblje do 2020. godine</w:t>
      </w:r>
      <w:r w:rsidR="001C2F64">
        <w:t xml:space="preserve">, za poticanje energetske učinkovitosti </w:t>
      </w:r>
      <w:r w:rsidR="00E0625A">
        <w:t xml:space="preserve">u RH </w:t>
      </w:r>
      <w:r w:rsidR="001C2F64">
        <w:t xml:space="preserve">na raspolaganju su </w:t>
      </w:r>
      <w:r w:rsidR="006B030F">
        <w:t>sljede</w:t>
      </w:r>
      <w:r w:rsidR="002B6FB0">
        <w:t>ća financijska sredstva:</w:t>
      </w:r>
    </w:p>
    <w:p w14:paraId="4BE51076" w14:textId="71E77930" w:rsidR="00C21988" w:rsidRDefault="001C2F64" w:rsidP="00840E2E">
      <w:pPr>
        <w:pStyle w:val="ListParagraph"/>
        <w:numPr>
          <w:ilvl w:val="0"/>
          <w:numId w:val="15"/>
        </w:numPr>
        <w:suppressAutoHyphens w:val="0"/>
        <w:spacing w:after="160" w:line="259" w:lineRule="auto"/>
        <w:ind w:left="714" w:hanging="357"/>
        <w:contextualSpacing/>
      </w:pPr>
      <w:r>
        <w:t xml:space="preserve">sredstva </w:t>
      </w:r>
      <w:r w:rsidR="002B6FB0">
        <w:t xml:space="preserve">koja </w:t>
      </w:r>
      <w:r>
        <w:t>Fond za zaštitu okoliša i energetsku učinkovitost</w:t>
      </w:r>
      <w:r w:rsidR="00E0625A">
        <w:t xml:space="preserve"> </w:t>
      </w:r>
      <w:r w:rsidR="002B6FB0">
        <w:t>prikuplja</w:t>
      </w:r>
      <w:r w:rsidR="00E0625A">
        <w:t xml:space="preserve"> iz </w:t>
      </w:r>
      <w:r w:rsidR="006B030F" w:rsidRPr="0011531B">
        <w:t xml:space="preserve">prodaje emisijskih jedinica stakleničkih plinova na </w:t>
      </w:r>
      <w:r w:rsidR="004E3AF7">
        <w:t>dražb</w:t>
      </w:r>
      <w:r w:rsidR="00645F6E">
        <w:t>ama</w:t>
      </w:r>
      <w:r w:rsidR="004E3AF7">
        <w:t xml:space="preserve"> </w:t>
      </w:r>
      <w:r w:rsidR="00051989">
        <w:t xml:space="preserve">i raspodjeljuje sukladno </w:t>
      </w:r>
      <w:r w:rsidR="002D1756">
        <w:t>P</w:t>
      </w:r>
      <w:r w:rsidR="002D1756" w:rsidRPr="002D1756">
        <w:t>lan</w:t>
      </w:r>
      <w:r w:rsidR="001D352E">
        <w:t xml:space="preserve">u </w:t>
      </w:r>
      <w:r w:rsidR="002D1756" w:rsidRPr="002D1756">
        <w:t xml:space="preserve">korištenja financijskih sredstava dobivenih od prodaje emisijskih jedinica putem dražbi u </w:t>
      </w:r>
      <w:r w:rsidR="001D352E">
        <w:t>RH</w:t>
      </w:r>
      <w:r w:rsidR="002D1756" w:rsidRPr="002D1756">
        <w:t xml:space="preserve"> do 2020. </w:t>
      </w:r>
      <w:r w:rsidR="001D352E">
        <w:t>g</w:t>
      </w:r>
      <w:r w:rsidR="002D1756" w:rsidRPr="002D1756">
        <w:t>odine</w:t>
      </w:r>
      <w:r w:rsidR="00762E0F">
        <w:t xml:space="preserve"> (</w:t>
      </w:r>
      <w:r w:rsidR="00880054">
        <w:t>NN</w:t>
      </w:r>
      <w:r w:rsidR="00762E0F">
        <w:t xml:space="preserve"> 19/18) te</w:t>
      </w:r>
    </w:p>
    <w:p w14:paraId="2501D08D" w14:textId="77777777" w:rsidR="009E5687" w:rsidRDefault="002B6FB0" w:rsidP="00840E2E">
      <w:pPr>
        <w:pStyle w:val="ListParagraph"/>
        <w:numPr>
          <w:ilvl w:val="0"/>
          <w:numId w:val="15"/>
        </w:numPr>
        <w:suppressAutoHyphens w:val="0"/>
        <w:spacing w:after="160" w:line="259" w:lineRule="auto"/>
        <w:ind w:left="714" w:hanging="357"/>
        <w:contextualSpacing/>
      </w:pPr>
      <w:r>
        <w:t xml:space="preserve">sredstva </w:t>
      </w:r>
      <w:r w:rsidR="00762E0F">
        <w:t>ESI fondova, konkretno Europskog fonda za regionalni razvoj (EFRR)</w:t>
      </w:r>
      <w:r w:rsidR="009E5687">
        <w:t xml:space="preserve"> sukladno Operativnom programu Konkurentnost i kohezija 2014.- 2020. </w:t>
      </w:r>
    </w:p>
    <w:p w14:paraId="4C71BB82" w14:textId="31E8719C" w:rsidR="009E653A" w:rsidRPr="0031468F" w:rsidRDefault="009E5687" w:rsidP="009E5687">
      <w:pPr>
        <w:rPr>
          <w:b/>
        </w:rPr>
      </w:pPr>
      <w:r>
        <w:t xml:space="preserve">Navedena sredstva i financijske mjere za koje se </w:t>
      </w:r>
      <w:r w:rsidR="009E653A">
        <w:t xml:space="preserve">ista koriste </w:t>
      </w:r>
      <w:r w:rsidR="00702778">
        <w:t>prikazuju</w:t>
      </w:r>
      <w:r w:rsidR="00BC3E41">
        <w:t xml:space="preserve"> </w:t>
      </w:r>
      <w:r w:rsidR="00BC3E41">
        <w:fldChar w:fldCharType="begin"/>
      </w:r>
      <w:r w:rsidR="00BC3E41">
        <w:instrText xml:space="preserve"> REF _Ref531165769 \h </w:instrText>
      </w:r>
      <w:r w:rsidR="00BC3E41">
        <w:fldChar w:fldCharType="separate"/>
      </w:r>
      <w:r w:rsidR="00154150">
        <w:t xml:space="preserve">Tablica </w:t>
      </w:r>
      <w:r w:rsidR="00154150">
        <w:rPr>
          <w:noProof/>
        </w:rPr>
        <w:t>3</w:t>
      </w:r>
      <w:r w:rsidR="00154150">
        <w:t>–</w:t>
      </w:r>
      <w:r w:rsidR="00154150">
        <w:rPr>
          <w:noProof/>
        </w:rPr>
        <w:t>1</w:t>
      </w:r>
      <w:r w:rsidR="00BC3E41">
        <w:fldChar w:fldCharType="end"/>
      </w:r>
      <w:r w:rsidR="00BC3E41">
        <w:t xml:space="preserve"> i </w:t>
      </w:r>
      <w:r w:rsidR="00BC3E41">
        <w:fldChar w:fldCharType="begin"/>
      </w:r>
      <w:r w:rsidR="00BC3E41">
        <w:instrText xml:space="preserve"> REF _Ref531165773 \h </w:instrText>
      </w:r>
      <w:r w:rsidR="00BC3E41">
        <w:fldChar w:fldCharType="separate"/>
      </w:r>
      <w:r w:rsidR="00154150">
        <w:t xml:space="preserve">Tablica </w:t>
      </w:r>
      <w:r w:rsidR="00154150">
        <w:rPr>
          <w:noProof/>
        </w:rPr>
        <w:t>3</w:t>
      </w:r>
      <w:r w:rsidR="00154150">
        <w:t>–</w:t>
      </w:r>
      <w:r w:rsidR="00154150">
        <w:rPr>
          <w:noProof/>
        </w:rPr>
        <w:t>2</w:t>
      </w:r>
      <w:r w:rsidR="00BC3E41">
        <w:fldChar w:fldCharType="end"/>
      </w:r>
      <w:r w:rsidR="003125D3">
        <w:t xml:space="preserve">, pri čemu treba istaknuti da se sredstva iz EFRR-a i </w:t>
      </w:r>
      <w:r w:rsidR="00D551B8">
        <w:t>pripadajuće mjere provode do kraja 2023. godine.</w:t>
      </w:r>
      <w:r w:rsidR="00F0028D">
        <w:t xml:space="preserve"> Tablice daju i prijedlog</w:t>
      </w:r>
      <w:r w:rsidR="006D7984">
        <w:t xml:space="preserve"> korištenja ovih izvora u razdoblju od</w:t>
      </w:r>
      <w:r w:rsidR="00F476C7">
        <w:t xml:space="preserve"> 2021. do 2030. godine</w:t>
      </w:r>
      <w:r w:rsidR="00CB050D">
        <w:t xml:space="preserve"> za nastavak provedbe postojećih ili uvođenje novih mjera</w:t>
      </w:r>
      <w:r w:rsidR="00F476C7">
        <w:t>.</w:t>
      </w:r>
      <w:r w:rsidR="00CB050D">
        <w:t xml:space="preserve"> </w:t>
      </w:r>
      <w:r w:rsidR="00CB050D" w:rsidRPr="0031468F">
        <w:rPr>
          <w:b/>
        </w:rPr>
        <w:t>Pri tome treba jasno istaknuti da tablice ne daju procjenu p</w:t>
      </w:r>
      <w:r w:rsidR="006E5C4B" w:rsidRPr="0031468F">
        <w:rPr>
          <w:b/>
        </w:rPr>
        <w:t>otrebnih sredstava za provedbu tih mjera u razdoblju od 2021. do 2030. godine.</w:t>
      </w:r>
      <w:r w:rsidR="0086329E">
        <w:rPr>
          <w:b/>
        </w:rPr>
        <w:t xml:space="preserve"> </w:t>
      </w:r>
    </w:p>
    <w:p w14:paraId="2AC9F0A4" w14:textId="4802A3CE" w:rsidR="004E3AF7" w:rsidRDefault="004E3AF7" w:rsidP="004E3AF7">
      <w:pPr>
        <w:pStyle w:val="Caption"/>
      </w:pPr>
      <w:bookmarkStart w:id="377" w:name="_Ref531165769"/>
      <w:bookmarkStart w:id="378" w:name="_Toc27396213"/>
      <w:bookmarkStart w:id="379" w:name="_Ref531075171"/>
      <w:r>
        <w:t xml:space="preserve">Tablica </w:t>
      </w:r>
      <w:fldSimple w:instr=" STYLEREF 1 \s ">
        <w:r w:rsidR="00154150">
          <w:rPr>
            <w:noProof/>
          </w:rPr>
          <w:t>3</w:t>
        </w:r>
      </w:fldSimple>
      <w:r w:rsidR="00562DF0">
        <w:t>–</w:t>
      </w:r>
      <w:fldSimple w:instr=" SEQ Tablica \* ARABIC \s 1 ">
        <w:r w:rsidR="00154150">
          <w:rPr>
            <w:noProof/>
          </w:rPr>
          <w:t>1</w:t>
        </w:r>
      </w:fldSimple>
      <w:bookmarkEnd w:id="377"/>
      <w:r>
        <w:t xml:space="preserve">: </w:t>
      </w:r>
      <w:r w:rsidR="00901D12">
        <w:t>Procijenjena r</w:t>
      </w:r>
      <w:r>
        <w:t xml:space="preserve">aspoloživa financijska sredstva </w:t>
      </w:r>
      <w:r w:rsidR="00645F6E">
        <w:t xml:space="preserve">iz prodaje emisijskih jedinica stakleničkih plinova </w:t>
      </w:r>
      <w:r w:rsidR="00AD4AB0">
        <w:t>za ulaganja u energetsku učinkovitost</w:t>
      </w:r>
      <w:r w:rsidR="00901D12">
        <w:t xml:space="preserve"> do 2020. godine s</w:t>
      </w:r>
      <w:r w:rsidR="00D16284">
        <w:t xml:space="preserve"> prijedlogom mjera do 2030.</w:t>
      </w:r>
      <w:bookmarkEnd w:id="378"/>
      <w:r w:rsidR="0086329E">
        <w:t xml:space="preserve"> </w:t>
      </w:r>
    </w:p>
    <w:tbl>
      <w:tblPr>
        <w:tblStyle w:val="Svijetlatablicareetke11"/>
        <w:tblW w:w="0" w:type="auto"/>
        <w:tblLook w:val="04A0" w:firstRow="1" w:lastRow="0" w:firstColumn="1" w:lastColumn="0" w:noHBand="0" w:noVBand="1"/>
      </w:tblPr>
      <w:tblGrid>
        <w:gridCol w:w="1150"/>
        <w:gridCol w:w="1631"/>
        <w:gridCol w:w="1608"/>
        <w:gridCol w:w="2622"/>
        <w:gridCol w:w="2049"/>
      </w:tblGrid>
      <w:tr w:rsidR="00987A1C" w:rsidRPr="0053276D" w14:paraId="617D90E0"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EEAF6" w:themeFill="accent1" w:themeFillTint="33"/>
          </w:tcPr>
          <w:p w14:paraId="74453D8B" w14:textId="77777777" w:rsidR="00987A1C" w:rsidRPr="0053276D" w:rsidRDefault="00987A1C" w:rsidP="004912C3">
            <w:pPr>
              <w:spacing w:before="0" w:after="0" w:line="240" w:lineRule="auto"/>
              <w:jc w:val="left"/>
              <w:rPr>
                <w:sz w:val="20"/>
                <w:szCs w:val="20"/>
              </w:rPr>
            </w:pPr>
            <w:r w:rsidRPr="0053276D">
              <w:rPr>
                <w:sz w:val="20"/>
                <w:szCs w:val="20"/>
              </w:rPr>
              <w:t>Izvor sredstava</w:t>
            </w:r>
          </w:p>
        </w:tc>
        <w:tc>
          <w:tcPr>
            <w:tcW w:w="0" w:type="dxa"/>
            <w:shd w:val="clear" w:color="auto" w:fill="DEEAF6" w:themeFill="accent1" w:themeFillTint="33"/>
          </w:tcPr>
          <w:p w14:paraId="1F56F755" w14:textId="77777777" w:rsidR="00987A1C"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Investicijski prioritet</w:t>
            </w:r>
          </w:p>
        </w:tc>
        <w:tc>
          <w:tcPr>
            <w:tcW w:w="0" w:type="dxa"/>
            <w:shd w:val="clear" w:color="auto" w:fill="DEEAF6" w:themeFill="accent1" w:themeFillTint="33"/>
          </w:tcPr>
          <w:p w14:paraId="665B38D7" w14:textId="77777777" w:rsidR="00987A1C" w:rsidRPr="0053276D"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Raspoloživa alokacija</w:t>
            </w:r>
          </w:p>
        </w:tc>
        <w:tc>
          <w:tcPr>
            <w:tcW w:w="0" w:type="dxa"/>
            <w:shd w:val="clear" w:color="auto" w:fill="DEEAF6" w:themeFill="accent1" w:themeFillTint="33"/>
          </w:tcPr>
          <w:p w14:paraId="54A07C73" w14:textId="77777777" w:rsidR="00987A1C" w:rsidRPr="0053276D"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Postojeća financijska mjera</w:t>
            </w:r>
          </w:p>
        </w:tc>
        <w:tc>
          <w:tcPr>
            <w:tcW w:w="0" w:type="dxa"/>
            <w:shd w:val="clear" w:color="auto" w:fill="DEEAF6" w:themeFill="accent1" w:themeFillTint="33"/>
          </w:tcPr>
          <w:p w14:paraId="2BD33AA5" w14:textId="77777777" w:rsidR="00987A1C" w:rsidRDefault="00987A1C" w:rsidP="004912C3">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Mjera za razdoblje od 2021. do 2030.</w:t>
            </w:r>
          </w:p>
        </w:tc>
      </w:tr>
      <w:tr w:rsidR="0041445F" w:rsidRPr="0053276D" w14:paraId="25154DAF" w14:textId="77777777" w:rsidTr="00553A00">
        <w:trPr>
          <w:trHeight w:val="314"/>
        </w:trPr>
        <w:tc>
          <w:tcPr>
            <w:cnfStyle w:val="001000000000" w:firstRow="0" w:lastRow="0" w:firstColumn="1" w:lastColumn="0" w:oddVBand="0" w:evenVBand="0" w:oddHBand="0" w:evenHBand="0" w:firstRowFirstColumn="0" w:firstRowLastColumn="0" w:lastRowFirstColumn="0" w:lastRowLastColumn="0"/>
            <w:tcW w:w="1150" w:type="dxa"/>
            <w:vMerge w:val="restart"/>
            <w:vAlign w:val="center"/>
          </w:tcPr>
          <w:p w14:paraId="292BBF69" w14:textId="1AD9E3EA" w:rsidR="0041445F" w:rsidRPr="0053276D" w:rsidRDefault="0041445F" w:rsidP="004912C3">
            <w:pPr>
              <w:spacing w:before="0" w:after="0" w:line="240" w:lineRule="auto"/>
              <w:rPr>
                <w:sz w:val="20"/>
                <w:szCs w:val="20"/>
              </w:rPr>
            </w:pPr>
            <w:r>
              <w:rPr>
                <w:sz w:val="20"/>
                <w:szCs w:val="20"/>
              </w:rPr>
              <w:t>EU- ETS</w:t>
            </w:r>
          </w:p>
        </w:tc>
        <w:tc>
          <w:tcPr>
            <w:tcW w:w="1632" w:type="dxa"/>
            <w:vMerge w:val="restart"/>
            <w:vAlign w:val="center"/>
          </w:tcPr>
          <w:p w14:paraId="0E5AF76A" w14:textId="10F2B7B0"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165.000.000 kn</w:t>
            </w:r>
          </w:p>
        </w:tc>
        <w:tc>
          <w:tcPr>
            <w:tcW w:w="1608" w:type="dxa"/>
          </w:tcPr>
          <w:p w14:paraId="52D24FEF" w14:textId="31771FA0"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70.000.000 kn</w:t>
            </w:r>
          </w:p>
        </w:tc>
        <w:tc>
          <w:tcPr>
            <w:tcW w:w="2622" w:type="dxa"/>
          </w:tcPr>
          <w:p w14:paraId="69516707" w14:textId="30D9083C"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F07F6C">
              <w:rPr>
                <w:sz w:val="20"/>
                <w:szCs w:val="20"/>
              </w:rPr>
              <w:t xml:space="preserve">Programa energetske obnove zgrada javnog sektora za razdoblje 2014. – 2015. </w:t>
            </w:r>
            <w:r>
              <w:rPr>
                <w:sz w:val="20"/>
                <w:szCs w:val="20"/>
              </w:rPr>
              <w:t>(P.1)</w:t>
            </w:r>
          </w:p>
        </w:tc>
        <w:tc>
          <w:tcPr>
            <w:tcW w:w="2049" w:type="dxa"/>
          </w:tcPr>
          <w:p w14:paraId="72EA6443" w14:textId="4BD4B1F1"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41445F" w:rsidRPr="0053276D" w14:paraId="6D80D6E1"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3D52096B" w14:textId="77777777" w:rsidR="0041445F" w:rsidRDefault="0041445F" w:rsidP="004912C3">
            <w:pPr>
              <w:spacing w:before="0" w:after="0" w:line="240" w:lineRule="auto"/>
              <w:rPr>
                <w:sz w:val="20"/>
                <w:szCs w:val="20"/>
              </w:rPr>
            </w:pPr>
          </w:p>
        </w:tc>
        <w:tc>
          <w:tcPr>
            <w:tcW w:w="1632" w:type="dxa"/>
            <w:vMerge/>
          </w:tcPr>
          <w:p w14:paraId="0F40155B" w14:textId="77777777" w:rsidR="0041445F"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2880027A" w14:textId="24DAD1C3"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23.000.000 kn</w:t>
            </w:r>
          </w:p>
        </w:tc>
        <w:tc>
          <w:tcPr>
            <w:tcW w:w="2622" w:type="dxa"/>
          </w:tcPr>
          <w:p w14:paraId="51EBC18F" w14:textId="07A232E6"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A678EC">
              <w:rPr>
                <w:sz w:val="20"/>
                <w:szCs w:val="20"/>
              </w:rPr>
              <w:t>Program energetske obnove zgrada javnog sektora 2016. – 2020.</w:t>
            </w:r>
            <w:r>
              <w:rPr>
                <w:sz w:val="20"/>
                <w:szCs w:val="20"/>
              </w:rPr>
              <w:t xml:space="preserve"> </w:t>
            </w:r>
            <w:r w:rsidRPr="005023D2">
              <w:rPr>
                <w:sz w:val="20"/>
                <w:szCs w:val="20"/>
              </w:rPr>
              <w:t>(P.2; MEN-5)</w:t>
            </w:r>
          </w:p>
        </w:tc>
        <w:tc>
          <w:tcPr>
            <w:tcW w:w="2049" w:type="dxa"/>
          </w:tcPr>
          <w:p w14:paraId="5C6D707A" w14:textId="64971E46"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41445F" w:rsidRPr="0053276D" w14:paraId="72A2FBC8"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02C0586C" w14:textId="5546C42D" w:rsidR="0041445F" w:rsidRPr="0053276D" w:rsidRDefault="0041445F" w:rsidP="004912C3">
            <w:pPr>
              <w:spacing w:before="0" w:after="0" w:line="240" w:lineRule="auto"/>
              <w:rPr>
                <w:sz w:val="20"/>
                <w:szCs w:val="20"/>
              </w:rPr>
            </w:pPr>
          </w:p>
        </w:tc>
        <w:tc>
          <w:tcPr>
            <w:tcW w:w="1632" w:type="dxa"/>
            <w:vMerge/>
          </w:tcPr>
          <w:p w14:paraId="280CE341" w14:textId="00C30941"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1176FB0D" w14:textId="337B8FEE"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44.108.000 kn</w:t>
            </w:r>
          </w:p>
        </w:tc>
        <w:tc>
          <w:tcPr>
            <w:tcW w:w="2622" w:type="dxa"/>
          </w:tcPr>
          <w:p w14:paraId="1C89E250" w14:textId="588FE47B"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797797">
              <w:rPr>
                <w:sz w:val="20"/>
                <w:szCs w:val="20"/>
              </w:rPr>
              <w:t>rogram</w:t>
            </w:r>
            <w:r>
              <w:rPr>
                <w:sz w:val="20"/>
                <w:szCs w:val="20"/>
              </w:rPr>
              <w:t>i</w:t>
            </w:r>
            <w:r w:rsidRPr="00797797">
              <w:rPr>
                <w:sz w:val="20"/>
                <w:szCs w:val="20"/>
              </w:rPr>
              <w:t xml:space="preserve"> energetske obnove višestambenih zgrada i obiteljskih kuća</w:t>
            </w:r>
            <w:r>
              <w:rPr>
                <w:sz w:val="20"/>
                <w:szCs w:val="20"/>
              </w:rPr>
              <w:t xml:space="preserve"> (</w:t>
            </w:r>
            <w:r w:rsidRPr="00736D7C">
              <w:rPr>
                <w:sz w:val="20"/>
                <w:szCs w:val="20"/>
              </w:rPr>
              <w:t>B.3; MEN-2</w:t>
            </w:r>
            <w:r>
              <w:rPr>
                <w:sz w:val="20"/>
                <w:szCs w:val="20"/>
              </w:rPr>
              <w:t xml:space="preserve"> i </w:t>
            </w:r>
            <w:r w:rsidRPr="00B73AF5">
              <w:rPr>
                <w:sz w:val="20"/>
                <w:szCs w:val="20"/>
              </w:rPr>
              <w:t>B.5; MEN-4</w:t>
            </w:r>
            <w:r>
              <w:rPr>
                <w:sz w:val="20"/>
                <w:szCs w:val="20"/>
              </w:rPr>
              <w:t>)</w:t>
            </w:r>
          </w:p>
        </w:tc>
        <w:tc>
          <w:tcPr>
            <w:tcW w:w="2049" w:type="dxa"/>
          </w:tcPr>
          <w:p w14:paraId="70BBE091" w14:textId="4D42D67A"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Program energetske obnove obiteljskih kuća</w:t>
            </w:r>
            <w:r w:rsidRPr="00EF5587">
              <w:rPr>
                <w:sz w:val="20"/>
                <w:szCs w:val="20"/>
              </w:rPr>
              <w:t xml:space="preserve"> </w:t>
            </w:r>
            <w:r w:rsidRPr="00736D7C">
              <w:rPr>
                <w:sz w:val="20"/>
                <w:szCs w:val="20"/>
              </w:rPr>
              <w:t>(</w:t>
            </w:r>
            <w:r>
              <w:rPr>
                <w:sz w:val="20"/>
                <w:szCs w:val="20"/>
              </w:rPr>
              <w:t>ENU-4</w:t>
            </w:r>
            <w:r w:rsidRPr="00736D7C">
              <w:rPr>
                <w:sz w:val="20"/>
                <w:szCs w:val="20"/>
              </w:rPr>
              <w:t>)</w:t>
            </w:r>
          </w:p>
        </w:tc>
      </w:tr>
      <w:tr w:rsidR="0041445F" w:rsidRPr="0053276D" w14:paraId="180C89BC"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71A21114" w14:textId="77777777" w:rsidR="0041445F" w:rsidRDefault="0041445F" w:rsidP="004912C3">
            <w:pPr>
              <w:spacing w:before="0" w:after="0" w:line="240" w:lineRule="auto"/>
              <w:rPr>
                <w:sz w:val="20"/>
                <w:szCs w:val="20"/>
              </w:rPr>
            </w:pPr>
          </w:p>
        </w:tc>
        <w:tc>
          <w:tcPr>
            <w:tcW w:w="1632" w:type="dxa"/>
            <w:vMerge/>
          </w:tcPr>
          <w:p w14:paraId="71761BFB" w14:textId="77777777" w:rsidR="0041445F" w:rsidRPr="00E122B6"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5B1C65CA" w14:textId="61572A1B"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1.050.000 kn</w:t>
            </w:r>
          </w:p>
        </w:tc>
        <w:tc>
          <w:tcPr>
            <w:tcW w:w="2622" w:type="dxa"/>
          </w:tcPr>
          <w:p w14:paraId="6B79EF17" w14:textId="567A68A4" w:rsidR="0041445F" w:rsidRPr="0053276D" w:rsidRDefault="008954B7"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8954B7">
              <w:rPr>
                <w:sz w:val="20"/>
                <w:szCs w:val="20"/>
              </w:rPr>
              <w:t>Integrirani informacijski sustav za praćenje EnU (H.6; MCC-2)</w:t>
            </w:r>
          </w:p>
        </w:tc>
        <w:tc>
          <w:tcPr>
            <w:tcW w:w="2049" w:type="dxa"/>
          </w:tcPr>
          <w:p w14:paraId="3FD63719" w14:textId="384D32B6" w:rsidR="0041445F" w:rsidRPr="00EF5587" w:rsidRDefault="00AD740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Informativne </w:t>
            </w:r>
            <w:r w:rsidR="006119C9">
              <w:rPr>
                <w:sz w:val="20"/>
                <w:szCs w:val="20"/>
              </w:rPr>
              <w:t xml:space="preserve">i </w:t>
            </w:r>
            <w:r>
              <w:rPr>
                <w:sz w:val="20"/>
                <w:szCs w:val="20"/>
              </w:rPr>
              <w:t>obrazovne mjere</w:t>
            </w:r>
            <w:r w:rsidR="008954B7">
              <w:rPr>
                <w:sz w:val="20"/>
                <w:szCs w:val="20"/>
              </w:rPr>
              <w:t xml:space="preserve"> </w:t>
            </w:r>
            <w:r w:rsidR="008954B7" w:rsidRPr="00CA4490">
              <w:rPr>
                <w:sz w:val="20"/>
                <w:szCs w:val="20"/>
              </w:rPr>
              <w:t>(</w:t>
            </w:r>
            <w:r w:rsidR="00184324">
              <w:rPr>
                <w:sz w:val="20"/>
                <w:szCs w:val="20"/>
              </w:rPr>
              <w:t>ENU-11</w:t>
            </w:r>
            <w:r>
              <w:rPr>
                <w:sz w:val="20"/>
                <w:szCs w:val="20"/>
              </w:rPr>
              <w:t xml:space="preserve"> do </w:t>
            </w:r>
            <w:r w:rsidR="00184324">
              <w:rPr>
                <w:sz w:val="20"/>
                <w:szCs w:val="20"/>
              </w:rPr>
              <w:t>ENU-14</w:t>
            </w:r>
            <w:r w:rsidR="008954B7" w:rsidRPr="00CA4490">
              <w:rPr>
                <w:sz w:val="20"/>
                <w:szCs w:val="20"/>
              </w:rPr>
              <w:t>)</w:t>
            </w:r>
          </w:p>
        </w:tc>
      </w:tr>
      <w:tr w:rsidR="0041445F" w:rsidRPr="0053276D" w14:paraId="43D32549"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340CA7FF" w14:textId="77777777" w:rsidR="0041445F" w:rsidRDefault="0041445F" w:rsidP="004912C3">
            <w:pPr>
              <w:spacing w:before="0" w:after="0" w:line="240" w:lineRule="auto"/>
              <w:rPr>
                <w:sz w:val="20"/>
                <w:szCs w:val="20"/>
              </w:rPr>
            </w:pPr>
          </w:p>
        </w:tc>
        <w:tc>
          <w:tcPr>
            <w:tcW w:w="1632" w:type="dxa"/>
            <w:vMerge/>
          </w:tcPr>
          <w:p w14:paraId="6495AC0A" w14:textId="77777777" w:rsidR="0041445F" w:rsidRPr="00E122B6"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5CF5E3A2" w14:textId="26B97AF7"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90.000 kn</w:t>
            </w:r>
          </w:p>
        </w:tc>
        <w:tc>
          <w:tcPr>
            <w:tcW w:w="2622" w:type="dxa"/>
          </w:tcPr>
          <w:p w14:paraId="602A9C2F" w14:textId="182AD812" w:rsidR="0041445F" w:rsidRPr="0053276D"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Mreža industrijske energetske efikasnosti (I.1; MEN-16)</w:t>
            </w:r>
          </w:p>
        </w:tc>
        <w:tc>
          <w:tcPr>
            <w:tcW w:w="2049" w:type="dxa"/>
          </w:tcPr>
          <w:p w14:paraId="5DB6AB36" w14:textId="00EA35B1" w:rsidR="0041445F" w:rsidRPr="00EF5587"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41445F" w:rsidRPr="0053276D" w14:paraId="3A205E9C" w14:textId="77777777" w:rsidTr="004912C3">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164A463A" w14:textId="77777777" w:rsidR="0041445F" w:rsidRDefault="0041445F" w:rsidP="004912C3">
            <w:pPr>
              <w:spacing w:before="0" w:after="0" w:line="240" w:lineRule="auto"/>
              <w:rPr>
                <w:sz w:val="20"/>
                <w:szCs w:val="20"/>
              </w:rPr>
            </w:pPr>
          </w:p>
        </w:tc>
        <w:tc>
          <w:tcPr>
            <w:tcW w:w="1632" w:type="dxa"/>
            <w:vMerge/>
          </w:tcPr>
          <w:p w14:paraId="3A74D758" w14:textId="77777777" w:rsidR="0041445F" w:rsidRPr="00E122B6" w:rsidRDefault="0041445F"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2F760E41" w14:textId="21D3AB69" w:rsidR="0041445F" w:rsidRPr="0053276D" w:rsidRDefault="0041445F" w:rsidP="004912C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4.000.000 kn</w:t>
            </w:r>
          </w:p>
        </w:tc>
        <w:tc>
          <w:tcPr>
            <w:tcW w:w="2622" w:type="dxa"/>
          </w:tcPr>
          <w:p w14:paraId="5F0DB1CC" w14:textId="2018C05C" w:rsidR="0041445F" w:rsidRPr="0053276D" w:rsidRDefault="005C746A"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Povećanje </w:t>
            </w:r>
            <w:r>
              <w:rPr>
                <w:sz w:val="20"/>
                <w:szCs w:val="20"/>
              </w:rPr>
              <w:t xml:space="preserve">EnU </w:t>
            </w:r>
            <w:r w:rsidRPr="00EF5587">
              <w:rPr>
                <w:sz w:val="20"/>
                <w:szCs w:val="20"/>
              </w:rPr>
              <w:t xml:space="preserve">i korištenja OIE u proizvodnim industrijama </w:t>
            </w:r>
            <w:r w:rsidRPr="00B73AF5">
              <w:rPr>
                <w:sz w:val="20"/>
                <w:szCs w:val="20"/>
              </w:rPr>
              <w:t>(I.2; MEN-17)</w:t>
            </w:r>
            <w:r w:rsidR="004B20A1">
              <w:rPr>
                <w:sz w:val="20"/>
                <w:szCs w:val="20"/>
              </w:rPr>
              <w:t xml:space="preserve"> – uvođenje SGE i ene.pregledi</w:t>
            </w:r>
          </w:p>
        </w:tc>
        <w:tc>
          <w:tcPr>
            <w:tcW w:w="2049" w:type="dxa"/>
          </w:tcPr>
          <w:p w14:paraId="2B6AC550" w14:textId="0FB05C39" w:rsidR="0041445F" w:rsidRPr="00D841EB" w:rsidRDefault="004B20A1" w:rsidP="004912C3">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bl>
    <w:p w14:paraId="12C169E4" w14:textId="6B696E9B" w:rsidR="002B6FB0" w:rsidRDefault="009E653A" w:rsidP="009E653A">
      <w:pPr>
        <w:pStyle w:val="Caption"/>
      </w:pPr>
      <w:bookmarkStart w:id="380" w:name="_Ref531165773"/>
      <w:bookmarkStart w:id="381" w:name="_Toc27396214"/>
      <w:r>
        <w:t xml:space="preserve">Tablica </w:t>
      </w:r>
      <w:fldSimple w:instr=" STYLEREF 1 \s ">
        <w:r w:rsidR="00154150">
          <w:rPr>
            <w:noProof/>
          </w:rPr>
          <w:t>3</w:t>
        </w:r>
      </w:fldSimple>
      <w:r w:rsidR="00562DF0">
        <w:t>–</w:t>
      </w:r>
      <w:fldSimple w:instr=" SEQ Tablica \* ARABIC \s 1 ">
        <w:r w:rsidR="00154150">
          <w:rPr>
            <w:noProof/>
          </w:rPr>
          <w:t>2</w:t>
        </w:r>
      </w:fldSimple>
      <w:bookmarkEnd w:id="379"/>
      <w:bookmarkEnd w:id="380"/>
      <w:r w:rsidR="00FB6408">
        <w:t xml:space="preserve">: </w:t>
      </w:r>
      <w:r w:rsidR="003125D3">
        <w:t>R</w:t>
      </w:r>
      <w:r w:rsidR="00D551B8">
        <w:t xml:space="preserve">aspoloživa financijska sredstva </w:t>
      </w:r>
      <w:r w:rsidR="00A14157">
        <w:t xml:space="preserve">iz ESI </w:t>
      </w:r>
      <w:r w:rsidR="00674B83">
        <w:t>fondova</w:t>
      </w:r>
      <w:r w:rsidR="00A14157">
        <w:t xml:space="preserve"> </w:t>
      </w:r>
      <w:r w:rsidR="00D551B8">
        <w:t>i financijske mjere za energetsku učinkovitosti do 2020.(2023.) godine</w:t>
      </w:r>
      <w:r w:rsidR="006D7984">
        <w:t xml:space="preserve"> s prijedlogom </w:t>
      </w:r>
      <w:r w:rsidR="00A14157">
        <w:t xml:space="preserve">mjera </w:t>
      </w:r>
      <w:r w:rsidR="006D7984">
        <w:t>do 2030.</w:t>
      </w:r>
      <w:bookmarkEnd w:id="381"/>
    </w:p>
    <w:tbl>
      <w:tblPr>
        <w:tblStyle w:val="Svijetlatablicareetke11"/>
        <w:tblW w:w="0" w:type="auto"/>
        <w:tblLook w:val="04A0" w:firstRow="1" w:lastRow="0" w:firstColumn="1" w:lastColumn="0" w:noHBand="0" w:noVBand="1"/>
      </w:tblPr>
      <w:tblGrid>
        <w:gridCol w:w="1150"/>
        <w:gridCol w:w="1632"/>
        <w:gridCol w:w="1608"/>
        <w:gridCol w:w="2621"/>
        <w:gridCol w:w="2049"/>
      </w:tblGrid>
      <w:tr w:rsidR="00CB0CCB" w:rsidRPr="0053276D" w14:paraId="1E29691B" w14:textId="447A508E"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EEAF6" w:themeFill="accent1" w:themeFillTint="33"/>
          </w:tcPr>
          <w:p w14:paraId="4675DB36" w14:textId="18971996" w:rsidR="00CB0CCB" w:rsidRPr="0053276D" w:rsidRDefault="00CB0CCB" w:rsidP="00FE1772">
            <w:pPr>
              <w:spacing w:before="0" w:after="0" w:line="240" w:lineRule="auto"/>
              <w:jc w:val="left"/>
              <w:rPr>
                <w:sz w:val="20"/>
                <w:szCs w:val="20"/>
              </w:rPr>
            </w:pPr>
            <w:r w:rsidRPr="0053276D">
              <w:rPr>
                <w:sz w:val="20"/>
                <w:szCs w:val="20"/>
              </w:rPr>
              <w:t>Izvor sredstava</w:t>
            </w:r>
          </w:p>
        </w:tc>
        <w:tc>
          <w:tcPr>
            <w:tcW w:w="0" w:type="dxa"/>
            <w:shd w:val="clear" w:color="auto" w:fill="DEEAF6" w:themeFill="accent1" w:themeFillTint="33"/>
          </w:tcPr>
          <w:p w14:paraId="5A3DADDB" w14:textId="5941E0E9" w:rsidR="00CB0CCB" w:rsidRDefault="00CB0CCB"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Investicijski prioritet</w:t>
            </w:r>
          </w:p>
        </w:tc>
        <w:tc>
          <w:tcPr>
            <w:tcW w:w="0" w:type="dxa"/>
            <w:shd w:val="clear" w:color="auto" w:fill="DEEAF6" w:themeFill="accent1" w:themeFillTint="33"/>
          </w:tcPr>
          <w:p w14:paraId="32678FF8" w14:textId="05E5C185" w:rsidR="00CB0CCB" w:rsidRPr="0053276D" w:rsidRDefault="00CB0CCB"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Raspoloživa alokacija</w:t>
            </w:r>
          </w:p>
        </w:tc>
        <w:tc>
          <w:tcPr>
            <w:tcW w:w="0" w:type="dxa"/>
            <w:shd w:val="clear" w:color="auto" w:fill="DEEAF6" w:themeFill="accent1" w:themeFillTint="33"/>
          </w:tcPr>
          <w:p w14:paraId="4A0ADF68" w14:textId="42CCBB2B" w:rsidR="00CB0CCB" w:rsidRPr="0053276D" w:rsidRDefault="00CB0CCB"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Postojeća financijska mjera</w:t>
            </w:r>
          </w:p>
        </w:tc>
        <w:tc>
          <w:tcPr>
            <w:tcW w:w="0" w:type="dxa"/>
            <w:shd w:val="clear" w:color="auto" w:fill="DEEAF6" w:themeFill="accent1" w:themeFillTint="33"/>
          </w:tcPr>
          <w:p w14:paraId="237132B3" w14:textId="2EF0F3B7" w:rsidR="00CB0CCB" w:rsidRDefault="00B26187" w:rsidP="00FE1772">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Mjera za razdoblje od 2021. do 20</w:t>
            </w:r>
            <w:r w:rsidR="003816D8">
              <w:rPr>
                <w:sz w:val="20"/>
                <w:szCs w:val="20"/>
              </w:rPr>
              <w:t>30.</w:t>
            </w:r>
          </w:p>
        </w:tc>
      </w:tr>
      <w:tr w:rsidR="00CB0CCB" w:rsidRPr="0053276D" w14:paraId="2EDE03A5" w14:textId="06E8AE2E" w:rsidTr="00FE1772">
        <w:trPr>
          <w:trHeight w:val="314"/>
        </w:trPr>
        <w:tc>
          <w:tcPr>
            <w:cnfStyle w:val="001000000000" w:firstRow="0" w:lastRow="0" w:firstColumn="1" w:lastColumn="0" w:oddVBand="0" w:evenVBand="0" w:oddHBand="0" w:evenHBand="0" w:firstRowFirstColumn="0" w:firstRowLastColumn="0" w:lastRowFirstColumn="0" w:lastRowLastColumn="0"/>
            <w:tcW w:w="1150" w:type="dxa"/>
            <w:vMerge w:val="restart"/>
          </w:tcPr>
          <w:p w14:paraId="35B1FFDC" w14:textId="1424157A" w:rsidR="00CB0CCB" w:rsidRPr="0053276D" w:rsidRDefault="00CB0CCB" w:rsidP="005E5BE9">
            <w:pPr>
              <w:spacing w:before="0" w:after="0" w:line="240" w:lineRule="auto"/>
              <w:rPr>
                <w:sz w:val="20"/>
                <w:szCs w:val="20"/>
              </w:rPr>
            </w:pPr>
            <w:r>
              <w:rPr>
                <w:sz w:val="20"/>
                <w:szCs w:val="20"/>
              </w:rPr>
              <w:t>EFRR</w:t>
            </w:r>
          </w:p>
        </w:tc>
        <w:tc>
          <w:tcPr>
            <w:tcW w:w="1632" w:type="dxa"/>
            <w:vMerge w:val="restart"/>
          </w:tcPr>
          <w:p w14:paraId="5FC87C13" w14:textId="3F326475" w:rsidR="00CB0CCB" w:rsidRPr="0053276D"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4b - </w:t>
            </w:r>
            <w:r w:rsidRPr="00E122B6">
              <w:rPr>
                <w:sz w:val="20"/>
                <w:szCs w:val="20"/>
              </w:rPr>
              <w:t xml:space="preserve">Promicanje </w:t>
            </w:r>
            <w:r>
              <w:rPr>
                <w:sz w:val="20"/>
                <w:szCs w:val="20"/>
              </w:rPr>
              <w:t>EnU</w:t>
            </w:r>
            <w:r w:rsidRPr="00E122B6">
              <w:rPr>
                <w:sz w:val="20"/>
                <w:szCs w:val="20"/>
              </w:rPr>
              <w:t xml:space="preserve"> i korištenja </w:t>
            </w:r>
            <w:r>
              <w:rPr>
                <w:sz w:val="20"/>
                <w:szCs w:val="20"/>
              </w:rPr>
              <w:t>OIE</w:t>
            </w:r>
            <w:r w:rsidRPr="00E122B6">
              <w:rPr>
                <w:sz w:val="20"/>
                <w:szCs w:val="20"/>
              </w:rPr>
              <w:t xml:space="preserve"> u poduzećima</w:t>
            </w:r>
          </w:p>
        </w:tc>
        <w:tc>
          <w:tcPr>
            <w:tcW w:w="1608" w:type="dxa"/>
          </w:tcPr>
          <w:p w14:paraId="08B1669A" w14:textId="5B546A5B"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007537">
              <w:rPr>
                <w:sz w:val="20"/>
                <w:szCs w:val="20"/>
              </w:rPr>
              <w:t>60.000.000 €</w:t>
            </w:r>
          </w:p>
        </w:tc>
        <w:tc>
          <w:tcPr>
            <w:tcW w:w="2622" w:type="dxa"/>
          </w:tcPr>
          <w:p w14:paraId="18B9E6F5" w14:textId="433535F7"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Povećanje </w:t>
            </w:r>
            <w:r>
              <w:rPr>
                <w:sz w:val="20"/>
                <w:szCs w:val="20"/>
              </w:rPr>
              <w:t xml:space="preserve">EnU </w:t>
            </w:r>
            <w:r w:rsidRPr="00EF5587">
              <w:rPr>
                <w:sz w:val="20"/>
                <w:szCs w:val="20"/>
              </w:rPr>
              <w:t xml:space="preserve">i korištenja OIE u proizvodnim industrijama </w:t>
            </w:r>
            <w:r w:rsidRPr="00B73AF5">
              <w:rPr>
                <w:sz w:val="20"/>
                <w:szCs w:val="20"/>
              </w:rPr>
              <w:t>(I.2; MEN-17)</w:t>
            </w:r>
          </w:p>
        </w:tc>
        <w:tc>
          <w:tcPr>
            <w:tcW w:w="2049" w:type="dxa"/>
          </w:tcPr>
          <w:p w14:paraId="276ED0F6" w14:textId="71CA2943" w:rsidR="00CB0CCB" w:rsidRPr="00EF5587" w:rsidRDefault="003816D8"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CB0CCB" w:rsidRPr="0053276D" w14:paraId="64AF496D" w14:textId="58045A0A"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4B80BBE8" w14:textId="77777777" w:rsidR="00CB0CCB" w:rsidRDefault="00CB0CCB" w:rsidP="005E5BE9">
            <w:pPr>
              <w:spacing w:before="0" w:after="0" w:line="240" w:lineRule="auto"/>
              <w:rPr>
                <w:sz w:val="20"/>
                <w:szCs w:val="20"/>
              </w:rPr>
            </w:pPr>
          </w:p>
        </w:tc>
        <w:tc>
          <w:tcPr>
            <w:tcW w:w="1632" w:type="dxa"/>
            <w:vMerge/>
          </w:tcPr>
          <w:p w14:paraId="24B582DB" w14:textId="77777777" w:rsidR="00CB0CCB"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6269E1A6" w14:textId="40A65BEA"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Pr="00007537">
              <w:rPr>
                <w:sz w:val="20"/>
                <w:szCs w:val="20"/>
              </w:rPr>
              <w:t>0.000.000 €</w:t>
            </w:r>
          </w:p>
        </w:tc>
        <w:tc>
          <w:tcPr>
            <w:tcW w:w="2622" w:type="dxa"/>
          </w:tcPr>
          <w:p w14:paraId="13029232" w14:textId="23A28B73"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Povećanje energetske učinkovitosti i korištenja OIE u komercijalnom uslužnom sektoru (turizam i trgovina) </w:t>
            </w:r>
            <w:r w:rsidRPr="00736D7C">
              <w:rPr>
                <w:sz w:val="20"/>
                <w:szCs w:val="20"/>
              </w:rPr>
              <w:t>(B.4; MEN-3)</w:t>
            </w:r>
          </w:p>
        </w:tc>
        <w:tc>
          <w:tcPr>
            <w:tcW w:w="2049" w:type="dxa"/>
          </w:tcPr>
          <w:p w14:paraId="39FF148A" w14:textId="5ACD7013" w:rsidR="00CB0CCB" w:rsidRPr="00EF5587" w:rsidRDefault="0051574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CB0CCB" w:rsidRPr="0053276D" w14:paraId="6303022B" w14:textId="68EBE57F"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val="restart"/>
          </w:tcPr>
          <w:p w14:paraId="163EA517" w14:textId="29917BB6" w:rsidR="00CB0CCB" w:rsidRPr="0053276D" w:rsidRDefault="00CB0CCB" w:rsidP="005E5BE9">
            <w:pPr>
              <w:spacing w:before="0" w:after="0" w:line="240" w:lineRule="auto"/>
              <w:rPr>
                <w:sz w:val="20"/>
                <w:szCs w:val="20"/>
              </w:rPr>
            </w:pPr>
            <w:r>
              <w:rPr>
                <w:sz w:val="20"/>
                <w:szCs w:val="20"/>
              </w:rPr>
              <w:t>EFRR</w:t>
            </w:r>
          </w:p>
        </w:tc>
        <w:tc>
          <w:tcPr>
            <w:tcW w:w="1632" w:type="dxa"/>
            <w:vMerge w:val="restart"/>
          </w:tcPr>
          <w:p w14:paraId="5A86F728" w14:textId="633647BF" w:rsidR="00CB0CCB" w:rsidRPr="0053276D"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122B6">
              <w:rPr>
                <w:sz w:val="20"/>
                <w:szCs w:val="20"/>
              </w:rPr>
              <w:t xml:space="preserve">4c - Podupiranje </w:t>
            </w:r>
            <w:r>
              <w:rPr>
                <w:sz w:val="20"/>
                <w:szCs w:val="20"/>
              </w:rPr>
              <w:t>EnU</w:t>
            </w:r>
            <w:r w:rsidRPr="00E122B6">
              <w:rPr>
                <w:sz w:val="20"/>
                <w:szCs w:val="20"/>
              </w:rPr>
              <w:t xml:space="preserve">, pametnog upravljanja energijom i korištenje </w:t>
            </w:r>
            <w:r>
              <w:rPr>
                <w:sz w:val="20"/>
                <w:szCs w:val="20"/>
              </w:rPr>
              <w:t>OIE</w:t>
            </w:r>
            <w:r w:rsidRPr="00E122B6">
              <w:rPr>
                <w:sz w:val="20"/>
                <w:szCs w:val="20"/>
              </w:rPr>
              <w:t xml:space="preserve"> u javnoj infrastrukturi, uključujući javne zgrade te u stambenom sektoru</w:t>
            </w:r>
          </w:p>
        </w:tc>
        <w:tc>
          <w:tcPr>
            <w:tcW w:w="1608" w:type="dxa"/>
          </w:tcPr>
          <w:p w14:paraId="7C501627" w14:textId="087E0CA2"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E916ED">
              <w:rPr>
                <w:sz w:val="20"/>
                <w:szCs w:val="20"/>
              </w:rPr>
              <w:t>211.810.805 €</w:t>
            </w:r>
          </w:p>
        </w:tc>
        <w:tc>
          <w:tcPr>
            <w:tcW w:w="2622" w:type="dxa"/>
          </w:tcPr>
          <w:p w14:paraId="276EDC37" w14:textId="7876B25F"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energetske obnove zgrada javnog sektora 2016.-2020. </w:t>
            </w:r>
            <w:r w:rsidRPr="005023D2">
              <w:rPr>
                <w:sz w:val="20"/>
                <w:szCs w:val="20"/>
              </w:rPr>
              <w:t>(P.2; MEN-5)</w:t>
            </w:r>
          </w:p>
        </w:tc>
        <w:tc>
          <w:tcPr>
            <w:tcW w:w="2049" w:type="dxa"/>
          </w:tcPr>
          <w:p w14:paraId="3CD02722" w14:textId="4076E411" w:rsidR="00CB0CCB" w:rsidRPr="00EF5587" w:rsidRDefault="0051574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energetske obnove zgrada javnog sektora 2016.-2020. </w:t>
            </w:r>
            <w:r>
              <w:rPr>
                <w:sz w:val="20"/>
                <w:szCs w:val="20"/>
              </w:rPr>
              <w:t>(ENU-5)</w:t>
            </w:r>
          </w:p>
        </w:tc>
      </w:tr>
      <w:tr w:rsidR="00CB0CCB" w:rsidRPr="0053276D" w14:paraId="23D4CB73" w14:textId="684F3106"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1BB7FACC" w14:textId="77777777" w:rsidR="00CB0CCB" w:rsidRDefault="00CB0CCB" w:rsidP="005E5BE9">
            <w:pPr>
              <w:spacing w:before="0" w:after="0" w:line="240" w:lineRule="auto"/>
              <w:rPr>
                <w:sz w:val="20"/>
                <w:szCs w:val="20"/>
              </w:rPr>
            </w:pPr>
          </w:p>
        </w:tc>
        <w:tc>
          <w:tcPr>
            <w:tcW w:w="1632" w:type="dxa"/>
            <w:vMerge/>
          </w:tcPr>
          <w:p w14:paraId="7C1D272B"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05748C45" w14:textId="37533E8B" w:rsidR="00CB0CCB" w:rsidRPr="0053276D" w:rsidRDefault="00B95D23"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w:t>
            </w:r>
            <w:r w:rsidR="00CB0CCB" w:rsidRPr="004B001E">
              <w:rPr>
                <w:sz w:val="20"/>
                <w:szCs w:val="20"/>
              </w:rPr>
              <w:t>.000.000 €</w:t>
            </w:r>
          </w:p>
        </w:tc>
        <w:tc>
          <w:tcPr>
            <w:tcW w:w="2622" w:type="dxa"/>
          </w:tcPr>
          <w:p w14:paraId="6335D90E" w14:textId="5A7E0A43"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Poticanje integralne obnove višestambenih zgrada </w:t>
            </w:r>
            <w:r w:rsidRPr="00736D7C">
              <w:rPr>
                <w:sz w:val="20"/>
                <w:szCs w:val="20"/>
              </w:rPr>
              <w:t>(B.3; MEN-2)</w:t>
            </w:r>
          </w:p>
        </w:tc>
        <w:tc>
          <w:tcPr>
            <w:tcW w:w="2049" w:type="dxa"/>
          </w:tcPr>
          <w:p w14:paraId="4118B10F" w14:textId="0B844427" w:rsidR="00CB0CCB" w:rsidRPr="00EF5587" w:rsidRDefault="00470B9D"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Program energetske obnove višestambenih zgrada</w:t>
            </w:r>
            <w:r w:rsidR="0051574A" w:rsidRPr="00EF5587">
              <w:rPr>
                <w:sz w:val="20"/>
                <w:szCs w:val="20"/>
              </w:rPr>
              <w:t xml:space="preserve"> </w:t>
            </w:r>
            <w:r w:rsidR="0051574A" w:rsidRPr="00736D7C">
              <w:rPr>
                <w:sz w:val="20"/>
                <w:szCs w:val="20"/>
              </w:rPr>
              <w:t>(</w:t>
            </w:r>
            <w:r w:rsidR="00573E0A">
              <w:rPr>
                <w:sz w:val="20"/>
                <w:szCs w:val="20"/>
              </w:rPr>
              <w:t>ENU-3</w:t>
            </w:r>
            <w:r w:rsidR="0051574A" w:rsidRPr="00736D7C">
              <w:rPr>
                <w:sz w:val="20"/>
                <w:szCs w:val="20"/>
              </w:rPr>
              <w:t>)</w:t>
            </w:r>
          </w:p>
        </w:tc>
      </w:tr>
      <w:tr w:rsidR="00CB0CCB" w:rsidRPr="0053276D" w14:paraId="27076005" w14:textId="73559660"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358DBAB1" w14:textId="77777777" w:rsidR="00CB0CCB" w:rsidRDefault="00CB0CCB" w:rsidP="005E5BE9">
            <w:pPr>
              <w:spacing w:before="0" w:after="0" w:line="240" w:lineRule="auto"/>
              <w:rPr>
                <w:sz w:val="20"/>
                <w:szCs w:val="20"/>
              </w:rPr>
            </w:pPr>
          </w:p>
        </w:tc>
        <w:tc>
          <w:tcPr>
            <w:tcW w:w="1632" w:type="dxa"/>
            <w:vMerge/>
          </w:tcPr>
          <w:p w14:paraId="193FEFD2"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44E004C2" w14:textId="2CE8D5CB"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30.000.000 €</w:t>
            </w:r>
          </w:p>
        </w:tc>
        <w:tc>
          <w:tcPr>
            <w:tcW w:w="2622" w:type="dxa"/>
          </w:tcPr>
          <w:p w14:paraId="61236C87" w14:textId="480C10B9"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energetske obnove obiteljskih kuća 2014.-2020. </w:t>
            </w:r>
            <w:r w:rsidRPr="00B73AF5">
              <w:rPr>
                <w:sz w:val="20"/>
                <w:szCs w:val="20"/>
              </w:rPr>
              <w:t>(B.5; MEN-4)</w:t>
            </w:r>
            <w:r w:rsidR="006F708E">
              <w:rPr>
                <w:sz w:val="20"/>
                <w:szCs w:val="20"/>
              </w:rPr>
              <w:t>*</w:t>
            </w:r>
          </w:p>
        </w:tc>
        <w:tc>
          <w:tcPr>
            <w:tcW w:w="2049" w:type="dxa"/>
          </w:tcPr>
          <w:p w14:paraId="3576DB02" w14:textId="5E9BF514" w:rsidR="00CB0CCB" w:rsidRPr="00EF5587" w:rsidRDefault="00573E0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CB0CCB" w:rsidRPr="0053276D" w14:paraId="5AD49955" w14:textId="063AB45A" w:rsidTr="00FE1772">
        <w:trPr>
          <w:trHeight w:val="70"/>
        </w:trPr>
        <w:tc>
          <w:tcPr>
            <w:cnfStyle w:val="001000000000" w:firstRow="0" w:lastRow="0" w:firstColumn="1" w:lastColumn="0" w:oddVBand="0" w:evenVBand="0" w:oddHBand="0" w:evenHBand="0" w:firstRowFirstColumn="0" w:firstRowLastColumn="0" w:lastRowFirstColumn="0" w:lastRowLastColumn="0"/>
            <w:tcW w:w="1150" w:type="dxa"/>
            <w:vMerge/>
          </w:tcPr>
          <w:p w14:paraId="60FB65A6" w14:textId="77777777" w:rsidR="00CB0CCB" w:rsidRDefault="00CB0CCB" w:rsidP="005E5BE9">
            <w:pPr>
              <w:spacing w:before="0" w:after="0" w:line="240" w:lineRule="auto"/>
              <w:rPr>
                <w:sz w:val="20"/>
                <w:szCs w:val="20"/>
              </w:rPr>
            </w:pPr>
          </w:p>
        </w:tc>
        <w:tc>
          <w:tcPr>
            <w:tcW w:w="1632" w:type="dxa"/>
            <w:vMerge/>
          </w:tcPr>
          <w:p w14:paraId="2777763C"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2CFFA8F9" w14:textId="250D0F1E" w:rsidR="00CB0CCB" w:rsidRPr="0053276D" w:rsidRDefault="00CB0CCB" w:rsidP="0051574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E32CD0">
              <w:rPr>
                <w:sz w:val="20"/>
                <w:szCs w:val="20"/>
              </w:rPr>
              <w:t>80.000.000 €</w:t>
            </w:r>
          </w:p>
        </w:tc>
        <w:tc>
          <w:tcPr>
            <w:tcW w:w="2622" w:type="dxa"/>
          </w:tcPr>
          <w:p w14:paraId="670235BE" w14:textId="08A1B0E2"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D841EB">
              <w:rPr>
                <w:sz w:val="20"/>
                <w:szCs w:val="20"/>
              </w:rPr>
              <w:t>Povećanje učinkovitosti sustava toplinarstva</w:t>
            </w:r>
            <w:r>
              <w:rPr>
                <w:sz w:val="20"/>
                <w:szCs w:val="20"/>
              </w:rPr>
              <w:t xml:space="preserve"> (E.7; MEN-24)</w:t>
            </w:r>
          </w:p>
        </w:tc>
        <w:tc>
          <w:tcPr>
            <w:tcW w:w="2049" w:type="dxa"/>
          </w:tcPr>
          <w:p w14:paraId="1525978C" w14:textId="66F1C834" w:rsidR="00CB0CCB" w:rsidRPr="00D841EB" w:rsidRDefault="00C70AEA"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Povećanje učinkovitosti sustava toplinarstva (</w:t>
            </w:r>
            <w:r w:rsidR="00184324">
              <w:rPr>
                <w:sz w:val="20"/>
                <w:szCs w:val="20"/>
              </w:rPr>
              <w:t>ENU-17</w:t>
            </w:r>
            <w:r>
              <w:rPr>
                <w:sz w:val="20"/>
                <w:szCs w:val="20"/>
              </w:rPr>
              <w:t>)</w:t>
            </w:r>
          </w:p>
        </w:tc>
      </w:tr>
      <w:tr w:rsidR="00CB0CCB" w:rsidRPr="0053276D" w14:paraId="531E38C6" w14:textId="110224BB" w:rsidTr="00FE1772">
        <w:trPr>
          <w:trHeight w:val="75"/>
        </w:trPr>
        <w:tc>
          <w:tcPr>
            <w:cnfStyle w:val="001000000000" w:firstRow="0" w:lastRow="0" w:firstColumn="1" w:lastColumn="0" w:oddVBand="0" w:evenVBand="0" w:oddHBand="0" w:evenHBand="0" w:firstRowFirstColumn="0" w:firstRowLastColumn="0" w:lastRowFirstColumn="0" w:lastRowLastColumn="0"/>
            <w:tcW w:w="1150" w:type="dxa"/>
            <w:vMerge/>
          </w:tcPr>
          <w:p w14:paraId="290B2D85" w14:textId="77777777" w:rsidR="00CB0CCB" w:rsidRDefault="00CB0CCB" w:rsidP="002D6379">
            <w:pPr>
              <w:spacing w:before="0" w:after="0" w:line="240" w:lineRule="auto"/>
              <w:rPr>
                <w:sz w:val="20"/>
                <w:szCs w:val="20"/>
              </w:rPr>
            </w:pPr>
          </w:p>
        </w:tc>
        <w:tc>
          <w:tcPr>
            <w:tcW w:w="1632" w:type="dxa"/>
            <w:vMerge/>
          </w:tcPr>
          <w:p w14:paraId="2CDE006A" w14:textId="77777777" w:rsidR="00CB0CCB" w:rsidRPr="00E122B6" w:rsidRDefault="00CB0CCB" w:rsidP="002D6379">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5BC2A5B8" w14:textId="504ADFCA" w:rsidR="00CB0CCB" w:rsidRPr="0053276D" w:rsidRDefault="00CB0CCB" w:rsidP="002D637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32CD0">
              <w:rPr>
                <w:sz w:val="20"/>
                <w:szCs w:val="20"/>
              </w:rPr>
              <w:t>0.000.000 €</w:t>
            </w:r>
          </w:p>
        </w:tc>
        <w:tc>
          <w:tcPr>
            <w:tcW w:w="2622" w:type="dxa"/>
          </w:tcPr>
          <w:p w14:paraId="555C5B0F" w14:textId="1BF673FA" w:rsidR="00CB0CCB" w:rsidRPr="0053276D" w:rsidRDefault="00CB0CCB"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Program „Energetski učinkovita javna rasvjeta“</w:t>
            </w:r>
            <w:r>
              <w:rPr>
                <w:sz w:val="20"/>
                <w:szCs w:val="20"/>
              </w:rPr>
              <w:t xml:space="preserve"> </w:t>
            </w:r>
            <w:r w:rsidRPr="00D12928">
              <w:rPr>
                <w:sz w:val="20"/>
                <w:szCs w:val="20"/>
              </w:rPr>
              <w:t>(P.4; MEN-13)</w:t>
            </w:r>
          </w:p>
        </w:tc>
        <w:tc>
          <w:tcPr>
            <w:tcW w:w="2049" w:type="dxa"/>
          </w:tcPr>
          <w:p w14:paraId="1A47D7E7" w14:textId="5D49550D" w:rsidR="00CB0CCB" w:rsidRPr="00EF5587" w:rsidRDefault="00674B83" w:rsidP="002D6379">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F5587">
              <w:rPr>
                <w:sz w:val="20"/>
                <w:szCs w:val="20"/>
              </w:rPr>
              <w:t xml:space="preserve">Program </w:t>
            </w:r>
            <w:r w:rsidR="00C8010A">
              <w:rPr>
                <w:sz w:val="20"/>
                <w:szCs w:val="20"/>
              </w:rPr>
              <w:t>energetske obnove javne rasvjete</w:t>
            </w:r>
            <w:r>
              <w:rPr>
                <w:sz w:val="20"/>
                <w:szCs w:val="20"/>
              </w:rPr>
              <w:t xml:space="preserve"> </w:t>
            </w:r>
            <w:r w:rsidR="00573E0A" w:rsidRPr="00736D7C">
              <w:rPr>
                <w:sz w:val="20"/>
                <w:szCs w:val="20"/>
              </w:rPr>
              <w:t>(</w:t>
            </w:r>
            <w:r w:rsidR="00184324">
              <w:rPr>
                <w:sz w:val="20"/>
                <w:szCs w:val="20"/>
              </w:rPr>
              <w:t>ENU-8</w:t>
            </w:r>
            <w:r w:rsidR="00573E0A" w:rsidRPr="00736D7C">
              <w:rPr>
                <w:sz w:val="20"/>
                <w:szCs w:val="20"/>
              </w:rPr>
              <w:t>)</w:t>
            </w:r>
          </w:p>
        </w:tc>
      </w:tr>
      <w:tr w:rsidR="00A64FA7" w:rsidRPr="0053276D" w14:paraId="2DC16907" w14:textId="79552309" w:rsidTr="00FE1772">
        <w:tc>
          <w:tcPr>
            <w:cnfStyle w:val="001000000000" w:firstRow="0" w:lastRow="0" w:firstColumn="1" w:lastColumn="0" w:oddVBand="0" w:evenVBand="0" w:oddHBand="0" w:evenHBand="0" w:firstRowFirstColumn="0" w:firstRowLastColumn="0" w:lastRowFirstColumn="0" w:lastRowLastColumn="0"/>
            <w:tcW w:w="1150" w:type="dxa"/>
            <w:vMerge w:val="restart"/>
          </w:tcPr>
          <w:p w14:paraId="057723CF" w14:textId="7EFF7FC2" w:rsidR="00A64FA7" w:rsidRPr="0053276D" w:rsidRDefault="00A64FA7" w:rsidP="002D6379">
            <w:pPr>
              <w:spacing w:before="0" w:after="0" w:line="240" w:lineRule="auto"/>
              <w:rPr>
                <w:sz w:val="20"/>
                <w:szCs w:val="20"/>
              </w:rPr>
            </w:pPr>
            <w:r>
              <w:rPr>
                <w:sz w:val="20"/>
                <w:szCs w:val="20"/>
              </w:rPr>
              <w:t>EFRR</w:t>
            </w:r>
          </w:p>
        </w:tc>
        <w:tc>
          <w:tcPr>
            <w:tcW w:w="1632" w:type="dxa"/>
          </w:tcPr>
          <w:p w14:paraId="7F17D53F" w14:textId="50273E75" w:rsidR="00A64FA7" w:rsidRPr="0053276D" w:rsidRDefault="00A64FA7" w:rsidP="002D6379">
            <w:pPr>
              <w:pStyle w:val="Defaul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4d - Razvoj i provedba pametnih sustava distribucije pri niskim i srednjim razinama napona </w:t>
            </w:r>
          </w:p>
        </w:tc>
        <w:tc>
          <w:tcPr>
            <w:tcW w:w="1608" w:type="dxa"/>
          </w:tcPr>
          <w:p w14:paraId="46A57D29" w14:textId="0F932667" w:rsidR="00A64FA7" w:rsidRPr="0053276D" w:rsidRDefault="00A74D0F" w:rsidP="002D637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Pr="00E32CD0">
              <w:rPr>
                <w:sz w:val="20"/>
                <w:szCs w:val="20"/>
              </w:rPr>
              <w:t>0</w:t>
            </w:r>
            <w:r w:rsidR="00A64FA7" w:rsidRPr="00E32CD0">
              <w:rPr>
                <w:sz w:val="20"/>
                <w:szCs w:val="20"/>
              </w:rPr>
              <w:t>.000.000 €</w:t>
            </w:r>
          </w:p>
        </w:tc>
        <w:tc>
          <w:tcPr>
            <w:tcW w:w="2622" w:type="dxa"/>
          </w:tcPr>
          <w:p w14:paraId="55BF7A3D" w14:textId="38A7757F" w:rsidR="00A64FA7" w:rsidRPr="0053276D" w:rsidRDefault="00A64FA7"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Pilot projekt u</w:t>
            </w:r>
            <w:r w:rsidRPr="00A53DC9">
              <w:rPr>
                <w:sz w:val="20"/>
                <w:szCs w:val="20"/>
              </w:rPr>
              <w:t>vođenj</w:t>
            </w:r>
            <w:r>
              <w:rPr>
                <w:sz w:val="20"/>
                <w:szCs w:val="20"/>
              </w:rPr>
              <w:t>a</w:t>
            </w:r>
            <w:r w:rsidRPr="00A53DC9">
              <w:rPr>
                <w:sz w:val="20"/>
                <w:szCs w:val="20"/>
              </w:rPr>
              <w:t xml:space="preserve"> pametnih mreža na pilot područjima</w:t>
            </w:r>
            <w:r>
              <w:rPr>
                <w:sz w:val="20"/>
                <w:szCs w:val="20"/>
              </w:rPr>
              <w:t xml:space="preserve"> (E.9; MEN-25)</w:t>
            </w:r>
          </w:p>
        </w:tc>
        <w:tc>
          <w:tcPr>
            <w:tcW w:w="2049" w:type="dxa"/>
          </w:tcPr>
          <w:p w14:paraId="522E0814" w14:textId="12153EFD" w:rsidR="00A64FA7" w:rsidRPr="00D57512" w:rsidRDefault="00A64FA7" w:rsidP="002D6379">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D57512">
              <w:rPr>
                <w:sz w:val="20"/>
                <w:szCs w:val="20"/>
              </w:rPr>
              <w:t>Program uvođenja pametnih mreža (</w:t>
            </w:r>
            <w:r w:rsidR="00184324">
              <w:rPr>
                <w:sz w:val="20"/>
                <w:szCs w:val="20"/>
              </w:rPr>
              <w:t>ENU-16</w:t>
            </w:r>
            <w:r w:rsidRPr="00D57512">
              <w:rPr>
                <w:sz w:val="20"/>
                <w:szCs w:val="20"/>
              </w:rPr>
              <w:t>)</w:t>
            </w:r>
          </w:p>
        </w:tc>
      </w:tr>
      <w:tr w:rsidR="00A64FA7" w:rsidRPr="0053276D" w14:paraId="31BB5760" w14:textId="77777777" w:rsidTr="00FE1772">
        <w:tc>
          <w:tcPr>
            <w:cnfStyle w:val="001000000000" w:firstRow="0" w:lastRow="0" w:firstColumn="1" w:lastColumn="0" w:oddVBand="0" w:evenVBand="0" w:oddHBand="0" w:evenHBand="0" w:firstRowFirstColumn="0" w:firstRowLastColumn="0" w:lastRowFirstColumn="0" w:lastRowLastColumn="0"/>
            <w:tcW w:w="1150" w:type="dxa"/>
            <w:vMerge/>
          </w:tcPr>
          <w:p w14:paraId="1B45FA15" w14:textId="77777777" w:rsidR="00A64FA7" w:rsidRDefault="00A64FA7" w:rsidP="002D6379">
            <w:pPr>
              <w:spacing w:before="0" w:after="0" w:line="240" w:lineRule="auto"/>
              <w:rPr>
                <w:sz w:val="20"/>
                <w:szCs w:val="20"/>
              </w:rPr>
            </w:pPr>
          </w:p>
        </w:tc>
        <w:tc>
          <w:tcPr>
            <w:tcW w:w="1632" w:type="dxa"/>
          </w:tcPr>
          <w:p w14:paraId="6697B90A" w14:textId="77777777" w:rsidR="00A64FA7" w:rsidRDefault="00A64FA7" w:rsidP="002D6379">
            <w:pPr>
              <w:pStyle w:val="Default"/>
              <w:cnfStyle w:val="000000000000" w:firstRow="0" w:lastRow="0" w:firstColumn="0" w:lastColumn="0" w:oddVBand="0" w:evenVBand="0" w:oddHBand="0" w:evenHBand="0" w:firstRowFirstColumn="0" w:firstRowLastColumn="0" w:lastRowFirstColumn="0" w:lastRowLastColumn="0"/>
              <w:rPr>
                <w:sz w:val="20"/>
                <w:szCs w:val="20"/>
              </w:rPr>
            </w:pPr>
          </w:p>
        </w:tc>
        <w:tc>
          <w:tcPr>
            <w:tcW w:w="1608" w:type="dxa"/>
          </w:tcPr>
          <w:p w14:paraId="65A2A46D" w14:textId="77777777" w:rsidR="00A64FA7" w:rsidRPr="00E32CD0" w:rsidRDefault="00A64FA7" w:rsidP="002D637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2622" w:type="dxa"/>
          </w:tcPr>
          <w:p w14:paraId="2B8AC3BD" w14:textId="77777777" w:rsidR="00A64FA7" w:rsidRDefault="00A64FA7" w:rsidP="00FE1772">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049" w:type="dxa"/>
          </w:tcPr>
          <w:p w14:paraId="0583F0D9" w14:textId="1E25D2F5" w:rsidR="00A64FA7" w:rsidRPr="00D57512" w:rsidRDefault="00A64FA7" w:rsidP="002D6379">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64FA7">
              <w:rPr>
                <w:sz w:val="20"/>
                <w:szCs w:val="20"/>
              </w:rPr>
              <w:t>Razvoj prijenosne mreže (</w:t>
            </w:r>
            <w:r w:rsidR="00184324">
              <w:rPr>
                <w:sz w:val="20"/>
                <w:szCs w:val="20"/>
              </w:rPr>
              <w:t>ENU-15</w:t>
            </w:r>
            <w:r w:rsidRPr="00A64FA7">
              <w:rPr>
                <w:sz w:val="20"/>
                <w:szCs w:val="20"/>
              </w:rPr>
              <w:t>)</w:t>
            </w:r>
          </w:p>
        </w:tc>
      </w:tr>
    </w:tbl>
    <w:p w14:paraId="66262934" w14:textId="5A5ED73A" w:rsidR="006F708E" w:rsidRPr="006A1143" w:rsidRDefault="006F708E" w:rsidP="00BA43AF">
      <w:pPr>
        <w:spacing w:before="0"/>
      </w:pPr>
      <w:r w:rsidRPr="006A1143">
        <w:t>*</w:t>
      </w:r>
      <w:r w:rsidR="00BA43AF" w:rsidRPr="006A1143">
        <w:t xml:space="preserve"> </w:t>
      </w:r>
      <w:r w:rsidR="003D5CB5" w:rsidRPr="004C5558">
        <w:rPr>
          <w:i/>
          <w:sz w:val="18"/>
        </w:rPr>
        <w:t>U</w:t>
      </w:r>
      <w:r w:rsidR="00BA43AF" w:rsidRPr="004C5558">
        <w:rPr>
          <w:i/>
          <w:sz w:val="18"/>
        </w:rPr>
        <w:t xml:space="preserve"> tijeku su izmjene navedenog Operativnog programa prema kojima se iz</w:t>
      </w:r>
      <w:r w:rsidR="003D5CB5" w:rsidRPr="004C5558">
        <w:rPr>
          <w:i/>
          <w:sz w:val="18"/>
        </w:rPr>
        <w:t xml:space="preserve"> EU</w:t>
      </w:r>
      <w:r w:rsidR="00BA43AF" w:rsidRPr="0050718D">
        <w:rPr>
          <w:i/>
          <w:sz w:val="18"/>
        </w:rPr>
        <w:t xml:space="preserve"> </w:t>
      </w:r>
      <w:r w:rsidR="00BA43AF" w:rsidRPr="00B26727">
        <w:rPr>
          <w:i/>
          <w:sz w:val="18"/>
        </w:rPr>
        <w:t>financiranja energetske obnove zgrada isključuju obiteljske kuće</w:t>
      </w:r>
      <w:r w:rsidR="003D5CB5" w:rsidRPr="00CE5E95">
        <w:rPr>
          <w:i/>
          <w:sz w:val="18"/>
        </w:rPr>
        <w:t xml:space="preserve"> (koje se prebacuju na nacionalno sufinanciranje sredstvima FZOEU)</w:t>
      </w:r>
      <w:r w:rsidR="00BA43AF" w:rsidRPr="00923775">
        <w:rPr>
          <w:i/>
          <w:sz w:val="18"/>
        </w:rPr>
        <w:t>,</w:t>
      </w:r>
      <w:r w:rsidR="00BA43AF" w:rsidRPr="00223B7C">
        <w:rPr>
          <w:i/>
          <w:sz w:val="18"/>
        </w:rPr>
        <w:t xml:space="preserve"> a povećava se dostupna alokacija za energetsku obnovu višestambenih zgrada (dodatnih 40 milijuna </w:t>
      </w:r>
      <w:r w:rsidR="00A01C50" w:rsidRPr="00D920C6">
        <w:rPr>
          <w:i/>
          <w:sz w:val="18"/>
        </w:rPr>
        <w:t>€</w:t>
      </w:r>
      <w:r w:rsidR="00BA43AF" w:rsidRPr="00805295">
        <w:rPr>
          <w:i/>
          <w:sz w:val="18"/>
        </w:rPr>
        <w:t>)</w:t>
      </w:r>
      <w:r w:rsidR="00BA43AF" w:rsidRPr="006A1143">
        <w:rPr>
          <w:i/>
          <w:sz w:val="18"/>
        </w:rPr>
        <w:t xml:space="preserve"> i zgrada javnog sektora (dodatnih 40 milijuna </w:t>
      </w:r>
      <w:r w:rsidR="00A01C50" w:rsidRPr="006A1143">
        <w:rPr>
          <w:i/>
          <w:sz w:val="18"/>
        </w:rPr>
        <w:t>€</w:t>
      </w:r>
      <w:r w:rsidR="00BA43AF" w:rsidRPr="006A1143">
        <w:rPr>
          <w:i/>
          <w:sz w:val="18"/>
        </w:rPr>
        <w:t xml:space="preserve"> + 28 milijuna </w:t>
      </w:r>
      <w:r w:rsidR="00A01C50" w:rsidRPr="006A1143">
        <w:rPr>
          <w:i/>
          <w:sz w:val="18"/>
        </w:rPr>
        <w:t>€</w:t>
      </w:r>
      <w:r w:rsidR="00BA43AF" w:rsidRPr="006A1143">
        <w:rPr>
          <w:i/>
          <w:sz w:val="18"/>
        </w:rPr>
        <w:t xml:space="preserve"> za </w:t>
      </w:r>
      <w:r w:rsidR="00A01C50" w:rsidRPr="006A1143">
        <w:rPr>
          <w:i/>
          <w:sz w:val="18"/>
        </w:rPr>
        <w:t>f</w:t>
      </w:r>
      <w:r w:rsidR="00BA43AF" w:rsidRPr="006A1143">
        <w:rPr>
          <w:i/>
          <w:sz w:val="18"/>
        </w:rPr>
        <w:t>inancijske instrumente).</w:t>
      </w:r>
    </w:p>
    <w:p w14:paraId="1110A9A5" w14:textId="11EA575C" w:rsidR="00667A1B" w:rsidRDefault="00AD4AB0" w:rsidP="005E5BE9">
      <w:r>
        <w:t xml:space="preserve">U razdoblju od 2021. do 2030. godine </w:t>
      </w:r>
      <w:r w:rsidR="001627C5">
        <w:t>za financijske mjere</w:t>
      </w:r>
      <w:r w:rsidR="00D31763">
        <w:t xml:space="preserve"> predviđene ovim Planom koristit će se kako</w:t>
      </w:r>
      <w:r w:rsidR="00DC7C34">
        <w:t xml:space="preserve"> nacionalna sredstva iz</w:t>
      </w:r>
      <w:r w:rsidR="001627C5">
        <w:t xml:space="preserve"> </w:t>
      </w:r>
      <w:r w:rsidR="001627C5" w:rsidRPr="001627C5">
        <w:t xml:space="preserve">prodaje emisijskih jedinica </w:t>
      </w:r>
      <w:r w:rsidR="00D31763">
        <w:t xml:space="preserve">i drugih prihoda Fonda za zaštitu okoliša i energetsku učinkovitost, </w:t>
      </w:r>
      <w:r w:rsidR="00492DD3">
        <w:t xml:space="preserve">tako i sredstva ESI fondova za novo programsko razdoblje od </w:t>
      </w:r>
      <w:r w:rsidR="0018505C">
        <w:t xml:space="preserve">2021. do 2027. godine, s provedbom do 2030. godine. </w:t>
      </w:r>
      <w:r w:rsidR="00901D12" w:rsidRPr="0042794C">
        <w:rPr>
          <w:b/>
        </w:rPr>
        <w:t>Nužno je u sve programske i planske dokumente kojima se utvrđuje poslovanje Fonda za zaštitu okoliša i energetsku učinkovitost i korištenje ESI sredstava ugraditi ovdje predložene mjere i planirati dostatna financijska sredstva za njihovo provođenje</w:t>
      </w:r>
      <w:r w:rsidR="00901D12">
        <w:t>.</w:t>
      </w:r>
      <w:r w:rsidR="00341283">
        <w:t xml:space="preserve"> </w:t>
      </w:r>
      <w:r w:rsidR="00714413">
        <w:t>Kao podloga za fina</w:t>
      </w:r>
      <w:r w:rsidR="00943820">
        <w:t>n</w:t>
      </w:r>
      <w:r w:rsidR="00714413">
        <w:t>cijsko planiranje ovih sredstava, u tabličn</w:t>
      </w:r>
      <w:r w:rsidR="007325F1">
        <w:t>o</w:t>
      </w:r>
      <w:r w:rsidR="00714413">
        <w:t xml:space="preserve">m opisu mjera dana je procjena ukupnih investicijskih troškova pojedine mjere. </w:t>
      </w:r>
    </w:p>
    <w:p w14:paraId="2DB549DF" w14:textId="09538598" w:rsidR="00C21988" w:rsidRDefault="00BA4CD9" w:rsidP="00C21988">
      <w:pPr>
        <w:pStyle w:val="Heading2"/>
      </w:pPr>
      <w:bookmarkStart w:id="382" w:name="_Toc531702977"/>
      <w:bookmarkStart w:id="383" w:name="_Toc531801563"/>
      <w:bookmarkStart w:id="384" w:name="_Toc531801690"/>
      <w:bookmarkStart w:id="385" w:name="_Toc531801818"/>
      <w:bookmarkStart w:id="386" w:name="_Toc531801946"/>
      <w:bookmarkStart w:id="387" w:name="_Toc531935158"/>
      <w:bookmarkStart w:id="388" w:name="_Toc531945108"/>
      <w:bookmarkStart w:id="389" w:name="_Toc6302365"/>
      <w:bookmarkStart w:id="390" w:name="_Toc27396111"/>
      <w:bookmarkEnd w:id="382"/>
      <w:bookmarkEnd w:id="383"/>
      <w:bookmarkEnd w:id="384"/>
      <w:bookmarkEnd w:id="385"/>
      <w:bookmarkEnd w:id="386"/>
      <w:r>
        <w:t>3.3</w:t>
      </w:r>
      <w:r>
        <w:tab/>
      </w:r>
      <w:r w:rsidR="00C21988">
        <w:t>Dimenzija: energetska sigurnost</w:t>
      </w:r>
      <w:bookmarkEnd w:id="387"/>
      <w:bookmarkEnd w:id="388"/>
      <w:bookmarkEnd w:id="389"/>
      <w:bookmarkEnd w:id="390"/>
      <w:r w:rsidR="0086329E">
        <w:t xml:space="preserve"> </w:t>
      </w:r>
    </w:p>
    <w:p w14:paraId="284D3754" w14:textId="77777777" w:rsidR="00622858" w:rsidRPr="00BE1ECD" w:rsidRDefault="00622858" w:rsidP="00840E2E">
      <w:pPr>
        <w:pStyle w:val="Heading3"/>
        <w:numPr>
          <w:ilvl w:val="0"/>
          <w:numId w:val="71"/>
        </w:numPr>
      </w:pPr>
      <w:r w:rsidRPr="00BE1ECD">
        <w:t xml:space="preserve">Politike i mjere koje se odnose na elemente iz odjeljka 2.3. </w:t>
      </w:r>
    </w:p>
    <w:p w14:paraId="145E3409" w14:textId="76D2033C" w:rsidR="00692E2A" w:rsidRDefault="00C21988">
      <w:pPr>
        <w:suppressAutoHyphens w:val="0"/>
      </w:pPr>
      <w:r w:rsidRPr="00D549BB">
        <w:t>Politike i mjere koje se odnose na elemente</w:t>
      </w:r>
      <w:r w:rsidR="00E35991" w:rsidRPr="00D549BB">
        <w:t xml:space="preserve"> </w:t>
      </w:r>
      <w:r w:rsidRPr="00D549BB">
        <w:t xml:space="preserve">iz odjeljka 2.3. </w:t>
      </w:r>
      <w:r w:rsidR="00B50997">
        <w:t xml:space="preserve">svrstane su prema sektorima: </w:t>
      </w:r>
      <w:r w:rsidR="00D858A3">
        <w:t>e</w:t>
      </w:r>
      <w:r w:rsidR="00BC2709">
        <w:t xml:space="preserve">lektrična energija, </w:t>
      </w:r>
      <w:r w:rsidR="00D858A3">
        <w:t xml:space="preserve">centralizirani toplinski sustavi, </w:t>
      </w:r>
      <w:r w:rsidR="00BC2709">
        <w:t>plin te nafta i naf</w:t>
      </w:r>
      <w:r w:rsidR="00AA0075">
        <w:t>t</w:t>
      </w:r>
      <w:r w:rsidR="00BC2709">
        <w:t>ni derivati</w:t>
      </w:r>
      <w:r w:rsidR="00B87BCF">
        <w:t xml:space="preserve"> i prikazane u nastavku</w:t>
      </w:r>
      <w:r w:rsidR="005E1ED5">
        <w:t>.</w:t>
      </w:r>
    </w:p>
    <w:p w14:paraId="5793FC81" w14:textId="77777777" w:rsidR="00774BF5" w:rsidRPr="002464CC" w:rsidRDefault="00774BF5" w:rsidP="00774BF5">
      <w:pPr>
        <w:suppressAutoHyphens w:val="0"/>
        <w:contextualSpacing/>
        <w:jc w:val="left"/>
        <w:rPr>
          <w:u w:val="single"/>
        </w:rPr>
      </w:pPr>
      <w:r w:rsidRPr="002464CC">
        <w:rPr>
          <w:u w:val="single"/>
        </w:rPr>
        <w:t>ES-1:</w:t>
      </w:r>
      <w:r w:rsidRPr="002464CC">
        <w:rPr>
          <w:u w:val="single"/>
        </w:rPr>
        <w:tab/>
        <w:t>Integrirano planiranje sigurnosti opskrbe energijom i energentima</w:t>
      </w:r>
    </w:p>
    <w:p w14:paraId="2F721DC9" w14:textId="73420A58" w:rsidR="00505966" w:rsidRDefault="00505966" w:rsidP="00774BF5">
      <w:pPr>
        <w:ind w:left="147"/>
      </w:pPr>
      <w:r>
        <w:t>Regulatorna mjera; provedba 2021. – 2030.</w:t>
      </w:r>
    </w:p>
    <w:p w14:paraId="74C5DA56" w14:textId="3051014E" w:rsidR="00C3141B" w:rsidRDefault="00774BF5" w:rsidP="00C3141B">
      <w:pPr>
        <w:ind w:left="147"/>
      </w:pPr>
      <w:r>
        <w:t>Krovna mjera za povećanje energetske sigurnosti je integrirano planiranje sigurnosti opskrbe, u kontekstu svih energenata i svih energetskih sustava. Integrirano planiranje mora biti usuglašeno na lokalnoj, regionalnoj i nacionalnoj razini, te u skladu s energetskim planiranjem koje provode energetski subjekti za energetsku infrastrukturu po teritoriju RH. Osim toga, integrirano planiranje je potrebno uskladiti s planiranjem za alternativna goriva i infrastrukturu za alternativna goriva. To će se planiranje provoditi u okviru revizije Integriranog energetskog i klimatskog plana, koju je potrebno izraditi do 23. lipnja 2023. godine te u okviru izrade i revizije narednih planova. U tu je svrhu potrebno nadopuniti postojeći regulatorni okvir.</w:t>
      </w:r>
      <w:r w:rsidR="00C3141B" w:rsidRPr="00C3141B">
        <w:t xml:space="preserve"> </w:t>
      </w:r>
    </w:p>
    <w:p w14:paraId="44E39D52" w14:textId="77777777" w:rsidR="00774BF5" w:rsidRPr="001F53CA" w:rsidRDefault="00774BF5" w:rsidP="00C3141B">
      <w:pPr>
        <w:ind w:left="147"/>
        <w:rPr>
          <w:u w:val="single"/>
        </w:rPr>
      </w:pPr>
      <w:r w:rsidRPr="001F53CA">
        <w:rPr>
          <w:u w:val="single"/>
        </w:rPr>
        <w:t>ES-</w:t>
      </w:r>
      <w:r>
        <w:rPr>
          <w:u w:val="single"/>
        </w:rPr>
        <w:t>2</w:t>
      </w:r>
      <w:r w:rsidRPr="001F53CA">
        <w:rPr>
          <w:u w:val="single"/>
        </w:rPr>
        <w:t>:</w:t>
      </w:r>
      <w:r w:rsidRPr="001F53CA">
        <w:rPr>
          <w:u w:val="single"/>
        </w:rPr>
        <w:tab/>
        <w:t xml:space="preserve">Izgradnja </w:t>
      </w:r>
      <w:r>
        <w:rPr>
          <w:u w:val="single"/>
        </w:rPr>
        <w:t>i korištenje spremnika energije</w:t>
      </w:r>
    </w:p>
    <w:p w14:paraId="09D9576E" w14:textId="009BBE46" w:rsidR="00505966" w:rsidRDefault="00505966" w:rsidP="00505966">
      <w:pPr>
        <w:ind w:left="147"/>
      </w:pPr>
      <w:r>
        <w:t>Financijska mjera; provedba 2021. – 2030.</w:t>
      </w:r>
    </w:p>
    <w:p w14:paraId="6B17346B" w14:textId="1B34F0F9" w:rsidR="00774BF5" w:rsidRDefault="00774BF5" w:rsidP="00774BF5">
      <w:pPr>
        <w:ind w:left="147"/>
      </w:pPr>
      <w:r>
        <w:t>U svrhu</w:t>
      </w:r>
      <w:r w:rsidR="00E223DA">
        <w:t xml:space="preserve"> </w:t>
      </w:r>
      <w:r>
        <w:t xml:space="preserve">povećanja mogućnosti skladištenja energije u sustavu i povećanih regulacijskih mogućnosti elektroenergetskog sustava, planirana je izgradnja dodatnih </w:t>
      </w:r>
      <w:r w:rsidRPr="001F53CA">
        <w:t>reverzibiln</w:t>
      </w:r>
      <w:r>
        <w:t>ih</w:t>
      </w:r>
      <w:r w:rsidRPr="001F53CA">
        <w:t xml:space="preserve"> elektran</w:t>
      </w:r>
      <w:r>
        <w:t>a</w:t>
      </w:r>
      <w:r w:rsidRPr="001F53CA">
        <w:t xml:space="preserve"> snage 150 MW </w:t>
      </w:r>
      <w:r>
        <w:t xml:space="preserve">prije 2030. godine, zatim </w:t>
      </w:r>
      <w:r w:rsidRPr="00F06E7E">
        <w:t>razvoj spremnika topline kod krajnjih kupaca</w:t>
      </w:r>
      <w:r w:rsidR="008E6713">
        <w:t>, razvoj baterijskih sprem</w:t>
      </w:r>
      <w:r w:rsidR="00ED7182">
        <w:t>n</w:t>
      </w:r>
      <w:r w:rsidR="008E6713">
        <w:t>ika</w:t>
      </w:r>
      <w:r w:rsidR="005365A6">
        <w:t>,</w:t>
      </w:r>
      <w:r>
        <w:t xml:space="preserve"> uvođenje</w:t>
      </w:r>
      <w:r w:rsidRPr="00F06E7E">
        <w:t xml:space="preserve"> punionica </w:t>
      </w:r>
      <w:r>
        <w:t xml:space="preserve">za električna vozila </w:t>
      </w:r>
      <w:r w:rsidRPr="00F06E7E">
        <w:t>koj</w:t>
      </w:r>
      <w:r>
        <w:t>e</w:t>
      </w:r>
      <w:r w:rsidRPr="00F06E7E">
        <w:t xml:space="preserve"> omogućuju skladištenje energije</w:t>
      </w:r>
      <w:r w:rsidR="00960ADB">
        <w:t xml:space="preserve">, </w:t>
      </w:r>
      <w:r w:rsidR="00960ADB" w:rsidRPr="00960ADB">
        <w:t xml:space="preserve">razvoj podzemnih skladišta energije u vidu komprimiranog plina </w:t>
      </w:r>
      <w:r w:rsidR="005365A6">
        <w:t xml:space="preserve">te </w:t>
      </w:r>
      <w:r w:rsidR="000C7A09">
        <w:t xml:space="preserve">korištenje drugih inovativnih tehnologija </w:t>
      </w:r>
      <w:r w:rsidR="00A810A0">
        <w:t>za pohranu energije</w:t>
      </w:r>
      <w:r w:rsidR="00D11EE2">
        <w:t xml:space="preserve"> (financiranih iz EU sredstava)</w:t>
      </w:r>
      <w:r>
        <w:t>.</w:t>
      </w:r>
    </w:p>
    <w:p w14:paraId="7442E0B5" w14:textId="77777777" w:rsidR="00774BF5" w:rsidRPr="002464CC" w:rsidRDefault="00774BF5" w:rsidP="00774BF5">
      <w:pPr>
        <w:rPr>
          <w:u w:val="single"/>
        </w:rPr>
      </w:pPr>
      <w:r w:rsidRPr="002464CC">
        <w:rPr>
          <w:u w:val="single"/>
        </w:rPr>
        <w:t>ES-</w:t>
      </w:r>
      <w:r>
        <w:rPr>
          <w:u w:val="single"/>
        </w:rPr>
        <w:t>3</w:t>
      </w:r>
      <w:r w:rsidRPr="002464CC">
        <w:rPr>
          <w:u w:val="single"/>
        </w:rPr>
        <w:t>:</w:t>
      </w:r>
      <w:r w:rsidRPr="002464CC">
        <w:rPr>
          <w:u w:val="single"/>
        </w:rPr>
        <w:tab/>
      </w:r>
      <w:r w:rsidRPr="002E49B6">
        <w:rPr>
          <w:u w:val="single"/>
        </w:rPr>
        <w:t>Unaprjeđenje sustava vođenja elektroenergetskog sustava</w:t>
      </w:r>
      <w:r w:rsidDel="002A18CB">
        <w:rPr>
          <w:u w:val="single"/>
        </w:rPr>
        <w:t xml:space="preserve"> </w:t>
      </w:r>
    </w:p>
    <w:p w14:paraId="2200682E" w14:textId="77777777" w:rsidR="00DB44ED" w:rsidRDefault="00DB44ED" w:rsidP="00DB44ED">
      <w:r>
        <w:t>O</w:t>
      </w:r>
      <w:r w:rsidRPr="00462AD9">
        <w:t>čekuje</w:t>
      </w:r>
      <w:r>
        <w:t xml:space="preserve"> se</w:t>
      </w:r>
      <w:r w:rsidRPr="00462AD9">
        <w:t xml:space="preserve"> daljnji razvoj tehnika i procedura vođenja elektroenergetskog sustava, uz primjenu niza modernih alata koji bi trebali omogućiti visoku razinu automatizacije sustava vođenja, te unaprjeđenje koordinacije s ostalim operatorima prijenosnih sustava u regiji i šire</w:t>
      </w:r>
      <w:r w:rsidRPr="00833EA6">
        <w:t xml:space="preserve"> </w:t>
      </w:r>
      <w:r w:rsidRPr="00462AD9">
        <w:t xml:space="preserve">uz postojanje </w:t>
      </w:r>
      <w:r>
        <w:t>europskih</w:t>
      </w:r>
      <w:r w:rsidRPr="00462AD9">
        <w:t xml:space="preserve"> koordinacijskih centara</w:t>
      </w:r>
      <w:r>
        <w:t>, te komunikacije s</w:t>
      </w:r>
      <w:r w:rsidRPr="00462AD9">
        <w:t xml:space="preserve"> drugim sudionicima na tržištu električne energije. </w:t>
      </w:r>
      <w:r w:rsidRPr="00053E1B">
        <w:t>Povećanjem udjela obnovljivih izvora u strukturi proizvodnje električne energije</w:t>
      </w:r>
      <w:r>
        <w:t xml:space="preserve">, </w:t>
      </w:r>
      <w:r w:rsidRPr="00053E1B">
        <w:t>povećavaju se potrebe za dostatnim regulacijskim kapacitetima za potrebe vođenja elektroenergetskog sustava</w:t>
      </w:r>
      <w:r>
        <w:t>.</w:t>
      </w:r>
      <w:r w:rsidRPr="00053E1B">
        <w:t xml:space="preserve"> </w:t>
      </w:r>
      <w:r>
        <w:t xml:space="preserve">Od </w:t>
      </w:r>
      <w:r w:rsidRPr="00462AD9">
        <w:t xml:space="preserve">posebne </w:t>
      </w:r>
      <w:r>
        <w:t xml:space="preserve">će </w:t>
      </w:r>
      <w:r w:rsidRPr="00462AD9">
        <w:t>važnosti biti održavanje visoke sigurnosti cjelokupnog sustava vođenja kako bi se onemogućili kibernetički napadi koji mogu ugroziti pogon elektroenergetskog sustava i napajanje kupaca električnom energijom.</w:t>
      </w:r>
      <w:r>
        <w:t xml:space="preserve"> Također, u planiranju će se uzeti u obzir rizici vezani za ekstremne vremenske prilike, koji su povećani uslijed klimatskih promjena.</w:t>
      </w:r>
    </w:p>
    <w:p w14:paraId="6BBBB72A" w14:textId="45363DDA" w:rsidR="00774BF5" w:rsidRDefault="00774BF5">
      <w:pPr>
        <w:ind w:left="147"/>
      </w:pPr>
    </w:p>
    <w:p w14:paraId="1B6EBAA0" w14:textId="77777777" w:rsidR="00774BF5" w:rsidRPr="00B56FE5" w:rsidRDefault="00774BF5" w:rsidP="00774BF5">
      <w:pPr>
        <w:rPr>
          <w:b/>
          <w:bCs/>
          <w:u w:val="single"/>
        </w:rPr>
      </w:pPr>
      <w:r w:rsidRPr="00B56FE5">
        <w:rPr>
          <w:b/>
          <w:bCs/>
          <w:u w:val="single"/>
        </w:rPr>
        <w:t>Centralizirani toplinski sustavi</w:t>
      </w:r>
    </w:p>
    <w:p w14:paraId="01FA430D" w14:textId="4CEFB441" w:rsidR="00774BF5" w:rsidRDefault="00774BF5" w:rsidP="00774BF5">
      <w:pPr>
        <w:rPr>
          <w:u w:val="single"/>
        </w:rPr>
      </w:pPr>
      <w:r w:rsidRPr="0068370A">
        <w:rPr>
          <w:u w:val="single"/>
        </w:rPr>
        <w:t>ES-</w:t>
      </w:r>
      <w:r w:rsidR="00DB44ED">
        <w:rPr>
          <w:u w:val="single"/>
        </w:rPr>
        <w:t>4</w:t>
      </w:r>
      <w:r w:rsidRPr="0068370A">
        <w:rPr>
          <w:u w:val="single"/>
        </w:rPr>
        <w:t>: Razvoj i održavanje sustav</w:t>
      </w:r>
      <w:r>
        <w:rPr>
          <w:u w:val="single"/>
        </w:rPr>
        <w:t>a</w:t>
      </w:r>
      <w:r w:rsidRPr="0068370A">
        <w:rPr>
          <w:u w:val="single"/>
        </w:rPr>
        <w:t xml:space="preserve"> centralne proizvodnje toplinske energije</w:t>
      </w:r>
    </w:p>
    <w:p w14:paraId="74777D87" w14:textId="3A424907" w:rsidR="00774BF5" w:rsidRDefault="00505966" w:rsidP="00774BF5">
      <w:pPr>
        <w:ind w:left="147"/>
      </w:pPr>
      <w:r w:rsidRPr="00B56FE5">
        <w:t xml:space="preserve">Centralizirani toplinski sustavi određeni su kao jedan od prioriteta energetske politike RH, Najznačajniji potencijal za razvoj i unaprjeđenje postojećih centraliziranih toplinskih sustava je prvenstveno </w:t>
      </w:r>
      <w:r w:rsidRPr="003975D4">
        <w:t xml:space="preserve">u </w:t>
      </w:r>
      <w:r w:rsidRPr="00B56FE5">
        <w:t>povećanj</w:t>
      </w:r>
      <w:r>
        <w:t>u</w:t>
      </w:r>
      <w:r w:rsidRPr="00B56FE5">
        <w:t xml:space="preserve"> energetske učinkovitosti proizvodnih jedinica, infrastrukture i opreme kod krajnjih korisnika te povećanjem pouzdanosti i sigurnosti opskrbe. Stoga se ovom mjerom previđa o</w:t>
      </w:r>
      <w:r w:rsidRPr="00856B69">
        <w:t>državanje i unaprjeđenje postojećih CTS sustava</w:t>
      </w:r>
      <w:r w:rsidRPr="00B56FE5">
        <w:t>, z</w:t>
      </w:r>
      <w:r w:rsidRPr="00856B69">
        <w:t xml:space="preserve">austavljanje trenda isključivanja korisnika sa sustava CTS-a, uvođenje spremnika topline na električnu energiju te </w:t>
      </w:r>
      <w:r w:rsidRPr="00B56FE5">
        <w:t>k</w:t>
      </w:r>
      <w:r w:rsidRPr="00856B69">
        <w:t>orištenje OIE za CTS i zamjena postojeće proizvodnje CTS-a obnovljivim izvorima (npr. biogorivo), korištenje dizalica topline</w:t>
      </w:r>
      <w:r>
        <w:t>.</w:t>
      </w:r>
    </w:p>
    <w:p w14:paraId="271793FD" w14:textId="77777777" w:rsidR="00774BF5" w:rsidRDefault="00774BF5" w:rsidP="00774BF5">
      <w:pPr>
        <w:ind w:left="147"/>
      </w:pPr>
    </w:p>
    <w:p w14:paraId="4E9512C6" w14:textId="77777777" w:rsidR="00774BF5" w:rsidRDefault="00774BF5" w:rsidP="00774BF5">
      <w:r w:rsidRPr="00B56FE5">
        <w:rPr>
          <w:b/>
          <w:bCs/>
          <w:u w:val="single"/>
        </w:rPr>
        <w:t>Plin</w:t>
      </w:r>
    </w:p>
    <w:p w14:paraId="47FE02CE" w14:textId="2F932C80" w:rsidR="00774BF5" w:rsidRPr="002464CC" w:rsidRDefault="00774BF5" w:rsidP="00774BF5">
      <w:pPr>
        <w:suppressAutoHyphens w:val="0"/>
        <w:contextualSpacing/>
        <w:jc w:val="left"/>
        <w:rPr>
          <w:u w:val="single"/>
        </w:rPr>
      </w:pPr>
      <w:r w:rsidRPr="002464CC">
        <w:rPr>
          <w:u w:val="single"/>
        </w:rPr>
        <w:t>ES-</w:t>
      </w:r>
      <w:r w:rsidR="00505966">
        <w:rPr>
          <w:u w:val="single"/>
        </w:rPr>
        <w:t>5</w:t>
      </w:r>
      <w:r w:rsidRPr="002464CC">
        <w:rPr>
          <w:u w:val="single"/>
        </w:rPr>
        <w:t>:</w:t>
      </w:r>
      <w:r w:rsidRPr="002464CC">
        <w:rPr>
          <w:u w:val="single"/>
        </w:rPr>
        <w:tab/>
        <w:t>Izgradnja terminala</w:t>
      </w:r>
      <w:r w:rsidR="00B16FD1">
        <w:rPr>
          <w:u w:val="single"/>
        </w:rPr>
        <w:t xml:space="preserve"> za UPP</w:t>
      </w:r>
    </w:p>
    <w:p w14:paraId="76BE809C" w14:textId="77777777" w:rsidR="00774BF5" w:rsidRDefault="00774BF5" w:rsidP="00774BF5">
      <w:pPr>
        <w:ind w:left="147"/>
      </w:pPr>
      <w:r w:rsidRPr="002464CC">
        <w:t>Veličina terminala za UPP ovisi o zainteresiranosti tržišta te je u prvoj fazi planirana izgradnja FSRU broda (brod za skladištenje i uplinjavanje plina) čija će maksimalna godišnja isporuka prirodnog plina iznositi do 2,6 milijarde kubičnih metara. Planirani maksimalni kapacitet isporuka prirodnog plina iz terminala, a posredno i njegova veličina i kapacitet uvjetovan je maksimalnim kapacitetom plinovodnog sustava koji bi uz izgradnju prvog dijela evakuacijskog plinovodnog sustava; plinovoda Omišalj-Zlobin, iznosio 7,2 mil.m</w:t>
      </w:r>
      <w:r w:rsidRPr="00B56FE5">
        <w:rPr>
          <w:vertAlign w:val="superscript"/>
        </w:rPr>
        <w:t>3</w:t>
      </w:r>
      <w:r w:rsidRPr="002464CC">
        <w:t>/dan. Izgradnjom nastavka evakuacijskog plinovoda Zlobin-Kozarac ukupni kapacitet</w:t>
      </w:r>
      <w:r>
        <w:t xml:space="preserve"> </w:t>
      </w:r>
      <w:r w:rsidRPr="002464CC">
        <w:t xml:space="preserve">terminala za UPP porastao bi na 12 mil.m3/dan, a dodatnom izgradnjom plinovoda Kozarac-Slobodnica kapacitet bi porastao na 19 mil.m3/dan. Procjenjuje se da bi ukupna investicija izgradnje prve faze terminala za UPP iznosila nešto više od 1,7 milijardi kuna, a planirano puštanje u pogon je </w:t>
      </w:r>
      <w:r>
        <w:t>1.1.</w:t>
      </w:r>
      <w:r w:rsidRPr="002464CC">
        <w:t>2021. godine.</w:t>
      </w:r>
    </w:p>
    <w:p w14:paraId="0558D078" w14:textId="6A602B90" w:rsidR="00774BF5" w:rsidRPr="009C445C" w:rsidRDefault="00774BF5" w:rsidP="00774BF5">
      <w:pPr>
        <w:suppressAutoHyphens w:val="0"/>
        <w:contextualSpacing/>
        <w:jc w:val="left"/>
        <w:rPr>
          <w:u w:val="single"/>
        </w:rPr>
      </w:pPr>
      <w:r w:rsidRPr="009C445C">
        <w:rPr>
          <w:u w:val="single"/>
        </w:rPr>
        <w:t>ES-</w:t>
      </w:r>
      <w:r w:rsidR="00505966">
        <w:rPr>
          <w:u w:val="single"/>
        </w:rPr>
        <w:t>6</w:t>
      </w:r>
      <w:r w:rsidRPr="009C445C">
        <w:rPr>
          <w:u w:val="single"/>
        </w:rPr>
        <w:t>:</w:t>
      </w:r>
      <w:r w:rsidRPr="009C445C">
        <w:rPr>
          <w:u w:val="single"/>
        </w:rPr>
        <w:tab/>
      </w:r>
      <w:r w:rsidR="00736580">
        <w:rPr>
          <w:u w:val="single"/>
        </w:rPr>
        <w:t xml:space="preserve">Izgradnja i unaprjeđenje vođenja </w:t>
      </w:r>
      <w:r w:rsidR="008F18B9">
        <w:rPr>
          <w:u w:val="single"/>
        </w:rPr>
        <w:t>transportnog plinskog sustava</w:t>
      </w:r>
    </w:p>
    <w:p w14:paraId="7FC2F8AC" w14:textId="06742848" w:rsidR="00330A7F" w:rsidRDefault="00330A7F" w:rsidP="00774BF5">
      <w:pPr>
        <w:ind w:left="147"/>
      </w:pPr>
      <w:r>
        <w:t xml:space="preserve">U okviru ove mjere predviđa se izgradnja </w:t>
      </w:r>
      <w:r w:rsidR="00336064">
        <w:t>novih dobavnih pravaca</w:t>
      </w:r>
      <w:r w:rsidR="00E02554">
        <w:t>, interkonekcija</w:t>
      </w:r>
      <w:r w:rsidR="00336064">
        <w:t xml:space="preserve"> i skladiš</w:t>
      </w:r>
      <w:r w:rsidR="00D3716B">
        <w:t>t</w:t>
      </w:r>
      <w:r w:rsidR="00336064">
        <w:t>a plina</w:t>
      </w:r>
      <w:r w:rsidR="00FD6A6D">
        <w:t xml:space="preserve"> sukladno Desetgodišnjem planu </w:t>
      </w:r>
      <w:r w:rsidR="00D0103B" w:rsidRPr="00D0103B">
        <w:t>razvoja plinskog transportnog sustava</w:t>
      </w:r>
      <w:r w:rsidR="00F176FB">
        <w:t xml:space="preserve"> koji će povećati sigurnost opskrbe prirodnim plinom.</w:t>
      </w:r>
    </w:p>
    <w:p w14:paraId="20C5C7D7" w14:textId="77777777" w:rsidR="00774BF5" w:rsidRDefault="00774BF5" w:rsidP="00774BF5">
      <w:pPr>
        <w:ind w:left="147"/>
      </w:pPr>
    </w:p>
    <w:p w14:paraId="5E9047BD" w14:textId="77777777" w:rsidR="00774BF5" w:rsidRDefault="00774BF5" w:rsidP="00774BF5">
      <w:pPr>
        <w:suppressAutoHyphens w:val="0"/>
        <w:ind w:left="357"/>
        <w:contextualSpacing/>
        <w:jc w:val="left"/>
        <w:rPr>
          <w:b/>
          <w:bCs/>
        </w:rPr>
      </w:pPr>
      <w:r w:rsidRPr="00B56FE5">
        <w:rPr>
          <w:b/>
          <w:bCs/>
        </w:rPr>
        <w:t xml:space="preserve">Nafta i naftni derivati </w:t>
      </w:r>
    </w:p>
    <w:p w14:paraId="601D062F" w14:textId="25D5EC48" w:rsidR="00774BF5" w:rsidRDefault="00774BF5" w:rsidP="00774BF5">
      <w:pPr>
        <w:rPr>
          <w:u w:val="single"/>
        </w:rPr>
      </w:pPr>
      <w:r w:rsidRPr="0068370A">
        <w:rPr>
          <w:u w:val="single"/>
        </w:rPr>
        <w:t>ES-</w:t>
      </w:r>
      <w:r w:rsidR="00D0103B">
        <w:rPr>
          <w:u w:val="single"/>
        </w:rPr>
        <w:t>7</w:t>
      </w:r>
      <w:r w:rsidRPr="0068370A">
        <w:rPr>
          <w:u w:val="single"/>
        </w:rPr>
        <w:t>: Razvoj jadranskog tržišta nafte i derivata uz op</w:t>
      </w:r>
      <w:r>
        <w:rPr>
          <w:u w:val="single"/>
        </w:rPr>
        <w:t>t</w:t>
      </w:r>
      <w:r w:rsidRPr="0068370A">
        <w:rPr>
          <w:u w:val="single"/>
        </w:rPr>
        <w:t>imizaciju skladišnih kapaciteta za naftu i derivate</w:t>
      </w:r>
    </w:p>
    <w:p w14:paraId="548321D3" w14:textId="77777777" w:rsidR="00774BF5" w:rsidRPr="00B56FE5" w:rsidRDefault="00774BF5" w:rsidP="00774BF5">
      <w:pPr>
        <w:ind w:left="147"/>
      </w:pPr>
      <w:r w:rsidRPr="00B56FE5">
        <w:t>U nadolazećem razdoblju politike dekarbonizacije energetskog sektora, naftni sektor bit će pod snažnim utjecajem povećanja korištenja alternativnih goriva poput biogoriva, vodika, električne energije i dr., ali i povećanja energetske učinkovitosti. To će se naročito odraziti na rad rafinerija, transport i distribuciju nafte i naftnih derivata te tržište skladištenja.</w:t>
      </w:r>
    </w:p>
    <w:p w14:paraId="45B572F2" w14:textId="63EE212C" w:rsidR="00774BF5" w:rsidRPr="00B56FE5" w:rsidRDefault="00774BF5" w:rsidP="00774BF5">
      <w:pPr>
        <w:ind w:left="147"/>
      </w:pPr>
      <w:r w:rsidRPr="00B56FE5">
        <w:t>Bez obzira na predviđeno smanjenje potrošnje naftnih derivata do 2030./2050. godine, oni će još uvijek zauzimati značajni udio u ukupnoj potrošnji energije te je potrebno osigurati njihovu nesmetanu opskrbu. Uspostava i provođenje mjera za sigurnu i pouzdanu opskrbu naftom i naftnim derivatima određena je Zakonom o tržištu nafte i naftni</w:t>
      </w:r>
      <w:r w:rsidR="006B0BC9">
        <w:t>h</w:t>
      </w:r>
      <w:r w:rsidRPr="00B56FE5">
        <w:t xml:space="preserve"> derivata (</w:t>
      </w:r>
      <w:r w:rsidR="00A640FF">
        <w:t>NN</w:t>
      </w:r>
      <w:r w:rsidRPr="00B56FE5">
        <w:t xml:space="preserve"> 19/14, 73/17). Jedna od važnih odrednica Zakona je i obveza kontinuiranog održavanja i ulaganja u sigurnost transporta i skladištenje nafte i naftnih derivata. Također je potrebno raditi na razvoju metodologije i alata za procjenu sigurnosti opskrbe.</w:t>
      </w:r>
    </w:p>
    <w:p w14:paraId="5D0778D7" w14:textId="1AD648B2" w:rsidR="00774BF5" w:rsidRDefault="00774BF5" w:rsidP="00774BF5">
      <w:pPr>
        <w:suppressAutoHyphens w:val="0"/>
        <w:jc w:val="left"/>
        <w:rPr>
          <w:u w:val="single"/>
        </w:rPr>
      </w:pPr>
      <w:r w:rsidRPr="002464CC">
        <w:rPr>
          <w:u w:val="single"/>
        </w:rPr>
        <w:t>ES-</w:t>
      </w:r>
      <w:r w:rsidR="00D0103B">
        <w:rPr>
          <w:u w:val="single"/>
        </w:rPr>
        <w:t>8</w:t>
      </w:r>
      <w:r w:rsidRPr="002464CC">
        <w:rPr>
          <w:u w:val="single"/>
        </w:rPr>
        <w:t>:</w:t>
      </w:r>
      <w:r w:rsidRPr="002464CC">
        <w:rPr>
          <w:u w:val="single"/>
        </w:rPr>
        <w:tab/>
        <w:t xml:space="preserve">Istraživanje potencijalnih ležišta </w:t>
      </w:r>
      <w:r>
        <w:rPr>
          <w:u w:val="single"/>
        </w:rPr>
        <w:t>ugljikovodika</w:t>
      </w:r>
      <w:r w:rsidRPr="002464CC">
        <w:rPr>
          <w:u w:val="single"/>
        </w:rPr>
        <w:t xml:space="preserve"> u Slavoniji, Dinaridima i Jadranu</w:t>
      </w:r>
    </w:p>
    <w:p w14:paraId="02B3C286" w14:textId="794ED7E1" w:rsidR="00774BF5" w:rsidRPr="002E49B6" w:rsidRDefault="00774BF5" w:rsidP="00774BF5">
      <w:pPr>
        <w:ind w:left="147"/>
      </w:pPr>
      <w:r w:rsidRPr="009C445C">
        <w:t xml:space="preserve">Za potrebe izrade podloga za izradu </w:t>
      </w:r>
      <w:r w:rsidR="00C734C6">
        <w:t>Strategije energetskog razvoja</w:t>
      </w:r>
      <w:r w:rsidRPr="009C445C">
        <w:t xml:space="preserve"> napravljena je projekcija proizvodnje nafte i plina do 2050. godine uz uvjet daljnjih ulaganja u obnavljanje rezervi. U skladu s time, pretpostavljeno je da će doći do komercijalnih otkrića koja će ući u fazu eksploatacije nakon 2022. godine, a puni proizvodni potencijal naftnih polja će doseći u </w:t>
      </w:r>
      <w:r w:rsidR="00A560B9">
        <w:t>razdoblj</w:t>
      </w:r>
      <w:r w:rsidRPr="009C445C">
        <w:t>u između 2030. i 2035. godine. Nakon 2035. godine pretpostavljen je kontinuirani pad proizvodnje nafte koja bi u 2050. iznosila oko 220 000 m3.</w:t>
      </w:r>
      <w:r>
        <w:t xml:space="preserve"> </w:t>
      </w:r>
      <w:r w:rsidRPr="009C445C">
        <w:t>Analogno proizvodnji nafte, očekuje se smanjenje proizvodnje prirodnog plina do 2020. godine, nakon čega je pretpostavljeno povećanje proizvodnje kao rezultat eksploatacije novih plinskih polja. Rast proizvodnje plina očekuje se do 2035. godine nakon čega bi uslijedilo smanjenje proizvodnje</w:t>
      </w:r>
      <w:r>
        <w:t>.</w:t>
      </w:r>
    </w:p>
    <w:p w14:paraId="353D5A90" w14:textId="77777777" w:rsidR="002141C2" w:rsidRPr="009C445C" w:rsidRDefault="002141C2" w:rsidP="00D549BB">
      <w:pPr>
        <w:ind w:left="147"/>
      </w:pPr>
    </w:p>
    <w:p w14:paraId="678D76E1" w14:textId="086507F7" w:rsidR="00C36FB6" w:rsidRPr="00BE1ECD" w:rsidRDefault="00C36FB6" w:rsidP="00840E2E">
      <w:pPr>
        <w:pStyle w:val="Heading3"/>
        <w:numPr>
          <w:ilvl w:val="0"/>
          <w:numId w:val="71"/>
        </w:numPr>
      </w:pPr>
      <w:r w:rsidRPr="00BE1ECD">
        <w:t>Regionalna suradnja u ovom području</w:t>
      </w:r>
    </w:p>
    <w:p w14:paraId="29477899" w14:textId="745803AC" w:rsidR="00B024B8" w:rsidRDefault="00B024B8" w:rsidP="00B024B8">
      <w:r>
        <w:t xml:space="preserve">Regionalna suradnja na području energetske sigurnosti </w:t>
      </w:r>
      <w:r w:rsidR="008F50A5">
        <w:t>postoji već dugi niz godina</w:t>
      </w:r>
      <w:r w:rsidR="005F0E42">
        <w:t xml:space="preserve">, u okviru čega </w:t>
      </w:r>
      <w:r w:rsidR="008F50A5">
        <w:t xml:space="preserve">susjedne zemlje zajednički planiraju prekogranične konekcije </w:t>
      </w:r>
      <w:r w:rsidR="005F0E42">
        <w:t>električnih vodova, plinovoda i naf</w:t>
      </w:r>
      <w:r w:rsidR="00AA0075">
        <w:t>t</w:t>
      </w:r>
      <w:r w:rsidR="005F0E42">
        <w:t>ovoda.</w:t>
      </w:r>
      <w:r w:rsidR="005F7775">
        <w:t xml:space="preserve"> </w:t>
      </w:r>
      <w:r w:rsidR="00BC7FCE">
        <w:t xml:space="preserve">Suradnja operatora prijenosnih sustava ima svoju formalnu podlogu u </w:t>
      </w:r>
      <w:r w:rsidR="005F7775">
        <w:t>EU regulativ</w:t>
      </w:r>
      <w:r w:rsidR="00BC7FCE">
        <w:t>i</w:t>
      </w:r>
      <w:r w:rsidR="005F7775">
        <w:t xml:space="preserve"> i mrežni</w:t>
      </w:r>
      <w:r w:rsidR="00BC7FCE">
        <w:t>m</w:t>
      </w:r>
      <w:r w:rsidR="005F7775">
        <w:t xml:space="preserve"> </w:t>
      </w:r>
      <w:r w:rsidR="00BC7FCE">
        <w:t>pravilima</w:t>
      </w:r>
      <w:r w:rsidR="00C12456">
        <w:t xml:space="preserve">: operator hrvatskog </w:t>
      </w:r>
      <w:r w:rsidR="00BF2CF1">
        <w:t>prijenosnog</w:t>
      </w:r>
      <w:r w:rsidR="004842A5">
        <w:t xml:space="preserve"> sustava i operatori svih susjednih zemalja sudjeluju u istom regionalnom </w:t>
      </w:r>
      <w:r w:rsidR="00C161BC">
        <w:t>centru za sigurnost</w:t>
      </w:r>
      <w:r w:rsidR="00714288">
        <w:t xml:space="preserve">, a suradnja se sastoji od zajedničke provedbe sigurnosnih analiza, izračuna kapaciteta, </w:t>
      </w:r>
      <w:r w:rsidR="00D22FC3">
        <w:t>kratkoročnih prognoza adekvatnosti i zajedničkog planiranja prekida u opskrbi.</w:t>
      </w:r>
    </w:p>
    <w:p w14:paraId="2A96A8A9" w14:textId="7559B90E" w:rsidR="005D7ED2" w:rsidRDefault="00DC1096" w:rsidP="005D7ED2">
      <w:r>
        <w:t>Sukladno Uredbi o</w:t>
      </w:r>
      <w:r w:rsidR="005D7ED2">
        <w:t xml:space="preserve"> </w:t>
      </w:r>
      <w:r w:rsidR="005D7ED2" w:rsidRPr="005D7ED2">
        <w:t>pripremljenosti za rizike u sektoru električne energije</w:t>
      </w:r>
      <w:r w:rsidR="005D7ED2" w:rsidRPr="005D7ED2" w:rsidDel="005D7ED2">
        <w:t xml:space="preserve"> </w:t>
      </w:r>
      <w:r w:rsidR="006D554F">
        <w:t>2019/941,</w:t>
      </w:r>
      <w:r w:rsidR="00AF64E2">
        <w:t xml:space="preserve"> zajednički će se </w:t>
      </w:r>
      <w:r w:rsidR="00317BAA">
        <w:t>razvijati regionalni planovi pri</w:t>
      </w:r>
      <w:r w:rsidR="00313BED">
        <w:t>premljenosti za rizik</w:t>
      </w:r>
      <w:r w:rsidR="00095DF0">
        <w:t>e, te će se u slučaju potrebe predlagati i provoditi i bilateralne mjere.</w:t>
      </w:r>
    </w:p>
    <w:p w14:paraId="2252646D" w14:textId="285F6D87" w:rsidR="00095DF0" w:rsidRDefault="00095DF0" w:rsidP="00095DF0">
      <w:pPr>
        <w:suppressAutoHyphens w:val="0"/>
      </w:pPr>
      <w:r>
        <w:t>Na regionalnoj radionici održanoj u Ljubljani u srpnju 2019. godine, kao teme za regionalnu suradnju u okviru dimenzije energetska sigurnost dodatno je</w:t>
      </w:r>
      <w:r w:rsidRPr="00B56FE5">
        <w:t xml:space="preserve"> predloženo</w:t>
      </w:r>
      <w:r>
        <w:t>:</w:t>
      </w:r>
    </w:p>
    <w:p w14:paraId="4DE35D73" w14:textId="0E1D3903" w:rsidR="00095DF0" w:rsidRDefault="00813241" w:rsidP="00840E2E">
      <w:pPr>
        <w:pStyle w:val="ListParagraph"/>
        <w:numPr>
          <w:ilvl w:val="0"/>
          <w:numId w:val="106"/>
        </w:numPr>
        <w:suppressAutoHyphens w:val="0"/>
      </w:pPr>
      <w:r>
        <w:t>zajedničko razmatranje i planiranje gradnje novih interkonekcija</w:t>
      </w:r>
      <w:r w:rsidR="00095DF0">
        <w:t>,</w:t>
      </w:r>
    </w:p>
    <w:p w14:paraId="3438395F" w14:textId="1220E35C" w:rsidR="0014599C" w:rsidRDefault="0014599C" w:rsidP="00840E2E">
      <w:pPr>
        <w:pStyle w:val="ListParagraph"/>
        <w:numPr>
          <w:ilvl w:val="0"/>
          <w:numId w:val="106"/>
        </w:numPr>
        <w:suppressAutoHyphens w:val="0"/>
      </w:pPr>
      <w:r>
        <w:t>zajedničko razmatranje i upravljanje sustavima s povećanim udjelom OIE</w:t>
      </w:r>
      <w:r w:rsidR="00B25840">
        <w:t>,</w:t>
      </w:r>
    </w:p>
    <w:p w14:paraId="277B75FD" w14:textId="076E8B4B" w:rsidR="00095DF0" w:rsidRPr="00B56FE5" w:rsidRDefault="0014599C" w:rsidP="00840E2E">
      <w:pPr>
        <w:pStyle w:val="ListParagraph"/>
        <w:numPr>
          <w:ilvl w:val="0"/>
          <w:numId w:val="106"/>
        </w:numPr>
        <w:suppressAutoHyphens w:val="0"/>
      </w:pPr>
      <w:r>
        <w:t xml:space="preserve">zajedničko razmatra i upravljanje </w:t>
      </w:r>
      <w:r w:rsidR="00B25840">
        <w:t>povezanim sustavima.</w:t>
      </w:r>
    </w:p>
    <w:p w14:paraId="466A250E" w14:textId="77777777" w:rsidR="00095DF0" w:rsidRDefault="00095DF0" w:rsidP="00095DF0">
      <w:pPr>
        <w:suppressAutoHyphens w:val="0"/>
      </w:pPr>
      <w:r>
        <w:t>Države koje sudjeluju u neformalnoj regionalnoj koordinaciji razmatraju iznesene prijedloge te će dogovoriti naredne korake.</w:t>
      </w:r>
    </w:p>
    <w:p w14:paraId="5424EDB2" w14:textId="6F126186" w:rsidR="00993650" w:rsidRPr="00BE1ECD" w:rsidRDefault="00993650" w:rsidP="00840E2E">
      <w:pPr>
        <w:pStyle w:val="Heading3"/>
        <w:numPr>
          <w:ilvl w:val="0"/>
          <w:numId w:val="71"/>
        </w:numPr>
      </w:pPr>
      <w:r w:rsidRPr="00BE1ECD">
        <w:t>Financijske mjere u ovom području na nacionalnoj razini, uključujući potporu EU-a i upotrebu sredstava EU-a, ako je primjenjivo.</w:t>
      </w:r>
    </w:p>
    <w:p w14:paraId="0D6AC5FB" w14:textId="038CD7C4" w:rsidR="003119BF" w:rsidRDefault="006661FF" w:rsidP="00223709">
      <w:pPr>
        <w:suppressAutoHyphens w:val="0"/>
        <w:contextualSpacing/>
      </w:pPr>
      <w:r>
        <w:t>Očekuje se korištenje EU sredstava</w:t>
      </w:r>
      <w:r w:rsidR="004B5FE8">
        <w:t xml:space="preserve"> kohezijske politike</w:t>
      </w:r>
      <w:r>
        <w:t>,</w:t>
      </w:r>
      <w:r w:rsidR="00704F2F">
        <w:t xml:space="preserve"> Instrumenta za povezivanje Europe (CEF),</w:t>
      </w:r>
      <w:r>
        <w:t xml:space="preserve"> </w:t>
      </w:r>
      <w:r w:rsidR="004B5FE8">
        <w:t>Fonda za modernizaciju te Inovacijskog fonda.</w:t>
      </w:r>
    </w:p>
    <w:p w14:paraId="793DCCD7" w14:textId="77777777" w:rsidR="003119BF" w:rsidRDefault="003119BF" w:rsidP="00725326">
      <w:pPr>
        <w:suppressAutoHyphens w:val="0"/>
        <w:spacing w:after="160" w:line="259" w:lineRule="auto"/>
        <w:contextualSpacing/>
        <w:jc w:val="left"/>
      </w:pPr>
    </w:p>
    <w:p w14:paraId="30CBFA68" w14:textId="22D45AAC" w:rsidR="00C21988" w:rsidRDefault="00DB6B9C" w:rsidP="00C21988">
      <w:pPr>
        <w:pStyle w:val="Heading2"/>
      </w:pPr>
      <w:bookmarkStart w:id="391" w:name="_Toc531935159"/>
      <w:bookmarkStart w:id="392" w:name="_Toc531945109"/>
      <w:bookmarkStart w:id="393" w:name="_Toc6302366"/>
      <w:bookmarkStart w:id="394" w:name="_Toc27396112"/>
      <w:r>
        <w:t>3.4</w:t>
      </w:r>
      <w:r>
        <w:tab/>
      </w:r>
      <w:r w:rsidR="00C21988">
        <w:t>Dimenzija: unutarnje energetsko tržište</w:t>
      </w:r>
      <w:bookmarkEnd w:id="391"/>
      <w:bookmarkEnd w:id="392"/>
      <w:bookmarkEnd w:id="393"/>
      <w:bookmarkEnd w:id="394"/>
      <w:r w:rsidR="00C21988">
        <w:t xml:space="preserve"> </w:t>
      </w:r>
    </w:p>
    <w:p w14:paraId="1C52412C" w14:textId="62233C4E" w:rsidR="00C21988" w:rsidRPr="00302043" w:rsidRDefault="00DB6B9C" w:rsidP="00302043">
      <w:pPr>
        <w:pStyle w:val="Heading3"/>
      </w:pPr>
      <w:bookmarkStart w:id="395" w:name="_Toc531935160"/>
      <w:bookmarkStart w:id="396" w:name="_Toc531945110"/>
      <w:bookmarkStart w:id="397" w:name="_Toc6302367"/>
      <w:r>
        <w:t>3.4.1</w:t>
      </w:r>
      <w:r>
        <w:tab/>
      </w:r>
      <w:r w:rsidR="00C21988" w:rsidRPr="00302043">
        <w:t>Elektroenergetska infrastruktura</w:t>
      </w:r>
      <w:bookmarkEnd w:id="395"/>
      <w:bookmarkEnd w:id="396"/>
      <w:bookmarkEnd w:id="397"/>
    </w:p>
    <w:p w14:paraId="3501C3EE" w14:textId="77777777" w:rsidR="004C6370" w:rsidRPr="00BE1ECD" w:rsidRDefault="004C6370" w:rsidP="00840E2E">
      <w:pPr>
        <w:pStyle w:val="Heading3"/>
        <w:numPr>
          <w:ilvl w:val="0"/>
          <w:numId w:val="72"/>
        </w:numPr>
      </w:pPr>
      <w:r w:rsidRPr="00BE1ECD">
        <w:t>Politike i mjere za ostvarivanje ciljane razine međusobne povezanosti iz članka 4. točke (d)</w:t>
      </w:r>
    </w:p>
    <w:p w14:paraId="01D00136" w14:textId="47A73FF7" w:rsidR="00700963" w:rsidRDefault="003228DC" w:rsidP="00700963">
      <w:r>
        <w:t xml:space="preserve">Kako je navedeno u </w:t>
      </w:r>
      <w:r w:rsidR="00C704F7">
        <w:t>poglavlju 2.3, u</w:t>
      </w:r>
      <w:r>
        <w:t xml:space="preserve"> pogledu daljnjih povećanja prekograničnih kapaciteta do 2030. godine ne postavljaju se posebni zahtjevi.</w:t>
      </w:r>
      <w:r w:rsidR="00700963">
        <w:t xml:space="preserve"> Eventualna izgradnja novih interkonekcija ovisit će o tržišnim prilikama i pozitivnim analizama odnosa troškova i koristi.</w:t>
      </w:r>
    </w:p>
    <w:p w14:paraId="23CB2420" w14:textId="55FFCC0E" w:rsidR="00700963" w:rsidRDefault="00700963" w:rsidP="00700963">
      <w:r>
        <w:t>Daljnje povećanje vrijednosti NTC na pojedinim granicama bit će ostvareno planiranim otklanjanjem ograničenja u internoj mreži. Nositelj aktivnosti je HOPS, a investicije u pojačanja interne mreže odobrava HERA.</w:t>
      </w:r>
    </w:p>
    <w:p w14:paraId="123F879E" w14:textId="77777777" w:rsidR="00195C5A" w:rsidRDefault="00195C5A" w:rsidP="00DB7DF8">
      <w:pPr>
        <w:suppressAutoHyphens w:val="0"/>
        <w:spacing w:after="160" w:line="259" w:lineRule="auto"/>
        <w:contextualSpacing/>
        <w:jc w:val="left"/>
      </w:pPr>
    </w:p>
    <w:p w14:paraId="7F30A7E8" w14:textId="77777777" w:rsidR="00055544" w:rsidRPr="00BE1ECD" w:rsidRDefault="00055544" w:rsidP="00840E2E">
      <w:pPr>
        <w:pStyle w:val="Heading3"/>
        <w:numPr>
          <w:ilvl w:val="0"/>
          <w:numId w:val="72"/>
        </w:numPr>
      </w:pPr>
      <w:r w:rsidRPr="00BE1ECD">
        <w:t xml:space="preserve">Regionalna suradnja u ovom području </w:t>
      </w:r>
    </w:p>
    <w:p w14:paraId="5B73791D" w14:textId="2E87A78D" w:rsidR="0014325E" w:rsidRDefault="00BD1810" w:rsidP="00DB7DF8">
      <w:pPr>
        <w:suppressAutoHyphens w:val="0"/>
        <w:spacing w:after="160" w:line="259" w:lineRule="auto"/>
        <w:contextualSpacing/>
        <w:jc w:val="left"/>
      </w:pPr>
      <w:r>
        <w:t>O</w:t>
      </w:r>
      <w:r w:rsidR="00B53483">
        <w:t>pisan</w:t>
      </w:r>
      <w:r>
        <w:t>o</w:t>
      </w:r>
      <w:r w:rsidR="00B53483">
        <w:t xml:space="preserve"> u okviru regiona</w:t>
      </w:r>
      <w:r>
        <w:t>l</w:t>
      </w:r>
      <w:r w:rsidR="00B53483">
        <w:t>ne suradnje u dimenziji „energetska sigurnost“</w:t>
      </w:r>
      <w:r w:rsidR="003119BF">
        <w:t xml:space="preserve">. </w:t>
      </w:r>
    </w:p>
    <w:p w14:paraId="2D4ECA30" w14:textId="77777777" w:rsidR="00994B0D" w:rsidRPr="00BE1ECD" w:rsidRDefault="00994B0D" w:rsidP="00840E2E">
      <w:pPr>
        <w:pStyle w:val="Heading3"/>
        <w:numPr>
          <w:ilvl w:val="0"/>
          <w:numId w:val="73"/>
        </w:numPr>
      </w:pPr>
      <w:r w:rsidRPr="00BE1ECD">
        <w:t>Financijske mjere u ovom području na nacionalnoj razini, uključujući potporu EU-a i upotrebu sredstava EU-a, ako je primjenjivo.</w:t>
      </w:r>
    </w:p>
    <w:p w14:paraId="3584FAC4" w14:textId="54FF2430" w:rsidR="00BD1810" w:rsidRDefault="00BD1810" w:rsidP="00BD1810">
      <w:pPr>
        <w:suppressAutoHyphens w:val="0"/>
        <w:spacing w:after="160" w:line="259" w:lineRule="auto"/>
        <w:contextualSpacing/>
        <w:jc w:val="left"/>
      </w:pPr>
      <w:r>
        <w:t xml:space="preserve">Opisano u okviru financijskih mjera u dimenziji „energetska sigurnost“. </w:t>
      </w:r>
    </w:p>
    <w:p w14:paraId="1B7DCE4C" w14:textId="41074551" w:rsidR="00C21988" w:rsidRDefault="00DB6B9C" w:rsidP="00302043">
      <w:pPr>
        <w:pStyle w:val="Heading3"/>
      </w:pPr>
      <w:bookmarkStart w:id="398" w:name="_Toc531935161"/>
      <w:bookmarkStart w:id="399" w:name="_Toc531945111"/>
      <w:bookmarkStart w:id="400" w:name="_Toc6302368"/>
      <w:r>
        <w:t>3.4.2</w:t>
      </w:r>
      <w:r>
        <w:tab/>
      </w:r>
      <w:r w:rsidR="00C21988">
        <w:t>Infrastruktura za prijenos energije</w:t>
      </w:r>
      <w:bookmarkEnd w:id="398"/>
      <w:bookmarkEnd w:id="399"/>
      <w:bookmarkEnd w:id="400"/>
    </w:p>
    <w:p w14:paraId="29AEA56B" w14:textId="77777777" w:rsidR="0038230B" w:rsidRPr="00BE1ECD" w:rsidRDefault="0038230B" w:rsidP="00840E2E">
      <w:pPr>
        <w:pStyle w:val="Heading3"/>
        <w:numPr>
          <w:ilvl w:val="0"/>
          <w:numId w:val="74"/>
        </w:numPr>
      </w:pPr>
      <w:r w:rsidRPr="00BE1ECD">
        <w:t>Politike i mjere koje se odnose na elemente iz odjeljka 2.4.2., uključujući, ako je primjenjivo, posebne mjere za omogućavanje provedbe projekata od zajedničkog interesa (PCI) i drugih ključnih infrastrukturnih projekata.</w:t>
      </w:r>
    </w:p>
    <w:p w14:paraId="75F0B04F" w14:textId="53E5B624" w:rsidR="00C704F7" w:rsidRPr="00DB7DF8" w:rsidRDefault="00C704F7" w:rsidP="00706DCB">
      <w:pPr>
        <w:rPr>
          <w:u w:val="single"/>
        </w:rPr>
      </w:pPr>
      <w:r>
        <w:rPr>
          <w:u w:val="single"/>
        </w:rPr>
        <w:t>UET</w:t>
      </w:r>
      <w:r w:rsidRPr="00DB7DF8">
        <w:rPr>
          <w:u w:val="single"/>
        </w:rPr>
        <w:t>-1:</w:t>
      </w:r>
      <w:r w:rsidRPr="00DB7DF8">
        <w:rPr>
          <w:u w:val="single"/>
        </w:rPr>
        <w:tab/>
      </w:r>
      <w:r w:rsidR="00565332">
        <w:rPr>
          <w:u w:val="single"/>
        </w:rPr>
        <w:t>R</w:t>
      </w:r>
      <w:r w:rsidRPr="00DB7DF8">
        <w:rPr>
          <w:u w:val="single"/>
        </w:rPr>
        <w:t>azvoj prijenosne</w:t>
      </w:r>
      <w:r>
        <w:rPr>
          <w:u w:val="single"/>
        </w:rPr>
        <w:t xml:space="preserve"> elektroenergetske</w:t>
      </w:r>
      <w:r w:rsidRPr="00DB7DF8">
        <w:rPr>
          <w:u w:val="single"/>
        </w:rPr>
        <w:t xml:space="preserve"> mreže</w:t>
      </w:r>
    </w:p>
    <w:p w14:paraId="3A6717CB" w14:textId="50B63136" w:rsidR="00CC7ECF" w:rsidRDefault="00F76D27" w:rsidP="00F76D27">
      <w:r>
        <w:t>Financijska mjera; provedba 2021. – 2030.</w:t>
      </w:r>
    </w:p>
    <w:p w14:paraId="788AB28A" w14:textId="14BCBF42" w:rsidR="00F76D27" w:rsidRDefault="00F76D27" w:rsidP="00223709">
      <w:r w:rsidRPr="00223709">
        <w:rPr>
          <w:b/>
          <w:bCs/>
        </w:rPr>
        <w:t>Cilj i opis mjere</w:t>
      </w:r>
      <w:r>
        <w:t>: Hrvatski operator prijenosnog sustava d.o.o. (u daljnjem tekstu: HOPS) je prema Zakonu o energiji (NN 120/12; 14/14; 95/15; 102/15</w:t>
      </w:r>
      <w:r w:rsidR="00257610">
        <w:t>, 68/16</w:t>
      </w:r>
      <w:r>
        <w:t xml:space="preserve">), energetski subjekt odgovoran za upravljanje, pogon i vođenje, održavanje, razvoj i izgradnju prijenosne elektroenergetske mreže. </w:t>
      </w:r>
      <w:r w:rsidR="00DC6E95">
        <w:t xml:space="preserve">Na temelju </w:t>
      </w:r>
      <w:r>
        <w:t>Zakona o tržištu električne energije (NN 22/13, 95/15 i 102/15</w:t>
      </w:r>
      <w:r w:rsidR="008D20E1">
        <w:t>, 68/18, 52/19</w:t>
      </w:r>
      <w:r>
        <w:t>), HOPS je kao vlasnik prijenosne mreže 110 kV do 400 kV, dužan izraditi i donijeti, uz prethodnu suglasnost Hrvatske energetske regulatorne agencije (u daljnjem tekstu: HERA), desetogodišnje, trogodišnje i jednogodišnje investicijske planove razvoja prijenosne mreže. Desetgodišnji planovi razvoja noveliraju se na godišnjoj razini. U trenutku usvajanja ovog dokumenta relevantan je bio Desetogodišnji plan razvoja prijenosne mreže 2019.-2028., s detaljnom razradom za početno trogodišnje i jednogodišnje razdoblje koji je HERA odobrila u srpnju 2019. godine. Plan će se kontinuirano ažurirati tijekom čitavog razdoblja provedbe ovog dokumenta</w:t>
      </w:r>
      <w:r w:rsidR="00780C65">
        <w:t>.</w:t>
      </w:r>
    </w:p>
    <w:p w14:paraId="10213BD8" w14:textId="0126874C" w:rsidR="00F76D27" w:rsidRPr="00283711" w:rsidRDefault="00780C65" w:rsidP="00F76D27">
      <w:pPr>
        <w:suppressAutoHyphens w:val="0"/>
        <w:spacing w:before="0" w:after="0" w:line="240" w:lineRule="auto"/>
        <w:rPr>
          <w:rFonts w:cs="Arial"/>
          <w:b/>
          <w:bCs/>
          <w:color w:val="000000"/>
          <w:lang w:eastAsia="en-GB"/>
        </w:rPr>
      </w:pPr>
      <w:r w:rsidRPr="00283711">
        <w:rPr>
          <w:rFonts w:cs="Arial"/>
          <w:b/>
          <w:bCs/>
          <w:color w:val="000000"/>
          <w:lang w:eastAsia="en-GB"/>
        </w:rPr>
        <w:t>Aktivnosti</w:t>
      </w:r>
      <w:r w:rsidR="00A93F6B">
        <w:rPr>
          <w:rFonts w:cs="Arial"/>
          <w:b/>
          <w:bCs/>
          <w:color w:val="000000"/>
          <w:lang w:eastAsia="en-GB"/>
        </w:rPr>
        <w:t>:</w:t>
      </w:r>
      <w:r w:rsidDel="00884CDB">
        <w:t xml:space="preserve"> </w:t>
      </w:r>
      <w:r w:rsidR="00A93F6B">
        <w:t>prema Deset</w:t>
      </w:r>
      <w:r w:rsidR="00110C9D">
        <w:t>o</w:t>
      </w:r>
      <w:r w:rsidR="00A93F6B">
        <w:t xml:space="preserve">godišnjem planu </w:t>
      </w:r>
      <w:r w:rsidR="006B7FD7">
        <w:t>razvoja prijenosne mreže</w:t>
      </w:r>
    </w:p>
    <w:p w14:paraId="660189EF" w14:textId="7C5ED7B6" w:rsidR="00F76D27" w:rsidRPr="00283711" w:rsidRDefault="00F76D27" w:rsidP="00F76D27">
      <w:pPr>
        <w:suppressAutoHyphens w:val="0"/>
        <w:spacing w:before="0" w:after="0" w:line="240" w:lineRule="auto"/>
        <w:rPr>
          <w:rFonts w:eastAsia="Calibri" w:cs="Arial"/>
          <w:color w:val="000000"/>
        </w:rPr>
      </w:pPr>
      <w:r w:rsidRPr="00283711">
        <w:rPr>
          <w:rFonts w:cs="Arial"/>
          <w:b/>
          <w:bCs/>
          <w:color w:val="000000"/>
          <w:lang w:eastAsia="en-GB"/>
        </w:rPr>
        <w:t xml:space="preserve">Sredstva potrebna za provedbu: </w:t>
      </w:r>
      <w:r w:rsidR="00884CDB">
        <w:rPr>
          <w:rFonts w:cs="Arial"/>
          <w:color w:val="000000"/>
          <w:lang w:eastAsia="en-GB"/>
        </w:rPr>
        <w:t>8 milijardi kuna</w:t>
      </w:r>
    </w:p>
    <w:p w14:paraId="64158611" w14:textId="08502CF4" w:rsidR="00F76D27" w:rsidRPr="000B4EFA" w:rsidRDefault="00F76D27" w:rsidP="00F76D27">
      <w:pPr>
        <w:suppressAutoHyphens w:val="0"/>
        <w:spacing w:before="0" w:after="0" w:line="240" w:lineRule="auto"/>
        <w:rPr>
          <w:rFonts w:eastAsia="Calibri" w:cs="Arial"/>
          <w:color w:val="000000"/>
        </w:rPr>
      </w:pPr>
      <w:r w:rsidRPr="00283711">
        <w:rPr>
          <w:rFonts w:cs="Arial"/>
          <w:b/>
          <w:bCs/>
          <w:color w:val="000000"/>
          <w:lang w:eastAsia="en-GB"/>
        </w:rPr>
        <w:t xml:space="preserve">Izvori financiranja: </w:t>
      </w:r>
      <w:r w:rsidR="000B4EFA" w:rsidRPr="00223709">
        <w:rPr>
          <w:rFonts w:cs="Arial"/>
          <w:color w:val="000000"/>
          <w:lang w:eastAsia="en-GB"/>
        </w:rPr>
        <w:t xml:space="preserve">naknada za prijenos električne energije; sudjelovanje novih korisnika u stvaranju tehničkih uvjeta u mreži za priključak svojih postrojenja; EU </w:t>
      </w:r>
      <w:r w:rsidR="000B4EFA">
        <w:rPr>
          <w:rFonts w:cs="Arial"/>
          <w:color w:val="000000"/>
          <w:lang w:eastAsia="en-GB"/>
        </w:rPr>
        <w:t>sredstva (strukturni, inovacijski i modernizacijski fond)</w:t>
      </w:r>
    </w:p>
    <w:p w14:paraId="28C517C3" w14:textId="28020851" w:rsidR="00F76D27" w:rsidRPr="00283711" w:rsidRDefault="00F76D27" w:rsidP="00F76D27">
      <w:pPr>
        <w:suppressAutoHyphens w:val="0"/>
        <w:spacing w:before="0" w:after="0" w:line="240" w:lineRule="auto"/>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w:t>
      </w:r>
      <w:r w:rsidR="00884CDB">
        <w:rPr>
          <w:rFonts w:cs="Arial"/>
          <w:color w:val="000000"/>
          <w:lang w:eastAsia="en-GB"/>
        </w:rPr>
        <w:t>HOPS</w:t>
      </w:r>
    </w:p>
    <w:p w14:paraId="2C2D68A9" w14:textId="5D5CA07B" w:rsidR="00F76D27" w:rsidRPr="00283711" w:rsidRDefault="00F76D27" w:rsidP="00F76D27">
      <w:pPr>
        <w:suppressAutoHyphens w:val="0"/>
        <w:spacing w:before="0" w:after="0" w:line="240" w:lineRule="auto"/>
        <w:rPr>
          <w:rFonts w:eastAsia="Calibri" w:cs="Arial"/>
          <w:color w:val="000000"/>
        </w:rPr>
      </w:pPr>
      <w:r w:rsidRPr="00283711">
        <w:rPr>
          <w:rFonts w:cs="Arial"/>
          <w:b/>
          <w:bCs/>
          <w:color w:val="000000"/>
          <w:lang w:eastAsia="en-GB"/>
        </w:rPr>
        <w:t>Tijel</w:t>
      </w:r>
      <w:r w:rsidR="00884CDB">
        <w:rPr>
          <w:rFonts w:cs="Arial"/>
          <w:b/>
          <w:bCs/>
          <w:color w:val="000000"/>
          <w:lang w:eastAsia="en-GB"/>
        </w:rPr>
        <w:t>o</w:t>
      </w:r>
      <w:r w:rsidRPr="00283711">
        <w:rPr>
          <w:rFonts w:cs="Arial"/>
          <w:b/>
          <w:bCs/>
          <w:color w:val="000000"/>
          <w:lang w:eastAsia="en-GB"/>
        </w:rPr>
        <w:t xml:space="preserve"> za praćenje (nadzor):</w:t>
      </w:r>
      <w:r w:rsidRPr="00283711">
        <w:rPr>
          <w:rFonts w:cs="Arial"/>
          <w:color w:val="000000"/>
          <w:lang w:eastAsia="en-GB"/>
        </w:rPr>
        <w:t xml:space="preserve"> MZOE</w:t>
      </w:r>
    </w:p>
    <w:p w14:paraId="6514E68C" w14:textId="65FE0A4C" w:rsidR="00F76D27" w:rsidRPr="00283711" w:rsidRDefault="00F76D27" w:rsidP="00F76D27">
      <w:pPr>
        <w:suppressAutoHyphens w:val="0"/>
        <w:spacing w:before="0" w:after="0" w:line="240" w:lineRule="auto"/>
        <w:rPr>
          <w:rFonts w:eastAsia="Calibri" w:cs="Arial"/>
          <w:color w:val="000000"/>
        </w:rPr>
      </w:pPr>
      <w:r w:rsidRPr="00283711">
        <w:rPr>
          <w:rFonts w:cs="Arial"/>
          <w:b/>
          <w:bCs/>
          <w:color w:val="000000"/>
          <w:lang w:eastAsia="en-GB"/>
        </w:rPr>
        <w:t xml:space="preserve">Učinak: </w:t>
      </w:r>
      <w:r w:rsidR="00FD38CF">
        <w:rPr>
          <w:rFonts w:cs="Arial"/>
          <w:color w:val="000000"/>
          <w:lang w:eastAsia="en-GB"/>
        </w:rPr>
        <w:t>siguran i pouzdan rad prijenosne električne mreže</w:t>
      </w:r>
    </w:p>
    <w:p w14:paraId="6DDD69D0" w14:textId="271C1C8D" w:rsidR="00F76D27" w:rsidRPr="00283711" w:rsidRDefault="00F76D27" w:rsidP="00F76D27">
      <w:pPr>
        <w:suppressAutoHyphens w:val="0"/>
        <w:spacing w:before="0" w:after="0" w:line="240" w:lineRule="auto"/>
        <w:rPr>
          <w:rFonts w:eastAsia="Calibri" w:cs="Arial"/>
          <w:color w:val="000000"/>
        </w:rPr>
      </w:pPr>
      <w:r w:rsidRPr="00283711">
        <w:rPr>
          <w:rFonts w:cs="Arial"/>
          <w:b/>
          <w:bCs/>
          <w:color w:val="000000"/>
          <w:lang w:eastAsia="en-GB"/>
        </w:rPr>
        <w:t>Metoda praćenja:</w:t>
      </w:r>
      <w:r w:rsidRPr="00283711">
        <w:rPr>
          <w:rFonts w:cs="Arial"/>
          <w:color w:val="000000"/>
          <w:lang w:eastAsia="en-GB"/>
        </w:rPr>
        <w:t xml:space="preserve"> </w:t>
      </w:r>
      <w:r w:rsidR="004A2294">
        <w:rPr>
          <w:rFonts w:cs="Arial"/>
          <w:color w:val="000000"/>
          <w:lang w:eastAsia="en-GB"/>
        </w:rPr>
        <w:t>izvještaji HERA-</w:t>
      </w:r>
      <w:r w:rsidR="00B666BD">
        <w:rPr>
          <w:rFonts w:cs="Arial"/>
          <w:color w:val="000000"/>
          <w:lang w:eastAsia="en-GB"/>
        </w:rPr>
        <w:t>i</w:t>
      </w:r>
    </w:p>
    <w:p w14:paraId="62315269" w14:textId="7C802689" w:rsidR="00F76D27" w:rsidRPr="00283711" w:rsidRDefault="00F76D27" w:rsidP="00F76D27">
      <w:pPr>
        <w:suppressAutoHyphens w:val="0"/>
        <w:spacing w:before="0" w:after="0" w:line="240" w:lineRule="auto"/>
        <w:rPr>
          <w:rFonts w:eastAsia="Calibri" w:cs="Arial"/>
          <w:color w:val="000000"/>
        </w:rPr>
      </w:pPr>
      <w:r w:rsidRPr="00283711">
        <w:rPr>
          <w:rFonts w:cs="Arial"/>
          <w:b/>
          <w:bCs/>
          <w:color w:val="000000"/>
          <w:lang w:eastAsia="en-GB"/>
        </w:rPr>
        <w:t xml:space="preserve">Povezanost s drugim dimenzijama: </w:t>
      </w:r>
      <w:r w:rsidR="00B666BD">
        <w:rPr>
          <w:rFonts w:cs="Arial"/>
          <w:color w:val="000000"/>
          <w:lang w:eastAsia="en-GB"/>
        </w:rPr>
        <w:t xml:space="preserve">dekarbonizacija – OIE, </w:t>
      </w:r>
      <w:r w:rsidR="000E44C4">
        <w:rPr>
          <w:rFonts w:cs="Arial"/>
          <w:color w:val="000000"/>
          <w:lang w:eastAsia="en-GB"/>
        </w:rPr>
        <w:t>energetska učinkovitost, energetska sigurnost</w:t>
      </w:r>
    </w:p>
    <w:p w14:paraId="3C4B07AF" w14:textId="7D618DFE" w:rsidR="009B37E9" w:rsidRDefault="009B37E9" w:rsidP="009B37E9">
      <w:r>
        <w:t xml:space="preserve">Napomena: </w:t>
      </w:r>
      <w:r w:rsidRPr="00F24A95">
        <w:t xml:space="preserve">Osim financijskih sredstava potrebnih za pokrivanje troškova izgradnje prijenosne mreže potrebno je osigurati i financijska sredstva za uravnoteženje sustava (kroz mehanizam uravnoteženja i dijelom kroz naknadu za prijenos električne energije), odnosno za nabavu dijela pomoćnih usluga sustava (prvenstveno regulaciju frekvencije i snage), a koja se preliminarno mogu procijeniti na iznos </w:t>
      </w:r>
      <w:r>
        <w:t>od</w:t>
      </w:r>
      <w:r w:rsidRPr="00F24A95">
        <w:t xml:space="preserve"> </w:t>
      </w:r>
      <w:r>
        <w:t xml:space="preserve">375 do </w:t>
      </w:r>
      <w:r w:rsidRPr="00F24A95">
        <w:t>425 milijuna kuna/godišnje</w:t>
      </w:r>
      <w:r>
        <w:t>, te financijska sredstva potrebna za redispečing proizvodnih postrojenja radi otklanjanja povremenih ograničenja u prijenosnoj mreži.</w:t>
      </w:r>
    </w:p>
    <w:p w14:paraId="799AA223" w14:textId="77777777" w:rsidR="009B37E9" w:rsidRDefault="009B37E9" w:rsidP="00066B43">
      <w:pPr>
        <w:suppressAutoHyphens w:val="0"/>
        <w:spacing w:after="160" w:line="259" w:lineRule="auto"/>
        <w:contextualSpacing/>
      </w:pPr>
    </w:p>
    <w:p w14:paraId="575BFDC8" w14:textId="77777777" w:rsidR="00700963" w:rsidRDefault="00700963" w:rsidP="00066B43">
      <w:pPr>
        <w:suppressAutoHyphens w:val="0"/>
        <w:spacing w:after="160" w:line="259" w:lineRule="auto"/>
        <w:contextualSpacing/>
      </w:pPr>
    </w:p>
    <w:p w14:paraId="5DFFCADD" w14:textId="1A072087" w:rsidR="00C704F7" w:rsidRPr="007B6CD7" w:rsidRDefault="00C704F7" w:rsidP="00C704F7">
      <w:pPr>
        <w:rPr>
          <w:u w:val="single"/>
        </w:rPr>
      </w:pPr>
      <w:r>
        <w:rPr>
          <w:u w:val="single"/>
        </w:rPr>
        <w:t>UET</w:t>
      </w:r>
      <w:r w:rsidRPr="007B6CD7">
        <w:rPr>
          <w:u w:val="single"/>
        </w:rPr>
        <w:t>-</w:t>
      </w:r>
      <w:r>
        <w:rPr>
          <w:u w:val="single"/>
        </w:rPr>
        <w:t>2</w:t>
      </w:r>
      <w:r w:rsidRPr="007B6CD7">
        <w:rPr>
          <w:u w:val="single"/>
        </w:rPr>
        <w:t>:</w:t>
      </w:r>
      <w:r w:rsidRPr="007B6CD7">
        <w:rPr>
          <w:u w:val="single"/>
        </w:rPr>
        <w:tab/>
      </w:r>
      <w:r w:rsidR="00F42C78">
        <w:rPr>
          <w:u w:val="single"/>
        </w:rPr>
        <w:t>R</w:t>
      </w:r>
      <w:r w:rsidRPr="007B6CD7">
        <w:rPr>
          <w:u w:val="single"/>
        </w:rPr>
        <w:t xml:space="preserve">azvoj </w:t>
      </w:r>
      <w:r>
        <w:rPr>
          <w:u w:val="single"/>
        </w:rPr>
        <w:t>plinskog transportnog sustava</w:t>
      </w:r>
    </w:p>
    <w:p w14:paraId="23B04717" w14:textId="77777777" w:rsidR="00964DD6" w:rsidRDefault="00964DD6" w:rsidP="00964DD6">
      <w:r>
        <w:t>Financijska mjera; provedba 2021. – 2030.</w:t>
      </w:r>
    </w:p>
    <w:p w14:paraId="0CB10EEB" w14:textId="7105CDE2" w:rsidR="00B71A9A" w:rsidRDefault="006E787F" w:rsidP="00223709">
      <w:r w:rsidRPr="00223709">
        <w:rPr>
          <w:b/>
          <w:bCs/>
        </w:rPr>
        <w:t>Cilj i opis mjere</w:t>
      </w:r>
      <w:r>
        <w:t xml:space="preserve">: </w:t>
      </w:r>
      <w:r w:rsidR="00A651EF">
        <w:t xml:space="preserve">Planiranje razvoja transportnog sustava provodi se kroz izradu Desetogodišnjeg plana razvoja plinskog transportnog sustava, </w:t>
      </w:r>
      <w:r w:rsidR="00332046">
        <w:t xml:space="preserve">čija je izrada </w:t>
      </w:r>
      <w:r w:rsidR="00A651EF">
        <w:t>obveza operatora plinskog transportnog sustava</w:t>
      </w:r>
      <w:r w:rsidR="00332046">
        <w:t xml:space="preserve"> </w:t>
      </w:r>
      <w:r w:rsidR="002F2E53">
        <w:t xml:space="preserve">na temelju </w:t>
      </w:r>
      <w:r w:rsidR="00A651EF">
        <w:t xml:space="preserve">Zakona o tržištu plina (NN </w:t>
      </w:r>
      <w:r w:rsidR="004B27B2">
        <w:t>18/18</w:t>
      </w:r>
      <w:r w:rsidR="00A651EF">
        <w:t>).</w:t>
      </w:r>
      <w:r w:rsidR="007F7DB1">
        <w:t xml:space="preserve"> Operator plinskog transportnog sustava je tvrtka Plinacro d.o.o.</w:t>
      </w:r>
      <w:r w:rsidR="00B8502D">
        <w:t xml:space="preserve"> Desetgodišnji plan</w:t>
      </w:r>
      <w:r w:rsidR="00ED3F83">
        <w:t>ov</w:t>
      </w:r>
      <w:r w:rsidR="00E327EB">
        <w:t>i</w:t>
      </w:r>
      <w:r w:rsidR="00B8502D">
        <w:t xml:space="preserve"> razvoja plinskog transportnog sustava</w:t>
      </w:r>
      <w:r w:rsidR="00E327EB">
        <w:t xml:space="preserve"> noveliraju se na godišnjoj razini, a</w:t>
      </w:r>
      <w:r w:rsidR="00B8502D">
        <w:t xml:space="preserve"> odobrava </w:t>
      </w:r>
      <w:r w:rsidR="00E327EB">
        <w:t xml:space="preserve">ih </w:t>
      </w:r>
      <w:r w:rsidR="00B8502D">
        <w:t>HERA.</w:t>
      </w:r>
      <w:r w:rsidR="00E327EB">
        <w:t xml:space="preserve"> </w:t>
      </w:r>
      <w:r w:rsidR="00B71A9A">
        <w:t xml:space="preserve">U trenutku usvajanja ovog dokumenta relevantan je bio Desetogodišnji plan razvoja </w:t>
      </w:r>
      <w:r w:rsidR="00F543C7">
        <w:t>plinskog transportnog sustava</w:t>
      </w:r>
      <w:r w:rsidR="00AD70E9">
        <w:t xml:space="preserve"> Republike Hrvatske</w:t>
      </w:r>
      <w:r w:rsidR="00B71A9A">
        <w:t xml:space="preserve"> 201</w:t>
      </w:r>
      <w:r w:rsidR="00D45538">
        <w:t>8</w:t>
      </w:r>
      <w:r w:rsidR="00B71A9A">
        <w:t>.-202</w:t>
      </w:r>
      <w:r w:rsidR="00D45538">
        <w:t>7</w:t>
      </w:r>
      <w:r w:rsidR="00B71A9A">
        <w:t>.</w:t>
      </w:r>
      <w:r w:rsidR="00B71A9A" w:rsidRPr="00B71A9A">
        <w:t xml:space="preserve"> </w:t>
      </w:r>
      <w:r w:rsidR="00B71A9A">
        <w:t>Plan će se kontinuirano ažurirati tijekom čitavog razdoblja provedbe ovog dokumenta</w:t>
      </w:r>
      <w:r w:rsidR="00D80C97">
        <w:t>.</w:t>
      </w:r>
    </w:p>
    <w:p w14:paraId="1452531B" w14:textId="3E211A98" w:rsidR="006E787F" w:rsidRPr="00283711" w:rsidRDefault="006E787F" w:rsidP="006E787F">
      <w:pPr>
        <w:suppressAutoHyphens w:val="0"/>
        <w:spacing w:before="0" w:after="0" w:line="240" w:lineRule="auto"/>
        <w:rPr>
          <w:rFonts w:cs="Arial"/>
          <w:b/>
          <w:bCs/>
          <w:color w:val="000000"/>
          <w:lang w:eastAsia="en-GB"/>
        </w:rPr>
      </w:pPr>
      <w:r w:rsidRPr="00283711">
        <w:rPr>
          <w:rFonts w:cs="Arial"/>
          <w:b/>
          <w:bCs/>
          <w:color w:val="000000"/>
          <w:lang w:eastAsia="en-GB"/>
        </w:rPr>
        <w:t>Aktivnosti</w:t>
      </w:r>
      <w:r>
        <w:rPr>
          <w:rFonts w:cs="Arial"/>
          <w:b/>
          <w:bCs/>
          <w:color w:val="000000"/>
          <w:lang w:eastAsia="en-GB"/>
        </w:rPr>
        <w:t>:</w:t>
      </w:r>
      <w:r w:rsidDel="00884CDB">
        <w:t xml:space="preserve"> </w:t>
      </w:r>
      <w:r>
        <w:t>prema Deset</w:t>
      </w:r>
      <w:r w:rsidR="00110C9D">
        <w:t>o</w:t>
      </w:r>
      <w:r>
        <w:t>godišnjem planu razvoja transportnog sustava</w:t>
      </w:r>
    </w:p>
    <w:p w14:paraId="354AE5FC" w14:textId="77777777" w:rsidR="006E787F" w:rsidRPr="00283711" w:rsidRDefault="006E787F" w:rsidP="006E787F">
      <w:pPr>
        <w:suppressAutoHyphens w:val="0"/>
        <w:spacing w:before="0" w:after="0" w:line="240" w:lineRule="auto"/>
        <w:rPr>
          <w:rFonts w:eastAsia="Calibri" w:cs="Arial"/>
          <w:color w:val="000000"/>
        </w:rPr>
      </w:pPr>
      <w:r w:rsidRPr="00283711">
        <w:rPr>
          <w:rFonts w:cs="Arial"/>
          <w:b/>
          <w:bCs/>
          <w:color w:val="000000"/>
          <w:lang w:eastAsia="en-GB"/>
        </w:rPr>
        <w:t xml:space="preserve">Sredstva potrebna za provedbu: </w:t>
      </w:r>
      <w:r>
        <w:rPr>
          <w:rFonts w:cs="Arial"/>
          <w:color w:val="000000"/>
          <w:lang w:eastAsia="en-GB"/>
        </w:rPr>
        <w:t>8 milijardi kuna</w:t>
      </w:r>
    </w:p>
    <w:p w14:paraId="1565D0B6" w14:textId="30DB0A56" w:rsidR="006E787F" w:rsidRPr="00B56FE5" w:rsidRDefault="006E787F" w:rsidP="006E787F">
      <w:pPr>
        <w:suppressAutoHyphens w:val="0"/>
        <w:spacing w:before="0" w:after="0" w:line="240" w:lineRule="auto"/>
        <w:rPr>
          <w:rFonts w:eastAsia="Calibri" w:cs="Arial"/>
          <w:color w:val="000000"/>
        </w:rPr>
      </w:pPr>
      <w:r w:rsidRPr="00283711">
        <w:rPr>
          <w:rFonts w:cs="Arial"/>
          <w:b/>
          <w:bCs/>
          <w:color w:val="000000"/>
          <w:lang w:eastAsia="en-GB"/>
        </w:rPr>
        <w:t xml:space="preserve">Izvori financiranja: </w:t>
      </w:r>
    </w:p>
    <w:p w14:paraId="7E0499A0" w14:textId="06B85BBA" w:rsidR="006E787F" w:rsidRPr="00283711" w:rsidRDefault="006E787F" w:rsidP="006E787F">
      <w:pPr>
        <w:suppressAutoHyphens w:val="0"/>
        <w:spacing w:before="0" w:after="0" w:line="240" w:lineRule="auto"/>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w:t>
      </w:r>
      <w:r>
        <w:rPr>
          <w:rFonts w:cs="Arial"/>
          <w:color w:val="000000"/>
          <w:lang w:eastAsia="en-GB"/>
        </w:rPr>
        <w:t>Plinacro</w:t>
      </w:r>
    </w:p>
    <w:p w14:paraId="11868238" w14:textId="77777777" w:rsidR="006E787F" w:rsidRPr="00283711" w:rsidRDefault="006E787F" w:rsidP="006E787F">
      <w:pPr>
        <w:suppressAutoHyphens w:val="0"/>
        <w:spacing w:before="0" w:after="0" w:line="240" w:lineRule="auto"/>
        <w:rPr>
          <w:rFonts w:eastAsia="Calibri" w:cs="Arial"/>
          <w:color w:val="000000"/>
        </w:rPr>
      </w:pPr>
      <w:r w:rsidRPr="00283711">
        <w:rPr>
          <w:rFonts w:cs="Arial"/>
          <w:b/>
          <w:bCs/>
          <w:color w:val="000000"/>
          <w:lang w:eastAsia="en-GB"/>
        </w:rPr>
        <w:t>Tijel</w:t>
      </w:r>
      <w:r>
        <w:rPr>
          <w:rFonts w:cs="Arial"/>
          <w:b/>
          <w:bCs/>
          <w:color w:val="000000"/>
          <w:lang w:eastAsia="en-GB"/>
        </w:rPr>
        <w:t>o</w:t>
      </w:r>
      <w:r w:rsidRPr="00283711">
        <w:rPr>
          <w:rFonts w:cs="Arial"/>
          <w:b/>
          <w:bCs/>
          <w:color w:val="000000"/>
          <w:lang w:eastAsia="en-GB"/>
        </w:rPr>
        <w:t xml:space="preserve"> za praćenje (nadzor):</w:t>
      </w:r>
      <w:r w:rsidRPr="00283711">
        <w:rPr>
          <w:rFonts w:cs="Arial"/>
          <w:color w:val="000000"/>
          <w:lang w:eastAsia="en-GB"/>
        </w:rPr>
        <w:t xml:space="preserve"> MZOE</w:t>
      </w:r>
    </w:p>
    <w:p w14:paraId="703E51D1" w14:textId="1BE4C262" w:rsidR="006E787F" w:rsidRPr="00283711" w:rsidRDefault="006E787F" w:rsidP="006E787F">
      <w:pPr>
        <w:suppressAutoHyphens w:val="0"/>
        <w:spacing w:before="0" w:after="0" w:line="240" w:lineRule="auto"/>
        <w:rPr>
          <w:rFonts w:eastAsia="Calibri" w:cs="Arial"/>
          <w:color w:val="000000"/>
        </w:rPr>
      </w:pPr>
      <w:r w:rsidRPr="00283711">
        <w:rPr>
          <w:rFonts w:cs="Arial"/>
          <w:b/>
          <w:bCs/>
          <w:color w:val="000000"/>
          <w:lang w:eastAsia="en-GB"/>
        </w:rPr>
        <w:t xml:space="preserve">Učinak: </w:t>
      </w:r>
      <w:r>
        <w:rPr>
          <w:rFonts w:cs="Arial"/>
          <w:color w:val="000000"/>
          <w:lang w:eastAsia="en-GB"/>
        </w:rPr>
        <w:t xml:space="preserve">siguran i pouzdan rad </w:t>
      </w:r>
      <w:r w:rsidR="00B666BD">
        <w:rPr>
          <w:rFonts w:cs="Arial"/>
          <w:color w:val="000000"/>
          <w:lang w:eastAsia="en-GB"/>
        </w:rPr>
        <w:t>plinskog transpo</w:t>
      </w:r>
      <w:r w:rsidR="00ED7182">
        <w:rPr>
          <w:rFonts w:cs="Arial"/>
          <w:color w:val="000000"/>
          <w:lang w:eastAsia="en-GB"/>
        </w:rPr>
        <w:t>r</w:t>
      </w:r>
      <w:r w:rsidR="00B666BD">
        <w:rPr>
          <w:rFonts w:cs="Arial"/>
          <w:color w:val="000000"/>
          <w:lang w:eastAsia="en-GB"/>
        </w:rPr>
        <w:t>tnog sustava</w:t>
      </w:r>
    </w:p>
    <w:p w14:paraId="21D5B6F7" w14:textId="77777777" w:rsidR="006E787F" w:rsidRPr="00283711" w:rsidRDefault="006E787F" w:rsidP="006E787F">
      <w:pPr>
        <w:suppressAutoHyphens w:val="0"/>
        <w:spacing w:before="0" w:after="0" w:line="240" w:lineRule="auto"/>
        <w:rPr>
          <w:rFonts w:eastAsia="Calibri" w:cs="Arial"/>
          <w:color w:val="000000"/>
        </w:rPr>
      </w:pPr>
      <w:r w:rsidRPr="00283711">
        <w:rPr>
          <w:rFonts w:cs="Arial"/>
          <w:b/>
          <w:bCs/>
          <w:color w:val="000000"/>
          <w:lang w:eastAsia="en-GB"/>
        </w:rPr>
        <w:t>Metoda praćenja:</w:t>
      </w:r>
      <w:r w:rsidRPr="00283711">
        <w:rPr>
          <w:rFonts w:cs="Arial"/>
          <w:color w:val="000000"/>
          <w:lang w:eastAsia="en-GB"/>
        </w:rPr>
        <w:t xml:space="preserve"> </w:t>
      </w:r>
      <w:r>
        <w:rPr>
          <w:rFonts w:cs="Arial"/>
          <w:color w:val="000000"/>
          <w:lang w:eastAsia="en-GB"/>
        </w:rPr>
        <w:t>izvještaji HERA-i</w:t>
      </w:r>
    </w:p>
    <w:p w14:paraId="1ED8D4E9" w14:textId="077865C2" w:rsidR="006E787F" w:rsidRPr="00283711" w:rsidRDefault="006E787F" w:rsidP="006E787F">
      <w:pPr>
        <w:suppressAutoHyphens w:val="0"/>
        <w:spacing w:before="0" w:after="0" w:line="240" w:lineRule="auto"/>
        <w:rPr>
          <w:rFonts w:eastAsia="Calibri" w:cs="Arial"/>
          <w:color w:val="000000"/>
        </w:rPr>
      </w:pPr>
      <w:r w:rsidRPr="00283711">
        <w:rPr>
          <w:rFonts w:cs="Arial"/>
          <w:b/>
          <w:bCs/>
          <w:color w:val="000000"/>
          <w:lang w:eastAsia="en-GB"/>
        </w:rPr>
        <w:t xml:space="preserve">Povezanost s drugim dimenzijama: </w:t>
      </w:r>
      <w:r w:rsidR="000E44C4">
        <w:rPr>
          <w:rFonts w:cs="Arial"/>
          <w:color w:val="000000"/>
          <w:lang w:eastAsia="en-GB"/>
        </w:rPr>
        <w:t>dekarbonizacija – OIE, energetska učinkovitost, energetska sigurnost</w:t>
      </w:r>
    </w:p>
    <w:p w14:paraId="3D025409" w14:textId="77777777" w:rsidR="00706DCB" w:rsidRDefault="00706DCB" w:rsidP="00DB7DF8">
      <w:pPr>
        <w:suppressAutoHyphens w:val="0"/>
        <w:spacing w:after="160" w:line="259" w:lineRule="auto"/>
        <w:contextualSpacing/>
        <w:jc w:val="left"/>
      </w:pPr>
    </w:p>
    <w:p w14:paraId="56BDA9F1" w14:textId="77777777" w:rsidR="008C6299" w:rsidRPr="00BE1ECD" w:rsidRDefault="008C6299" w:rsidP="00840E2E">
      <w:pPr>
        <w:pStyle w:val="Heading3"/>
        <w:numPr>
          <w:ilvl w:val="0"/>
          <w:numId w:val="74"/>
        </w:numPr>
      </w:pPr>
      <w:r w:rsidRPr="00BE1ECD">
        <w:t xml:space="preserve">Regionalna suradnja u ovom području </w:t>
      </w:r>
    </w:p>
    <w:p w14:paraId="08446998" w14:textId="13E5A51D" w:rsidR="0074381E" w:rsidRDefault="0074381E" w:rsidP="00DB7DF8">
      <w:pPr>
        <w:suppressAutoHyphens w:val="0"/>
        <w:spacing w:after="160" w:line="259" w:lineRule="auto"/>
        <w:contextualSpacing/>
        <w:jc w:val="left"/>
      </w:pPr>
    </w:p>
    <w:p w14:paraId="6760308D" w14:textId="4E3F382F" w:rsidR="00382A4D" w:rsidRDefault="0074381E" w:rsidP="00223709">
      <w:pPr>
        <w:suppressAutoHyphens w:val="0"/>
      </w:pPr>
      <w:r w:rsidRPr="0074381E">
        <w:t xml:space="preserve">Slijedom činjenice da je </w:t>
      </w:r>
      <w:r>
        <w:t xml:space="preserve">infrastruktura za prijenos energije </w:t>
      </w:r>
      <w:r w:rsidRPr="0074381E">
        <w:t>Republike Hrvatske povezan</w:t>
      </w:r>
      <w:r>
        <w:t>a</w:t>
      </w:r>
      <w:r w:rsidRPr="0074381E">
        <w:t xml:space="preserve"> sa </w:t>
      </w:r>
      <w:r w:rsidR="00382A4D">
        <w:t>sustavima</w:t>
      </w:r>
      <w:r w:rsidR="00FF2DD9">
        <w:t xml:space="preserve"> susjednih zemalja</w:t>
      </w:r>
      <w:r w:rsidRPr="0074381E">
        <w:t>, nužna je potpuna tehnička i operativna usklađenost s operatorima tih sustava</w:t>
      </w:r>
      <w:r w:rsidR="00382A4D">
        <w:t xml:space="preserve">, </w:t>
      </w:r>
      <w:r w:rsidR="008029D0">
        <w:t>što</w:t>
      </w:r>
      <w:r w:rsidR="00382A4D">
        <w:t xml:space="preserve"> je i reguliran</w:t>
      </w:r>
      <w:r w:rsidR="008029D0">
        <w:t>o</w:t>
      </w:r>
      <w:r w:rsidR="00382A4D">
        <w:t xml:space="preserve"> odgovarajućim dokumentima.</w:t>
      </w:r>
    </w:p>
    <w:p w14:paraId="0FEBABC7" w14:textId="4F47BAB8" w:rsidR="0074381E" w:rsidRDefault="00E76704">
      <w:pPr>
        <w:suppressAutoHyphens w:val="0"/>
      </w:pPr>
      <w:r>
        <w:t>P</w:t>
      </w:r>
      <w:r w:rsidR="0074381E" w:rsidRPr="0074381E">
        <w:t>lanirano</w:t>
      </w:r>
      <w:r>
        <w:t xml:space="preserve"> je</w:t>
      </w:r>
      <w:r w:rsidR="0074381E" w:rsidRPr="0074381E">
        <w:t xml:space="preserve"> sveobuhvatno povezivanje hrvatskog plinskog transportnog sustava s plinskim transportnim sustavima svih susjednih zemalja</w:t>
      </w:r>
      <w:r>
        <w:t xml:space="preserve"> pa </w:t>
      </w:r>
      <w:r w:rsidR="0074381E" w:rsidRPr="0074381E">
        <w:t>operator transportnog plinskog sustava već u pripremnoj fazi projekata interkonekcija intenzivno surađuje i s operatorima transportnih sustava tih zemalja.</w:t>
      </w:r>
    </w:p>
    <w:p w14:paraId="1B5599C2" w14:textId="4B586B33" w:rsidR="004102B4" w:rsidRDefault="00967A64" w:rsidP="00223709">
      <w:pPr>
        <w:suppressAutoHyphens w:val="0"/>
      </w:pPr>
      <w:r>
        <w:t xml:space="preserve">Ostale mogućnosti regionalne suradnje u </w:t>
      </w:r>
      <w:r w:rsidR="004102B4">
        <w:t xml:space="preserve">kontekstu infrastrukture za prijenos energije opisane su okviru regionalne suradnje u dimenziji „energetska sigurnost“. </w:t>
      </w:r>
    </w:p>
    <w:p w14:paraId="50C61C9A" w14:textId="77777777" w:rsidR="000F32E5" w:rsidRPr="00BE1ECD" w:rsidRDefault="000F32E5" w:rsidP="00840E2E">
      <w:pPr>
        <w:pStyle w:val="Heading3"/>
        <w:numPr>
          <w:ilvl w:val="0"/>
          <w:numId w:val="74"/>
        </w:numPr>
      </w:pPr>
      <w:r w:rsidRPr="00BE1ECD">
        <w:t>Financijske mjere u ovom području na nacionalnoj razini, uključujući potporu EU-a i upotrebu sredstava EU-a, ako je primjenjivo.</w:t>
      </w:r>
    </w:p>
    <w:p w14:paraId="234619DF" w14:textId="77777777" w:rsidR="009B37E9" w:rsidRDefault="009B37E9" w:rsidP="009B37E9">
      <w:pPr>
        <w:suppressAutoHyphens w:val="0"/>
        <w:spacing w:after="160" w:line="259" w:lineRule="auto"/>
        <w:contextualSpacing/>
        <w:jc w:val="left"/>
      </w:pPr>
      <w:r>
        <w:t xml:space="preserve">Opisano u okviru financijskih mjera u dimenziji „energetska sigurnost“. </w:t>
      </w:r>
    </w:p>
    <w:p w14:paraId="243DCEA3" w14:textId="45CA0EB6" w:rsidR="00C21988" w:rsidRDefault="00DB6B9C" w:rsidP="00302043">
      <w:pPr>
        <w:pStyle w:val="Heading3"/>
      </w:pPr>
      <w:bookmarkStart w:id="401" w:name="_Toc531935162"/>
      <w:bookmarkStart w:id="402" w:name="_Toc531945112"/>
      <w:bookmarkStart w:id="403" w:name="_Toc6302369"/>
      <w:r>
        <w:t>3.4.3</w:t>
      </w:r>
      <w:r>
        <w:tab/>
      </w:r>
      <w:r w:rsidR="00C21988">
        <w:t>Integracija tržišta</w:t>
      </w:r>
      <w:bookmarkEnd w:id="401"/>
      <w:bookmarkEnd w:id="402"/>
      <w:bookmarkEnd w:id="403"/>
    </w:p>
    <w:p w14:paraId="331A583C" w14:textId="77777777" w:rsidR="007D114A" w:rsidRPr="00BE1ECD" w:rsidRDefault="007D114A" w:rsidP="00840E2E">
      <w:pPr>
        <w:pStyle w:val="Heading3"/>
        <w:numPr>
          <w:ilvl w:val="0"/>
          <w:numId w:val="75"/>
        </w:numPr>
      </w:pPr>
      <w:r w:rsidRPr="00BE1ECD">
        <w:t>Politike i mjere koje se odnose na elemente iz odjeljka 2.4.3.</w:t>
      </w:r>
    </w:p>
    <w:p w14:paraId="408C20CE" w14:textId="61CB89DD" w:rsidR="00BB6F1A" w:rsidRPr="00404103" w:rsidRDefault="00BB6F1A" w:rsidP="00BB6F1A">
      <w:r w:rsidRPr="00404103">
        <w:t>Zakonodavni i instituciona</w:t>
      </w:r>
      <w:r w:rsidRPr="009D4462">
        <w:t>lni okvir za ostvarenje definiranih ciljeva u pogledu prekogranične povezanosti tržišta je adekvatan te nije potrebno provoditi posebne mjere. Očekuje se nastavak započetih aktivnosti od strane operatora prijen</w:t>
      </w:r>
      <w:r w:rsidR="00A4567F">
        <w:t>o</w:t>
      </w:r>
      <w:r w:rsidRPr="009D4462">
        <w:t>snog sustava (HOP</w:t>
      </w:r>
      <w:r w:rsidRPr="0017344E">
        <w:t>S) i burze električne energije (CROPEX)</w:t>
      </w:r>
      <w:r w:rsidRPr="00FF3104">
        <w:t xml:space="preserve"> kroz projekte IBWT i EU</w:t>
      </w:r>
      <w:r w:rsidR="000834F1">
        <w:t> </w:t>
      </w:r>
      <w:r w:rsidRPr="00FF3104">
        <w:t>XBID. Tijek i brzina provedbe regionalnog tržišnog povezivanja</w:t>
      </w:r>
      <w:r w:rsidR="00077F3F">
        <w:t xml:space="preserve"> u jugoistočnoj Eur</w:t>
      </w:r>
      <w:r w:rsidR="00FF1CAC">
        <w:t>opi</w:t>
      </w:r>
      <w:r w:rsidRPr="00FF3104">
        <w:t xml:space="preserve"> ovisit će i o</w:t>
      </w:r>
      <w:r w:rsidRPr="00404103">
        <w:t xml:space="preserve"> spremnosti institucija u susjednim zemljama, osobito u </w:t>
      </w:r>
      <w:r w:rsidR="00AD0244">
        <w:t xml:space="preserve">susjednim </w:t>
      </w:r>
      <w:r w:rsidRPr="00404103">
        <w:t>zemlja</w:t>
      </w:r>
      <w:r w:rsidR="0038341F">
        <w:t>ma</w:t>
      </w:r>
      <w:r w:rsidRPr="00404103">
        <w:t xml:space="preserve"> koje </w:t>
      </w:r>
      <w:r w:rsidR="00A14BED">
        <w:t xml:space="preserve">još </w:t>
      </w:r>
      <w:r w:rsidRPr="00404103">
        <w:t>nisu članice EU</w:t>
      </w:r>
      <w:r w:rsidR="00A14BED">
        <w:t xml:space="preserve"> (Srb</w:t>
      </w:r>
      <w:r w:rsidR="00AD0244">
        <w:t>ija i BiH)</w:t>
      </w:r>
      <w:r w:rsidRPr="00404103">
        <w:t>.</w:t>
      </w:r>
    </w:p>
    <w:p w14:paraId="5AD35D9E" w14:textId="4EDD0558" w:rsidR="00BB6F1A" w:rsidRPr="00404103" w:rsidRDefault="00BB6F1A" w:rsidP="00BB6F1A">
      <w:r w:rsidRPr="00404103">
        <w:t>Tržišno povezivanje značajno će pridonijeti i ostvarenju cilja p</w:t>
      </w:r>
      <w:r w:rsidRPr="009D4462">
        <w:t>ovećanj</w:t>
      </w:r>
      <w:r w:rsidRPr="00404103">
        <w:t>a</w:t>
      </w:r>
      <w:r w:rsidRPr="009D4462">
        <w:t xml:space="preserve"> konkurentnosti i likvidnosti veleprodajnog t</w:t>
      </w:r>
      <w:r w:rsidR="00B46A06">
        <w:t>r</w:t>
      </w:r>
      <w:r w:rsidRPr="009D4462">
        <w:t>žišta</w:t>
      </w:r>
      <w:r w:rsidRPr="00404103">
        <w:t>. Nediskriminatorni zakonski okvir</w:t>
      </w:r>
      <w:r w:rsidRPr="009D4462">
        <w:t xml:space="preserve"> te neovisnost operatora prijenosnog sustava uz adekvatan nadzor regulatora presudni su za povećanj</w:t>
      </w:r>
      <w:r w:rsidR="0041260D">
        <w:t>e</w:t>
      </w:r>
      <w:r w:rsidRPr="009D4462">
        <w:t xml:space="preserve"> broja tržišnih sudionika i konkurentnost na strani ponude.</w:t>
      </w:r>
    </w:p>
    <w:p w14:paraId="79BB6DFB" w14:textId="25507BF1" w:rsidR="00BB6F1A" w:rsidRPr="009D4462" w:rsidRDefault="00BB6F1A" w:rsidP="00BB6F1A">
      <w:r w:rsidRPr="003E33F5">
        <w:t>Dodatne mjere i aktivnosti potrebno je poduzeti kako bi se omogu</w:t>
      </w:r>
      <w:r w:rsidR="002B4247">
        <w:t>ć</w:t>
      </w:r>
      <w:r w:rsidRPr="003E33F5">
        <w:t xml:space="preserve">ilo aktivno sudjelovanje </w:t>
      </w:r>
      <w:r>
        <w:t>krajnjih potrošača (</w:t>
      </w:r>
      <w:r w:rsidRPr="003E33F5">
        <w:t>kupaca</w:t>
      </w:r>
      <w:r>
        <w:t>)</w:t>
      </w:r>
      <w:r w:rsidRPr="003E33F5">
        <w:t xml:space="preserve"> </w:t>
      </w:r>
      <w:r>
        <w:t xml:space="preserve">i drugih korisnika mreže </w:t>
      </w:r>
      <w:r w:rsidRPr="003E33F5">
        <w:t>na tržištu električne energije</w:t>
      </w:r>
      <w:r>
        <w:t xml:space="preserve">, osobito u pružanju usluga fleksibilnosti. </w:t>
      </w:r>
    </w:p>
    <w:p w14:paraId="004C3B46" w14:textId="77777777" w:rsidR="00C65546" w:rsidRPr="00BE1ECD" w:rsidRDefault="00C65546" w:rsidP="00840E2E">
      <w:pPr>
        <w:pStyle w:val="Heading3"/>
        <w:numPr>
          <w:ilvl w:val="0"/>
          <w:numId w:val="75"/>
        </w:numPr>
      </w:pPr>
      <w:r w:rsidRPr="00BE1ECD">
        <w:t>Ako je primjenjivo, mjere za povećanje fleksibilnosti energetskog sustava s obzirom na proizvodnju energije iz obnovljivih izvora, uključujući uvođenje unutardnevnog uparivanja tržišta i prekograničnih tržišta uravnoteženja</w:t>
      </w:r>
    </w:p>
    <w:p w14:paraId="5C92DAC6" w14:textId="0D58AF7F" w:rsidR="00AE5419" w:rsidRDefault="00AE5419" w:rsidP="00F2577A">
      <w:pPr>
        <w:suppressAutoHyphens w:val="0"/>
        <w:spacing w:after="160" w:line="259" w:lineRule="auto"/>
        <w:contextualSpacing/>
        <w:jc w:val="left"/>
      </w:pPr>
      <w:r>
        <w:t xml:space="preserve">Ovom će cilju pridonijeti mjera </w:t>
      </w:r>
      <w:r w:rsidRPr="00AE5419">
        <w:t>ES-</w:t>
      </w:r>
      <w:r w:rsidR="00EC2D03">
        <w:t>6</w:t>
      </w:r>
      <w:r w:rsidRPr="00AE5419">
        <w:t>:</w:t>
      </w:r>
      <w:r>
        <w:t xml:space="preserve"> </w:t>
      </w:r>
      <w:r w:rsidR="007945B3" w:rsidRPr="007945B3">
        <w:t>Izgradnja i korištenje spremnika energije</w:t>
      </w:r>
      <w:r>
        <w:t>.</w:t>
      </w:r>
    </w:p>
    <w:p w14:paraId="3661191B" w14:textId="77777777" w:rsidR="00D65B84" w:rsidRPr="00BE1ECD" w:rsidRDefault="00D65B84" w:rsidP="00840E2E">
      <w:pPr>
        <w:pStyle w:val="Heading3"/>
        <w:numPr>
          <w:ilvl w:val="0"/>
          <w:numId w:val="75"/>
        </w:numPr>
      </w:pPr>
      <w:r w:rsidRPr="00BE1ECD">
        <w:t xml:space="preserve">Mjere za osiguranje prioritetnog pristupa i otpreme električne energije proizvedene iz obnovljivih izvora energije ili kogeneracije visokog učinka i prevencija ograničenja ili redistribucije te električne energije </w:t>
      </w:r>
    </w:p>
    <w:p w14:paraId="37EC2AF8" w14:textId="5A39A170" w:rsidR="00AE5419" w:rsidRDefault="007C4599" w:rsidP="00DB7DF8">
      <w:pPr>
        <w:suppressAutoHyphens w:val="0"/>
        <w:spacing w:after="160" w:line="259" w:lineRule="auto"/>
        <w:contextualSpacing/>
        <w:jc w:val="left"/>
      </w:pPr>
      <w:r>
        <w:t xml:space="preserve">Ovom će cilju pridonijeti mjera UET-1 </w:t>
      </w:r>
      <w:r w:rsidR="0041260D" w:rsidRPr="0041260D">
        <w:t>Razvoj prijenosne elektroenergetske mreže</w:t>
      </w:r>
      <w:r>
        <w:t>.</w:t>
      </w:r>
    </w:p>
    <w:p w14:paraId="11CFBA2F" w14:textId="77777777" w:rsidR="00C923C8" w:rsidRPr="00BE1ECD" w:rsidRDefault="00C923C8" w:rsidP="00840E2E">
      <w:pPr>
        <w:pStyle w:val="Heading3"/>
        <w:numPr>
          <w:ilvl w:val="0"/>
          <w:numId w:val="75"/>
        </w:numPr>
      </w:pPr>
      <w:r w:rsidRPr="00BE1ECD">
        <w:t>Politike i mjere za zaštitu potrošača, osobito ranjivih i, ako je primjenjivo, energetski siromašnih potrošača, i mjere za jačanje konkurentnosti i neograničenog tržišnog natjecanja na maloprodajnom energetskom tržištu</w:t>
      </w:r>
    </w:p>
    <w:p w14:paraId="1ACAF1FC" w14:textId="6A29D9F9" w:rsidR="0003667A" w:rsidRDefault="006C58F5" w:rsidP="0003667A">
      <w:r>
        <w:t xml:space="preserve">Mjera </w:t>
      </w:r>
      <w:r w:rsidR="0003667A">
        <w:t>u pogledu zaštite ranjivih potrošača</w:t>
      </w:r>
      <w:r w:rsidR="00627726">
        <w:t xml:space="preserve"> (UET-</w:t>
      </w:r>
      <w:r w:rsidR="000B14F3">
        <w:t>5</w:t>
      </w:r>
      <w:r w:rsidR="00627726">
        <w:t>)</w:t>
      </w:r>
      <w:r w:rsidR="0003667A">
        <w:t xml:space="preserve"> </w:t>
      </w:r>
      <w:r>
        <w:t xml:space="preserve">razrađena je </w:t>
      </w:r>
      <w:r w:rsidR="0003667A">
        <w:t xml:space="preserve">u poglavlju 3.4.4. </w:t>
      </w:r>
      <w:r w:rsidR="009B32F0">
        <w:t>Kao mjera za jačanje konkurentnosti predviđena je mjera UET-</w:t>
      </w:r>
      <w:r w:rsidR="00C17E47">
        <w:t>3</w:t>
      </w:r>
      <w:r>
        <w:t>.</w:t>
      </w:r>
    </w:p>
    <w:p w14:paraId="3F14A381" w14:textId="77777777" w:rsidR="002431A8" w:rsidRPr="00BE1ECD" w:rsidRDefault="002431A8" w:rsidP="00840E2E">
      <w:pPr>
        <w:pStyle w:val="Heading3"/>
        <w:numPr>
          <w:ilvl w:val="0"/>
          <w:numId w:val="75"/>
        </w:numPr>
      </w:pPr>
      <w:r w:rsidRPr="00BE1ECD">
        <w:t xml:space="preserve">Opis mjera za omogućavanje i razvijanje upravljanja potrošnjom, uključujući one koje se odnose na tarife za poticanje dinamičnog određivanja cijena </w:t>
      </w:r>
    </w:p>
    <w:p w14:paraId="38F8AB26" w14:textId="35FC7811" w:rsidR="00C17E47" w:rsidRPr="006577EF" w:rsidRDefault="00C17E47" w:rsidP="00C17E47">
      <w:pPr>
        <w:rPr>
          <w:u w:val="single"/>
        </w:rPr>
      </w:pPr>
      <w:r w:rsidRPr="006577EF">
        <w:rPr>
          <w:u w:val="single"/>
        </w:rPr>
        <w:t>UET</w:t>
      </w:r>
      <w:r w:rsidR="00047FDB">
        <w:rPr>
          <w:u w:val="single"/>
        </w:rPr>
        <w:t>-</w:t>
      </w:r>
      <w:r>
        <w:rPr>
          <w:u w:val="single"/>
        </w:rPr>
        <w:t>3</w:t>
      </w:r>
      <w:r w:rsidRPr="006577EF">
        <w:rPr>
          <w:u w:val="single"/>
        </w:rPr>
        <w:t xml:space="preserve">: Razrada regulatornog okvira za aktivno sudjelovanje </w:t>
      </w:r>
      <w:r w:rsidR="00A26D22">
        <w:rPr>
          <w:u w:val="single"/>
        </w:rPr>
        <w:t xml:space="preserve">korisnika mreže </w:t>
      </w:r>
      <w:r w:rsidRPr="006577EF">
        <w:rPr>
          <w:u w:val="single"/>
        </w:rPr>
        <w:t>na tržištu električne energije</w:t>
      </w:r>
    </w:p>
    <w:p w14:paraId="73B1509D" w14:textId="3196E630" w:rsidR="006077B4" w:rsidRDefault="006077B4" w:rsidP="007945B3">
      <w:pPr>
        <w:suppressAutoHyphens w:val="0"/>
      </w:pPr>
      <w:r>
        <w:t>Regulatorna mjera; provedba: 20</w:t>
      </w:r>
      <w:r w:rsidR="000C044C">
        <w:t>20. – 2022.</w:t>
      </w:r>
    </w:p>
    <w:p w14:paraId="36CA96F0" w14:textId="5E34BA49" w:rsidR="00C17E47" w:rsidRDefault="000C044C" w:rsidP="007945B3">
      <w:pPr>
        <w:suppressAutoHyphens w:val="0"/>
      </w:pPr>
      <w:r>
        <w:t xml:space="preserve">Cilj i opis mjere: </w:t>
      </w:r>
      <w:r w:rsidR="00C17E47">
        <w:t xml:space="preserve">Kako bi se omogućila </w:t>
      </w:r>
      <w:r w:rsidR="00C17E47" w:rsidRPr="0041260D">
        <w:t xml:space="preserve">aktivna </w:t>
      </w:r>
      <w:r w:rsidR="00F14DEF" w:rsidRPr="0041260D">
        <w:t xml:space="preserve">uloga </w:t>
      </w:r>
      <w:r w:rsidR="00A26D22" w:rsidRPr="00223709">
        <w:t>korisnika mreže</w:t>
      </w:r>
      <w:r w:rsidR="00A26D22" w:rsidRPr="0041260D" w:rsidDel="00A26D22">
        <w:t xml:space="preserve"> </w:t>
      </w:r>
      <w:r w:rsidR="00C17E47" w:rsidRPr="0041260D">
        <w:t>n</w:t>
      </w:r>
      <w:r w:rsidR="00C17E47">
        <w:t>a tržištu električne ene</w:t>
      </w:r>
      <w:r w:rsidR="0004023D">
        <w:t>r</w:t>
      </w:r>
      <w:r w:rsidR="00C17E47">
        <w:t>gije potrebno</w:t>
      </w:r>
      <w:r w:rsidR="00BB07F1">
        <w:t xml:space="preserve"> je</w:t>
      </w:r>
      <w:r w:rsidR="00C17E47">
        <w:t xml:space="preserve"> </w:t>
      </w:r>
      <w:r w:rsidR="00C17E47" w:rsidRPr="006577EF">
        <w:t>na odgovarajući način izmijeniti i dopuniti</w:t>
      </w:r>
      <w:r w:rsidR="00C17E47" w:rsidRPr="00D81873">
        <w:t xml:space="preserve"> </w:t>
      </w:r>
      <w:r w:rsidR="00C17E47">
        <w:t>postojeći regulatorni okvir</w:t>
      </w:r>
      <w:r w:rsidR="00C17E47" w:rsidRPr="006577EF">
        <w:t>, poglavito kroz uvođenje agregatora kao tržišnog sudionika</w:t>
      </w:r>
      <w:r w:rsidR="006471AE">
        <w:t xml:space="preserve"> te kroz omogućava</w:t>
      </w:r>
      <w:r w:rsidR="0044760B">
        <w:t>nje</w:t>
      </w:r>
      <w:r w:rsidR="006471AE">
        <w:t xml:space="preserve"> pokretanj</w:t>
      </w:r>
      <w:r w:rsidR="0044760B">
        <w:t>a</w:t>
      </w:r>
      <w:r w:rsidR="006471AE">
        <w:t xml:space="preserve"> pilot projek</w:t>
      </w:r>
      <w:r w:rsidR="00164856">
        <w:t>a</w:t>
      </w:r>
      <w:r w:rsidR="006471AE">
        <w:t xml:space="preserve">ta pružanja pomoćnih usluga. </w:t>
      </w:r>
      <w:r w:rsidR="006471AE" w:rsidRPr="00DB7DF8">
        <w:t>Pilot projektima detaljno će se analizirati usluge koje korisnici mogu pružati operatoru distribucijskog odnosno prijenosnog elektroenergetskog sustava.</w:t>
      </w:r>
      <w:r w:rsidR="006471AE">
        <w:t xml:space="preserve"> Analizirat će se moguće vrste, opseg, način i razdoblje pružanja pomoćnih usluga. Identificirat će se prepreke korištenju pomoćnih usluga i predložiti načini njihova uklanjanja.</w:t>
      </w:r>
      <w:r w:rsidR="0044760B">
        <w:t xml:space="preserve"> </w:t>
      </w:r>
      <w:r w:rsidR="00C17E47">
        <w:t>Prethodno će se p</w:t>
      </w:r>
      <w:r w:rsidR="00C17E47" w:rsidRPr="006577EF">
        <w:t>rovest</w:t>
      </w:r>
      <w:r w:rsidR="00C17E47">
        <w:t>i</w:t>
      </w:r>
      <w:r w:rsidR="00C17E47" w:rsidRPr="006577EF">
        <w:t xml:space="preserve"> analiza potencijala za pružanje pomoćnih usluga i usluga fleksibilnosti odzivom potrošnje kod korisnika mreže</w:t>
      </w:r>
      <w:r w:rsidR="00C17E47">
        <w:t xml:space="preserve"> na temelju </w:t>
      </w:r>
      <w:r w:rsidR="00C17E47" w:rsidRPr="0041260D">
        <w:t>koje će se definirati način i model pružanja</w:t>
      </w:r>
      <w:r w:rsidR="0044760B">
        <w:t xml:space="preserve"> pomoćnih</w:t>
      </w:r>
      <w:r w:rsidR="00C17E47" w:rsidRPr="0041260D">
        <w:t xml:space="preserve"> usluga </w:t>
      </w:r>
      <w:r w:rsidR="00A87E09" w:rsidRPr="0041260D">
        <w:t>i odziva potrošnje</w:t>
      </w:r>
      <w:r w:rsidR="00C17E47" w:rsidRPr="0041260D">
        <w:t xml:space="preserve"> od </w:t>
      </w:r>
      <w:r w:rsidR="00C82B9E" w:rsidRPr="00223709">
        <w:t>korisnika mreže</w:t>
      </w:r>
      <w:r w:rsidR="00C17E47" w:rsidRPr="0041260D">
        <w:t>.</w:t>
      </w:r>
      <w:r w:rsidR="006471AE">
        <w:t xml:space="preserve"> </w:t>
      </w:r>
      <w:r w:rsidR="00133F2F">
        <w:t xml:space="preserve">U </w:t>
      </w:r>
      <w:r w:rsidR="00190E9B">
        <w:t>provedbi ove mjere</w:t>
      </w:r>
      <w:r w:rsidR="00133F2F">
        <w:t xml:space="preserve"> vodit će se računa</w:t>
      </w:r>
      <w:r w:rsidR="00F53233">
        <w:t xml:space="preserve"> i</w:t>
      </w:r>
      <w:r w:rsidR="00133F2F">
        <w:t xml:space="preserve"> o </w:t>
      </w:r>
      <w:r w:rsidR="00F53233">
        <w:t xml:space="preserve">novim tehnologijama </w:t>
      </w:r>
      <w:r w:rsidR="00E9133E">
        <w:t>(</w:t>
      </w:r>
      <w:r w:rsidR="00D56103">
        <w:t xml:space="preserve">baterijski spremnici, punionice električnih vozila, isl) </w:t>
      </w:r>
      <w:r w:rsidR="00190E9B">
        <w:t>za čiju je širu primjenu također potrebna dorada regulatornog okvira.</w:t>
      </w:r>
    </w:p>
    <w:p w14:paraId="3DF606F7" w14:textId="0D4D3542" w:rsidR="007C2577" w:rsidRPr="00283711" w:rsidRDefault="007C2577" w:rsidP="007C2577">
      <w:pPr>
        <w:suppressAutoHyphens w:val="0"/>
        <w:spacing w:before="0" w:after="0" w:line="240" w:lineRule="auto"/>
        <w:rPr>
          <w:rFonts w:cs="Arial"/>
          <w:b/>
          <w:bCs/>
          <w:color w:val="000000"/>
          <w:lang w:eastAsia="en-GB"/>
        </w:rPr>
      </w:pPr>
      <w:r w:rsidRPr="00283711">
        <w:rPr>
          <w:rFonts w:cs="Arial"/>
          <w:b/>
          <w:bCs/>
          <w:color w:val="000000"/>
          <w:lang w:eastAsia="en-GB"/>
        </w:rPr>
        <w:t>Aktivnosti</w:t>
      </w:r>
      <w:r>
        <w:rPr>
          <w:rFonts w:cs="Arial"/>
          <w:b/>
          <w:bCs/>
          <w:color w:val="000000"/>
          <w:lang w:eastAsia="en-GB"/>
        </w:rPr>
        <w:t>:</w:t>
      </w:r>
      <w:r w:rsidDel="00884CDB">
        <w:t xml:space="preserve"> </w:t>
      </w:r>
      <w:r w:rsidR="00181347">
        <w:t>razrada regulatornog okvira za nova energetska tržišta; razrada regulatornog okvira za nezavisnog agregatora</w:t>
      </w:r>
      <w:r w:rsidR="006471AE">
        <w:t>; razrada regulatornog okvira za pružanje pomoćnih usluga</w:t>
      </w:r>
    </w:p>
    <w:p w14:paraId="227605A7" w14:textId="6600D767" w:rsidR="007C2577" w:rsidRPr="00283711" w:rsidRDefault="007C2577" w:rsidP="007C2577">
      <w:pPr>
        <w:suppressAutoHyphens w:val="0"/>
        <w:spacing w:before="0" w:after="0" w:line="240" w:lineRule="auto"/>
        <w:rPr>
          <w:rFonts w:eastAsia="Calibri" w:cs="Arial"/>
          <w:color w:val="000000"/>
        </w:rPr>
      </w:pPr>
      <w:r w:rsidRPr="00283711">
        <w:rPr>
          <w:rFonts w:cs="Arial"/>
          <w:b/>
          <w:bCs/>
          <w:color w:val="000000"/>
          <w:lang w:eastAsia="en-GB"/>
        </w:rPr>
        <w:t xml:space="preserve">Sredstva potrebna za provedbu: </w:t>
      </w:r>
      <w:r w:rsidR="0041288A">
        <w:rPr>
          <w:rFonts w:cs="Arial"/>
          <w:color w:val="000000"/>
          <w:lang w:eastAsia="en-GB"/>
        </w:rPr>
        <w:t>redovan rad državnih tijela</w:t>
      </w:r>
    </w:p>
    <w:p w14:paraId="24C39BEE" w14:textId="46FE597C" w:rsidR="007C2577" w:rsidRPr="00B56FE5" w:rsidRDefault="007C2577" w:rsidP="007C2577">
      <w:pPr>
        <w:suppressAutoHyphens w:val="0"/>
        <w:spacing w:before="0" w:after="0" w:line="240" w:lineRule="auto"/>
        <w:rPr>
          <w:rFonts w:eastAsia="Calibri" w:cs="Arial"/>
          <w:color w:val="000000"/>
        </w:rPr>
      </w:pPr>
      <w:r w:rsidRPr="00283711">
        <w:rPr>
          <w:rFonts w:cs="Arial"/>
          <w:b/>
          <w:bCs/>
          <w:color w:val="000000"/>
          <w:lang w:eastAsia="en-GB"/>
        </w:rPr>
        <w:t xml:space="preserve">Izvori financiranja: </w:t>
      </w:r>
      <w:r w:rsidR="0041288A">
        <w:rPr>
          <w:rFonts w:cs="Arial"/>
          <w:color w:val="000000"/>
          <w:lang w:eastAsia="en-GB"/>
        </w:rPr>
        <w:t>/</w:t>
      </w:r>
    </w:p>
    <w:p w14:paraId="7F41BF24" w14:textId="69A3B586" w:rsidR="007C2577" w:rsidRPr="00283711" w:rsidRDefault="007C2577" w:rsidP="007C2577">
      <w:pPr>
        <w:suppressAutoHyphens w:val="0"/>
        <w:spacing w:before="0" w:after="0" w:line="240" w:lineRule="auto"/>
        <w:rPr>
          <w:rFonts w:cs="Arial"/>
          <w:color w:val="000000"/>
          <w:lang w:eastAsia="en-GB"/>
        </w:rPr>
      </w:pPr>
      <w:r w:rsidRPr="00283711">
        <w:rPr>
          <w:rFonts w:cs="Arial"/>
          <w:b/>
          <w:bCs/>
          <w:color w:val="000000"/>
          <w:lang w:eastAsia="en-GB"/>
        </w:rPr>
        <w:t>Izvršno tijelo:</w:t>
      </w:r>
      <w:r w:rsidRPr="00283711">
        <w:rPr>
          <w:rFonts w:cs="Arial"/>
          <w:color w:val="000000"/>
          <w:lang w:eastAsia="en-GB"/>
        </w:rPr>
        <w:t xml:space="preserve"> </w:t>
      </w:r>
      <w:r w:rsidR="0041288A">
        <w:rPr>
          <w:rFonts w:cs="Arial"/>
          <w:color w:val="000000"/>
          <w:lang w:eastAsia="en-GB"/>
        </w:rPr>
        <w:t>MZOE</w:t>
      </w:r>
    </w:p>
    <w:p w14:paraId="184EC570" w14:textId="77777777" w:rsidR="007C2577" w:rsidRPr="00283711" w:rsidRDefault="007C2577" w:rsidP="007C2577">
      <w:pPr>
        <w:suppressAutoHyphens w:val="0"/>
        <w:spacing w:before="0" w:after="0" w:line="240" w:lineRule="auto"/>
        <w:rPr>
          <w:rFonts w:eastAsia="Calibri" w:cs="Arial"/>
          <w:color w:val="000000"/>
        </w:rPr>
      </w:pPr>
      <w:r w:rsidRPr="00283711">
        <w:rPr>
          <w:rFonts w:cs="Arial"/>
          <w:b/>
          <w:bCs/>
          <w:color w:val="000000"/>
          <w:lang w:eastAsia="en-GB"/>
        </w:rPr>
        <w:t>Tijel</w:t>
      </w:r>
      <w:r>
        <w:rPr>
          <w:rFonts w:cs="Arial"/>
          <w:b/>
          <w:bCs/>
          <w:color w:val="000000"/>
          <w:lang w:eastAsia="en-GB"/>
        </w:rPr>
        <w:t>o</w:t>
      </w:r>
      <w:r w:rsidRPr="00283711">
        <w:rPr>
          <w:rFonts w:cs="Arial"/>
          <w:b/>
          <w:bCs/>
          <w:color w:val="000000"/>
          <w:lang w:eastAsia="en-GB"/>
        </w:rPr>
        <w:t xml:space="preserve"> za praćenje (nadzor):</w:t>
      </w:r>
      <w:r w:rsidRPr="00283711">
        <w:rPr>
          <w:rFonts w:cs="Arial"/>
          <w:color w:val="000000"/>
          <w:lang w:eastAsia="en-GB"/>
        </w:rPr>
        <w:t xml:space="preserve"> MZOE</w:t>
      </w:r>
    </w:p>
    <w:p w14:paraId="20F908D2" w14:textId="09CFEA3D" w:rsidR="007C2577" w:rsidRPr="00283711" w:rsidRDefault="007C2577" w:rsidP="007C2577">
      <w:pPr>
        <w:suppressAutoHyphens w:val="0"/>
        <w:spacing w:before="0" w:after="0" w:line="240" w:lineRule="auto"/>
        <w:rPr>
          <w:rFonts w:eastAsia="Calibri" w:cs="Arial"/>
          <w:color w:val="000000"/>
        </w:rPr>
      </w:pPr>
      <w:r w:rsidRPr="00283711">
        <w:rPr>
          <w:rFonts w:cs="Arial"/>
          <w:b/>
          <w:bCs/>
          <w:color w:val="000000"/>
          <w:lang w:eastAsia="en-GB"/>
        </w:rPr>
        <w:t xml:space="preserve">Učinak: </w:t>
      </w:r>
      <w:r w:rsidR="00FC4736" w:rsidRPr="00223709">
        <w:rPr>
          <w:rFonts w:cs="Arial"/>
          <w:color w:val="000000"/>
          <w:lang w:eastAsia="en-GB"/>
        </w:rPr>
        <w:t xml:space="preserve">Pojava agregatora na </w:t>
      </w:r>
      <w:r w:rsidR="009A5BBB" w:rsidRPr="00223709">
        <w:rPr>
          <w:rFonts w:cs="Arial"/>
          <w:color w:val="000000"/>
          <w:lang w:eastAsia="en-GB"/>
        </w:rPr>
        <w:t>energetskim tržištima; pojava novih energetskih tržišta</w:t>
      </w:r>
    </w:p>
    <w:p w14:paraId="0CD41D6F" w14:textId="0859DFB5" w:rsidR="007C2577" w:rsidRPr="00283711" w:rsidRDefault="007C2577" w:rsidP="007C2577">
      <w:pPr>
        <w:suppressAutoHyphens w:val="0"/>
        <w:spacing w:before="0" w:after="0" w:line="240" w:lineRule="auto"/>
        <w:rPr>
          <w:rFonts w:eastAsia="Calibri" w:cs="Arial"/>
          <w:color w:val="000000"/>
        </w:rPr>
      </w:pPr>
      <w:r w:rsidRPr="00283711">
        <w:rPr>
          <w:rFonts w:cs="Arial"/>
          <w:b/>
          <w:bCs/>
          <w:color w:val="000000"/>
          <w:lang w:eastAsia="en-GB"/>
        </w:rPr>
        <w:t>Metoda praćenja:</w:t>
      </w:r>
      <w:r w:rsidRPr="00283711">
        <w:rPr>
          <w:rFonts w:cs="Arial"/>
          <w:color w:val="000000"/>
          <w:lang w:eastAsia="en-GB"/>
        </w:rPr>
        <w:t xml:space="preserve"> </w:t>
      </w:r>
      <w:r>
        <w:rPr>
          <w:rFonts w:cs="Arial"/>
          <w:color w:val="000000"/>
          <w:lang w:eastAsia="en-GB"/>
        </w:rPr>
        <w:t>izvještaji HERA-</w:t>
      </w:r>
      <w:r w:rsidR="00FC4736">
        <w:rPr>
          <w:rFonts w:cs="Arial"/>
          <w:color w:val="000000"/>
          <w:lang w:eastAsia="en-GB"/>
        </w:rPr>
        <w:t>e</w:t>
      </w:r>
    </w:p>
    <w:p w14:paraId="4079E731" w14:textId="7AE7E968" w:rsidR="007C2577" w:rsidRPr="00283711" w:rsidRDefault="007C2577" w:rsidP="007C2577">
      <w:pPr>
        <w:suppressAutoHyphens w:val="0"/>
        <w:spacing w:before="0" w:after="0" w:line="240" w:lineRule="auto"/>
        <w:rPr>
          <w:rFonts w:eastAsia="Calibri" w:cs="Arial"/>
          <w:color w:val="000000"/>
        </w:rPr>
      </w:pPr>
      <w:r w:rsidRPr="00283711">
        <w:rPr>
          <w:rFonts w:cs="Arial"/>
          <w:b/>
          <w:bCs/>
          <w:color w:val="000000"/>
          <w:lang w:eastAsia="en-GB"/>
        </w:rPr>
        <w:t xml:space="preserve">Povezanost s drugim dimenzijama: </w:t>
      </w:r>
      <w:r>
        <w:rPr>
          <w:rFonts w:cs="Arial"/>
          <w:color w:val="000000"/>
          <w:lang w:eastAsia="en-GB"/>
        </w:rPr>
        <w:t>dekarbonizacija – OIE, energetska sigurnost</w:t>
      </w:r>
    </w:p>
    <w:p w14:paraId="1FA721AA" w14:textId="2DF24600" w:rsidR="007C2577" w:rsidRPr="00283711" w:rsidRDefault="007C2577" w:rsidP="007C2577">
      <w:pPr>
        <w:suppressAutoHyphens w:val="0"/>
        <w:spacing w:before="0" w:after="0" w:line="240" w:lineRule="auto"/>
        <w:rPr>
          <w:rFonts w:eastAsia="Calibri" w:cs="Arial"/>
          <w:color w:val="000000"/>
        </w:rPr>
      </w:pPr>
      <w:r w:rsidRPr="00283711">
        <w:rPr>
          <w:rFonts w:cs="Arial"/>
          <w:b/>
          <w:bCs/>
          <w:color w:val="000000"/>
          <w:lang w:eastAsia="en-GB"/>
        </w:rPr>
        <w:t xml:space="preserve">Povezanost s prilagodbom klimatskim promjenama: </w:t>
      </w:r>
      <w:r w:rsidR="00294760">
        <w:rPr>
          <w:rFonts w:cs="Arial"/>
          <w:color w:val="000000"/>
          <w:lang w:eastAsia="en-GB"/>
        </w:rPr>
        <w:t>/</w:t>
      </w:r>
    </w:p>
    <w:p w14:paraId="69C32895" w14:textId="4274345C" w:rsidR="007C2577" w:rsidRPr="00283711" w:rsidRDefault="007C2577" w:rsidP="007C2577">
      <w:pPr>
        <w:suppressAutoHyphens w:val="0"/>
        <w:spacing w:before="0" w:after="0" w:line="240" w:lineRule="auto"/>
        <w:rPr>
          <w:rFonts w:eastAsia="Calibri" w:cs="Arial"/>
        </w:rPr>
      </w:pPr>
      <w:r w:rsidRPr="00283711">
        <w:rPr>
          <w:rFonts w:cs="Arial"/>
          <w:b/>
          <w:bCs/>
          <w:color w:val="000000"/>
          <w:lang w:eastAsia="en-GB"/>
        </w:rPr>
        <w:t>Istraživanje i razvoj</w:t>
      </w:r>
      <w:r w:rsidRPr="00283711">
        <w:rPr>
          <w:rFonts w:cs="Arial"/>
          <w:color w:val="000000"/>
          <w:lang w:eastAsia="en-GB"/>
        </w:rPr>
        <w:t xml:space="preserve">: </w:t>
      </w:r>
      <w:r w:rsidR="005943ED">
        <w:rPr>
          <w:rFonts w:cs="Arial"/>
          <w:color w:val="000000"/>
          <w:lang w:eastAsia="en-GB"/>
        </w:rPr>
        <w:t xml:space="preserve">uključivanje korisnika; </w:t>
      </w:r>
      <w:r w:rsidR="00CA6FB8">
        <w:rPr>
          <w:rFonts w:cs="Arial"/>
          <w:color w:val="000000"/>
          <w:lang w:eastAsia="en-GB"/>
        </w:rPr>
        <w:t xml:space="preserve">napredne tehnologije za korisnike; razvoj OIE; pohrana energije; </w:t>
      </w:r>
      <w:r w:rsidR="00181347">
        <w:rPr>
          <w:rFonts w:cs="Arial"/>
          <w:color w:val="000000"/>
          <w:lang w:eastAsia="en-GB"/>
        </w:rPr>
        <w:t>fleksibilnost sustava</w:t>
      </w:r>
    </w:p>
    <w:p w14:paraId="749AB3E4" w14:textId="29016771" w:rsidR="007C2577" w:rsidRPr="0041260D" w:rsidRDefault="007C2577" w:rsidP="00223709">
      <w:pPr>
        <w:suppressAutoHyphens w:val="0"/>
      </w:pPr>
    </w:p>
    <w:p w14:paraId="51ACCCCA" w14:textId="6B462627" w:rsidR="00D854FD" w:rsidRPr="00602568" w:rsidRDefault="00D854FD" w:rsidP="00D854FD">
      <w:pPr>
        <w:suppressAutoHyphens w:val="0"/>
        <w:spacing w:after="160" w:line="259" w:lineRule="auto"/>
        <w:contextualSpacing/>
        <w:jc w:val="left"/>
        <w:rPr>
          <w:u w:val="single"/>
        </w:rPr>
      </w:pPr>
      <w:r w:rsidRPr="00602568">
        <w:rPr>
          <w:u w:val="single"/>
        </w:rPr>
        <w:t>UET-4:</w:t>
      </w:r>
      <w:r w:rsidRPr="00602568">
        <w:rPr>
          <w:u w:val="single"/>
        </w:rPr>
        <w:tab/>
        <w:t>Uvođenje naprednih sustava mjerenja potrošnje i upravljanja mjernim podacima</w:t>
      </w:r>
    </w:p>
    <w:p w14:paraId="6D395272" w14:textId="5874BDB9" w:rsidR="00D854FD" w:rsidRPr="00602568" w:rsidRDefault="00D854FD" w:rsidP="00D854FD">
      <w:pPr>
        <w:ind w:left="147"/>
      </w:pPr>
      <w:r w:rsidRPr="00602568">
        <w:t xml:space="preserve">Kako bi se omogućio daljnji razvoj energetskih tržišta i aktivna uloga kupaca energije na energetskim tržištima, planira se uvođenje naprednih </w:t>
      </w:r>
      <w:r w:rsidR="007E6B7D" w:rsidRPr="00602568">
        <w:t xml:space="preserve">mjernih uređaja i sustava </w:t>
      </w:r>
      <w:r w:rsidRPr="00602568">
        <w:t>na razini potrošnje.</w:t>
      </w:r>
    </w:p>
    <w:p w14:paraId="28F40A93" w14:textId="77777777" w:rsidR="00D854FD" w:rsidRDefault="00D854FD" w:rsidP="00D854FD">
      <w:pPr>
        <w:suppressAutoHyphens w:val="0"/>
        <w:spacing w:after="160" w:line="259" w:lineRule="auto"/>
        <w:ind w:left="360"/>
        <w:contextualSpacing/>
        <w:jc w:val="left"/>
      </w:pPr>
    </w:p>
    <w:p w14:paraId="7D82C2DD" w14:textId="19EA9C5E" w:rsidR="00C21988" w:rsidRDefault="00DB6B9C" w:rsidP="00302043">
      <w:pPr>
        <w:pStyle w:val="Heading3"/>
      </w:pPr>
      <w:bookmarkStart w:id="404" w:name="_Toc531935163"/>
      <w:bookmarkStart w:id="405" w:name="_Toc531945113"/>
      <w:bookmarkStart w:id="406" w:name="_Toc6302370"/>
      <w:r>
        <w:t>3.4.4</w:t>
      </w:r>
      <w:r>
        <w:tab/>
      </w:r>
      <w:r w:rsidR="00C21988">
        <w:t>Energetsko siromaštvo</w:t>
      </w:r>
      <w:bookmarkEnd w:id="404"/>
      <w:bookmarkEnd w:id="405"/>
      <w:bookmarkEnd w:id="406"/>
    </w:p>
    <w:p w14:paraId="23CE2A09" w14:textId="77777777" w:rsidR="00096A52" w:rsidRPr="00BE1ECD" w:rsidRDefault="00096A52" w:rsidP="00840E2E">
      <w:pPr>
        <w:pStyle w:val="Heading3"/>
        <w:numPr>
          <w:ilvl w:val="0"/>
          <w:numId w:val="76"/>
        </w:numPr>
      </w:pPr>
      <w:r w:rsidRPr="00BE1ECD">
        <w:t>Ako je primjenjivo, politike i mjere za ostvarivanje ciljeva iz odjeljka 2.4.4.</w:t>
      </w:r>
    </w:p>
    <w:p w14:paraId="383126AD" w14:textId="3C488B53" w:rsidR="006A427C" w:rsidRDefault="006A427C" w:rsidP="006A427C">
      <w:r>
        <w:t>Kako bi se ostvarili ciljevi iz odjeljka 2.4.4., u razdoblju od 2021. do 2030. godine provodit će se sljedeć</w:t>
      </w:r>
      <w:r w:rsidR="00F2577A">
        <w:t>a</w:t>
      </w:r>
      <w:r>
        <w:t xml:space="preserve"> mjer</w:t>
      </w:r>
      <w:r w:rsidR="00F2577A">
        <w:t>a</w:t>
      </w:r>
      <w:r>
        <w:t>:</w:t>
      </w:r>
    </w:p>
    <w:p w14:paraId="334492E0" w14:textId="49DA5242" w:rsidR="00F2577A" w:rsidRPr="00DB7DF8" w:rsidRDefault="006A427C" w:rsidP="006A427C">
      <w:pPr>
        <w:rPr>
          <w:u w:val="single"/>
        </w:rPr>
      </w:pPr>
      <w:r w:rsidRPr="00DB7DF8">
        <w:rPr>
          <w:u w:val="single"/>
        </w:rPr>
        <w:t>UET</w:t>
      </w:r>
      <w:r w:rsidR="00641C0F" w:rsidRPr="00DB7DF8">
        <w:rPr>
          <w:u w:val="single"/>
        </w:rPr>
        <w:t>-</w:t>
      </w:r>
      <w:r w:rsidR="000B14F3">
        <w:rPr>
          <w:u w:val="single"/>
        </w:rPr>
        <w:t>5</w:t>
      </w:r>
      <w:r w:rsidRPr="00DB7DF8">
        <w:rPr>
          <w:u w:val="single"/>
        </w:rPr>
        <w:t>:</w:t>
      </w:r>
      <w:r w:rsidR="004654CF" w:rsidRPr="00DB7DF8">
        <w:rPr>
          <w:u w:val="single"/>
        </w:rPr>
        <w:tab/>
      </w:r>
      <w:r w:rsidR="00062DBB">
        <w:rPr>
          <w:u w:val="single"/>
        </w:rPr>
        <w:t>Usvajanje i p</w:t>
      </w:r>
      <w:r w:rsidR="004654CF" w:rsidRPr="00DB7DF8">
        <w:rPr>
          <w:u w:val="single"/>
        </w:rPr>
        <w:t>rove</w:t>
      </w:r>
      <w:r w:rsidR="007145ED">
        <w:rPr>
          <w:u w:val="single"/>
        </w:rPr>
        <w:t>d</w:t>
      </w:r>
      <w:r w:rsidR="004654CF" w:rsidRPr="00DB7DF8">
        <w:rPr>
          <w:u w:val="single"/>
        </w:rPr>
        <w:t>ba Programa suzbijanja energetsk</w:t>
      </w:r>
      <w:r w:rsidR="00682831">
        <w:rPr>
          <w:u w:val="single"/>
        </w:rPr>
        <w:t>og</w:t>
      </w:r>
      <w:r w:rsidR="004654CF" w:rsidRPr="00DB7DF8">
        <w:rPr>
          <w:u w:val="single"/>
        </w:rPr>
        <w:t xml:space="preserve"> </w:t>
      </w:r>
      <w:r w:rsidR="00682831">
        <w:rPr>
          <w:u w:val="single"/>
        </w:rPr>
        <w:t>siromaštva</w:t>
      </w:r>
    </w:p>
    <w:p w14:paraId="7009C6E7" w14:textId="7E3D42F3" w:rsidR="00E00B3E" w:rsidRDefault="00685CDE" w:rsidP="00615BB2">
      <w:r>
        <w:t>Informativna i financijska mjera; Provedba 2021. – 2030.</w:t>
      </w:r>
    </w:p>
    <w:p w14:paraId="34904975" w14:textId="1A5F5225" w:rsidR="00685CDE" w:rsidRDefault="00685CDE" w:rsidP="00615BB2">
      <w:r>
        <w:t>Cilj i opis mjere:</w:t>
      </w:r>
      <w:r w:rsidR="000D7028">
        <w:t xml:space="preserve"> ublažavanje energetskog siromaštva i stupnja ugroženosti njime; uspostava sustava praćenja energetskog siromaštva</w:t>
      </w:r>
    </w:p>
    <w:p w14:paraId="7CC24305" w14:textId="5CDDB8B4" w:rsidR="00615BB2" w:rsidRDefault="00685CDE" w:rsidP="00615BB2">
      <w:r>
        <w:t>Aktivnosti</w:t>
      </w:r>
      <w:r w:rsidR="000250A9">
        <w:t xml:space="preserve">: </w:t>
      </w:r>
      <w:r w:rsidR="004654CF">
        <w:t>U okviru Programa suzbijanja energetsk</w:t>
      </w:r>
      <w:r w:rsidR="00667954">
        <w:t>og siromaštva</w:t>
      </w:r>
      <w:r w:rsidR="004654CF">
        <w:t>, na</w:t>
      </w:r>
      <w:r w:rsidR="007D7B4A">
        <w:t>s</w:t>
      </w:r>
      <w:r w:rsidR="004654CF">
        <w:t>tavit će se s izgradnjom kapaciteta putem lokalnih info-centara te će se energetski siromašnim građanima kao i građanima u riziku od energetskog siromaštva osigurati adekva</w:t>
      </w:r>
      <w:r w:rsidR="007D7B4A">
        <w:t>t</w:t>
      </w:r>
      <w:r w:rsidR="004654CF">
        <w:t>ne informacije i savjeti</w:t>
      </w:r>
      <w:r w:rsidR="001017E9">
        <w:t xml:space="preserve">, </w:t>
      </w:r>
      <w:r w:rsidR="006A427C">
        <w:t xml:space="preserve">o mjerama energetske učinkovitosti koje doprinose suzbijanju energetskog siromaštva, kao i o mogućnostima sufinanciranja aktivnosti na tom polju. </w:t>
      </w:r>
      <w:r w:rsidR="001017E9">
        <w:t>Nadalje, i</w:t>
      </w:r>
      <w:r w:rsidR="006A427C">
        <w:t xml:space="preserve">dentificirat će se indikatori nužni za </w:t>
      </w:r>
      <w:r w:rsidR="00615BB2">
        <w:t>praćenje energetskog siromaštva te će se u</w:t>
      </w:r>
      <w:r w:rsidR="006A427C" w:rsidRPr="006A427C">
        <w:t>spostavit</w:t>
      </w:r>
      <w:r w:rsidR="00615BB2">
        <w:t>i</w:t>
      </w:r>
      <w:r w:rsidR="006A427C">
        <w:t xml:space="preserve"> </w:t>
      </w:r>
      <w:r w:rsidR="006A427C" w:rsidRPr="006A427C">
        <w:t>sustav</w:t>
      </w:r>
      <w:r w:rsidR="00615BB2">
        <w:t xml:space="preserve"> njihovog</w:t>
      </w:r>
      <w:r w:rsidR="006A427C" w:rsidRPr="006A427C">
        <w:t xml:space="preserve"> praćenja, kroz već postojeći sustav prikupljanja podataka o potrošnji i navikama kućanstava (Državni zavod za statistiku)</w:t>
      </w:r>
      <w:r w:rsidR="00615BB2">
        <w:t>.</w:t>
      </w:r>
      <w:r w:rsidR="006A427C" w:rsidRPr="006A427C">
        <w:t xml:space="preserve"> </w:t>
      </w:r>
      <w:r w:rsidR="00615BB2">
        <w:t>Na temelju podataka analizirat će se</w:t>
      </w:r>
      <w:r w:rsidR="006A427C" w:rsidRPr="006A427C">
        <w:t xml:space="preserve"> moguće proširenje kriterija za stjecanje statusa ugroženih kupaca energije</w:t>
      </w:r>
      <w:r w:rsidR="00615BB2">
        <w:t>.</w:t>
      </w:r>
      <w:r w:rsidR="00803250">
        <w:t xml:space="preserve"> S</w:t>
      </w:r>
      <w:r w:rsidR="00BB5FE8">
        <w:t xml:space="preserve">ufinancirat će se provedba </w:t>
      </w:r>
      <w:r w:rsidR="006A427C">
        <w:t>mjera energetske učinkovitosti u energetski siromašnim kućanstvima</w:t>
      </w:r>
      <w:r w:rsidR="00BB5FE8">
        <w:t>, primjerice z</w:t>
      </w:r>
      <w:r w:rsidR="00615BB2">
        <w:t>amjena kućanskih uređaja po sistemu „staro za novo“</w:t>
      </w:r>
      <w:r w:rsidR="00BB5FE8">
        <w:t>, u</w:t>
      </w:r>
      <w:r w:rsidR="00615BB2">
        <w:t>naprjeđenje ili zamjena sustava grijanja (poboljšanja učinkovitosti sustava grijanja i zamjene energenata (naročito električne energije i loživog ulja) okolišno, ekonomski i energetski povoljnijima, a poglavito sustavima koji koriste obnovljive izvore energije</w:t>
      </w:r>
      <w:r w:rsidR="00BB5FE8">
        <w:t xml:space="preserve"> te provedba drugih tehničkih mjera </w:t>
      </w:r>
      <w:r w:rsidR="004206E0">
        <w:t xml:space="preserve">energetske </w:t>
      </w:r>
      <w:r w:rsidR="00615BB2">
        <w:t>učinkovitosti</w:t>
      </w:r>
      <w:r w:rsidR="004206E0">
        <w:t>. Programom će se detaljno razraditi naveden</w:t>
      </w:r>
      <w:r w:rsidR="0099487A">
        <w:t>e mjere te prema potrebi osmislit</w:t>
      </w:r>
      <w:r w:rsidR="000250A9">
        <w:t>i i</w:t>
      </w:r>
      <w:r w:rsidR="0099487A">
        <w:t xml:space="preserve"> druge </w:t>
      </w:r>
      <w:r w:rsidR="0099487A" w:rsidRPr="00296A16">
        <w:t>mjere</w:t>
      </w:r>
      <w:r w:rsidR="00803250" w:rsidRPr="00296A16">
        <w:t>, kao i mogućnost njihove provedbe u okviru sustava obvez</w:t>
      </w:r>
      <w:r w:rsidR="00F575CB" w:rsidRPr="00223709">
        <w:t>e</w:t>
      </w:r>
      <w:r w:rsidR="00803250" w:rsidRPr="00296A16">
        <w:t xml:space="preserve"> </w:t>
      </w:r>
      <w:r w:rsidR="00F575CB" w:rsidRPr="00296A16">
        <w:t>energetske učinkovitosti za opskrbljivače</w:t>
      </w:r>
      <w:r w:rsidR="0099487A" w:rsidRPr="00296A16">
        <w:t>.</w:t>
      </w:r>
      <w:r w:rsidR="009A474F" w:rsidRPr="009A474F">
        <w:t xml:space="preserve"> </w:t>
      </w:r>
      <w:r w:rsidR="009A474F">
        <w:t xml:space="preserve">U okviru Programa razradit će se i implementirati </w:t>
      </w:r>
      <w:r w:rsidR="009A474F" w:rsidRPr="009A474F">
        <w:t>model za podmirivanje troškova za energiju</w:t>
      </w:r>
      <w:r w:rsidR="009A474F">
        <w:t>. M</w:t>
      </w:r>
      <w:r w:rsidR="009A474F" w:rsidRPr="005555A4">
        <w:t>odel</w:t>
      </w:r>
      <w:r w:rsidR="000250A9">
        <w:t>om</w:t>
      </w:r>
      <w:r w:rsidR="00821024">
        <w:t xml:space="preserve"> će se utvrditi razina </w:t>
      </w:r>
      <w:r w:rsidR="009A474F" w:rsidRPr="005555A4">
        <w:t>potrebne pomoći kućanstvima koja su suočena s problemom podmirivanja troškova za energiju</w:t>
      </w:r>
      <w:r w:rsidR="00821024">
        <w:t xml:space="preserve">, na temelju </w:t>
      </w:r>
      <w:r w:rsidR="009A474F" w:rsidRPr="005555A4">
        <w:t>potrebn</w:t>
      </w:r>
      <w:r w:rsidR="00821024">
        <w:t>e</w:t>
      </w:r>
      <w:r w:rsidR="009A474F" w:rsidRPr="005555A4">
        <w:t xml:space="preserve"> količin</w:t>
      </w:r>
      <w:r w:rsidR="00821024">
        <w:t>e</w:t>
      </w:r>
      <w:r w:rsidR="009A474F" w:rsidRPr="005555A4">
        <w:t xml:space="preserve"> energije koj</w:t>
      </w:r>
      <w:r w:rsidR="00821024">
        <w:t>om</w:t>
      </w:r>
      <w:r w:rsidR="009A474F" w:rsidRPr="005555A4">
        <w:t xml:space="preserve"> se zadovoljava minimalni standard stanovanja</w:t>
      </w:r>
      <w:r w:rsidR="00821024">
        <w:t>.</w:t>
      </w:r>
      <w:r w:rsidR="00BD60A4">
        <w:t xml:space="preserve"> </w:t>
      </w:r>
      <w:r w:rsidR="00BD60A4" w:rsidRPr="00BD60A4">
        <w:t>U Dugoročnoj strategiji energetske obnove zgrada do 2050. godine bit će dane mjere za suzbijanje energetskog siromaštva kroz energetsku obnovu zgrada kao i kriteriji za određivanje ranjivih skupina građana ugroženih od energetskog siromaštva. Navedene mjere bit će dodatno razrađene u Programu energetske obnove višestambenih zgrada za razdoblje 2021.-2030. i u Programu energetske obnove obiteljskih kuća za razdoblje 2021.-2030.</w:t>
      </w:r>
    </w:p>
    <w:p w14:paraId="5E0E7F64" w14:textId="77777777" w:rsidR="00937302" w:rsidRPr="00283711" w:rsidRDefault="00937302" w:rsidP="00937302">
      <w:pPr>
        <w:suppressAutoHyphens w:val="0"/>
        <w:spacing w:before="0" w:after="0" w:line="240" w:lineRule="auto"/>
        <w:rPr>
          <w:rFonts w:cs="Arial"/>
          <w:b/>
          <w:bCs/>
          <w:color w:val="000000"/>
          <w:lang w:eastAsia="en-GB"/>
        </w:rPr>
      </w:pPr>
    </w:p>
    <w:p w14:paraId="6D39FAAA" w14:textId="77777777" w:rsidR="00937302" w:rsidRPr="00283711" w:rsidRDefault="00937302" w:rsidP="00937302">
      <w:pPr>
        <w:suppressAutoHyphens w:val="0"/>
        <w:spacing w:before="0" w:after="0" w:line="240" w:lineRule="auto"/>
        <w:rPr>
          <w:rFonts w:eastAsia="Calibri" w:cs="Arial"/>
          <w:color w:val="000000"/>
        </w:rPr>
      </w:pPr>
      <w:r w:rsidRPr="00283711">
        <w:rPr>
          <w:rFonts w:cs="Arial"/>
          <w:b/>
          <w:bCs/>
          <w:color w:val="000000"/>
          <w:lang w:eastAsia="en-GB"/>
        </w:rPr>
        <w:t xml:space="preserve">Sredstva potrebna za provedbu: </w:t>
      </w:r>
      <w:r w:rsidRPr="00283711">
        <w:rPr>
          <w:rFonts w:cs="Arial"/>
          <w:color w:val="000000"/>
          <w:lang w:eastAsia="en-GB"/>
        </w:rPr>
        <w:t xml:space="preserve">Nije procijenjeno </w:t>
      </w:r>
    </w:p>
    <w:p w14:paraId="645235B4" w14:textId="18762C9F" w:rsidR="00937302" w:rsidRPr="00283711" w:rsidRDefault="00937302" w:rsidP="00937302">
      <w:pPr>
        <w:suppressAutoHyphens w:val="0"/>
        <w:spacing w:before="0" w:after="0" w:line="240" w:lineRule="auto"/>
        <w:rPr>
          <w:rFonts w:eastAsia="Calibri" w:cs="Arial"/>
          <w:color w:val="000000"/>
        </w:rPr>
      </w:pPr>
      <w:r w:rsidRPr="00283711">
        <w:rPr>
          <w:rFonts w:cs="Arial"/>
          <w:b/>
          <w:bCs/>
          <w:color w:val="000000"/>
          <w:lang w:eastAsia="en-GB"/>
        </w:rPr>
        <w:t xml:space="preserve">Izvori financiranja: </w:t>
      </w:r>
      <w:r w:rsidRPr="00283711">
        <w:rPr>
          <w:rFonts w:cs="Arial"/>
          <w:color w:val="000000"/>
          <w:lang w:eastAsia="en-GB"/>
        </w:rPr>
        <w:t>Sredstva obveznika sustava obveze energetske učinkovitosti</w:t>
      </w:r>
      <w:r w:rsidR="00924FA2">
        <w:rPr>
          <w:rFonts w:cs="Arial"/>
          <w:color w:val="000000"/>
          <w:lang w:eastAsia="en-GB"/>
        </w:rPr>
        <w:t xml:space="preserve">, </w:t>
      </w:r>
      <w:r w:rsidR="00645CE6">
        <w:rPr>
          <w:rFonts w:cs="Arial"/>
          <w:color w:val="000000"/>
          <w:lang w:eastAsia="en-GB"/>
        </w:rPr>
        <w:t>EU fondovi</w:t>
      </w:r>
    </w:p>
    <w:p w14:paraId="40E33499" w14:textId="2DE7506B" w:rsidR="00937302" w:rsidRPr="00283711" w:rsidRDefault="00937302" w:rsidP="00937302">
      <w:pPr>
        <w:suppressAutoHyphens w:val="0"/>
        <w:spacing w:before="0" w:after="0" w:line="240" w:lineRule="auto"/>
        <w:rPr>
          <w:rFonts w:cs="Arial"/>
          <w:color w:val="000000"/>
          <w:lang w:eastAsia="en-GB"/>
        </w:rPr>
      </w:pPr>
      <w:r w:rsidRPr="00283711">
        <w:rPr>
          <w:rFonts w:cs="Arial"/>
          <w:b/>
          <w:bCs/>
          <w:color w:val="000000"/>
          <w:lang w:eastAsia="en-GB"/>
        </w:rPr>
        <w:t>Izvršno</w:t>
      </w:r>
      <w:r w:rsidR="00013736">
        <w:rPr>
          <w:rFonts w:cs="Arial"/>
          <w:b/>
          <w:bCs/>
          <w:color w:val="000000"/>
          <w:lang w:eastAsia="en-GB"/>
        </w:rPr>
        <w:t xml:space="preserve"> </w:t>
      </w:r>
      <w:r w:rsidRPr="00283711">
        <w:rPr>
          <w:rFonts w:cs="Arial"/>
          <w:b/>
          <w:bCs/>
          <w:color w:val="000000"/>
          <w:lang w:eastAsia="en-GB"/>
        </w:rPr>
        <w:t>tijelo:</w:t>
      </w:r>
      <w:r w:rsidRPr="00283711">
        <w:rPr>
          <w:rFonts w:cs="Arial"/>
          <w:color w:val="000000"/>
          <w:lang w:eastAsia="en-GB"/>
        </w:rPr>
        <w:t xml:space="preserve"> </w:t>
      </w:r>
      <w:r w:rsidR="004821F8">
        <w:rPr>
          <w:rFonts w:cs="Arial"/>
          <w:color w:val="000000"/>
          <w:lang w:eastAsia="en-GB"/>
        </w:rPr>
        <w:t>ministarstvo nadležno za energetiku i ministarstvo nadležno za socijalnu skrb, DZS</w:t>
      </w:r>
    </w:p>
    <w:p w14:paraId="6765B53C" w14:textId="087CDCDA" w:rsidR="00937302" w:rsidRPr="00283711" w:rsidRDefault="00937302" w:rsidP="00937302">
      <w:pPr>
        <w:suppressAutoHyphens w:val="0"/>
        <w:spacing w:before="0" w:after="0" w:line="240" w:lineRule="auto"/>
        <w:rPr>
          <w:rFonts w:eastAsia="Calibri" w:cs="Arial"/>
          <w:color w:val="000000"/>
        </w:rPr>
      </w:pPr>
      <w:r w:rsidRPr="00283711">
        <w:rPr>
          <w:rFonts w:cs="Arial"/>
          <w:b/>
          <w:bCs/>
          <w:color w:val="000000"/>
          <w:lang w:eastAsia="en-GB"/>
        </w:rPr>
        <w:t>Tijela za praćenje (nadzor):</w:t>
      </w:r>
      <w:r w:rsidRPr="00283711">
        <w:rPr>
          <w:rFonts w:cs="Arial"/>
          <w:color w:val="000000"/>
          <w:lang w:eastAsia="en-GB"/>
        </w:rPr>
        <w:t xml:space="preserve"> </w:t>
      </w:r>
      <w:r w:rsidR="00924FA2">
        <w:rPr>
          <w:rFonts w:cs="Arial"/>
          <w:color w:val="000000"/>
          <w:lang w:eastAsia="en-GB"/>
        </w:rPr>
        <w:t>ministarstvo nadležno za energetiku i ministarstvo nadležno za socijalnu skrb</w:t>
      </w:r>
    </w:p>
    <w:p w14:paraId="43E6AEF7" w14:textId="4BC6621D" w:rsidR="00937302" w:rsidRPr="00283711" w:rsidRDefault="00937302" w:rsidP="00937302">
      <w:pPr>
        <w:suppressAutoHyphens w:val="0"/>
        <w:spacing w:before="0" w:after="0" w:line="240" w:lineRule="auto"/>
        <w:rPr>
          <w:rFonts w:eastAsia="Calibri" w:cs="Arial"/>
          <w:color w:val="000000"/>
        </w:rPr>
      </w:pPr>
      <w:r w:rsidRPr="00283711">
        <w:rPr>
          <w:rFonts w:cs="Arial"/>
          <w:b/>
          <w:bCs/>
          <w:color w:val="000000"/>
          <w:lang w:eastAsia="en-GB"/>
        </w:rPr>
        <w:t xml:space="preserve">Učinak: </w:t>
      </w:r>
      <w:r w:rsidR="004821F8">
        <w:rPr>
          <w:rFonts w:cs="Arial"/>
          <w:color w:val="000000"/>
          <w:lang w:eastAsia="en-GB"/>
        </w:rPr>
        <w:t>Uspostava sustava za praćenje energetskog siromaštva i ugroženosti njime;</w:t>
      </w:r>
      <w:r w:rsidR="00430C26">
        <w:rPr>
          <w:rFonts w:cs="Arial"/>
          <w:color w:val="000000"/>
          <w:lang w:eastAsia="en-GB"/>
        </w:rPr>
        <w:t xml:space="preserve"> izgradnja kapaciteta za ublažavanje energetskog siromaštva;</w:t>
      </w:r>
      <w:r w:rsidR="00B6423A">
        <w:rPr>
          <w:rFonts w:cs="Arial"/>
          <w:color w:val="000000"/>
          <w:lang w:eastAsia="en-GB"/>
        </w:rPr>
        <w:t xml:space="preserve"> uspostava modela za podmirivanje troškova za energiju;</w:t>
      </w:r>
      <w:r w:rsidR="004821F8">
        <w:rPr>
          <w:rFonts w:cs="Arial"/>
          <w:color w:val="000000"/>
          <w:lang w:eastAsia="en-GB"/>
        </w:rPr>
        <w:t xml:space="preserve"> s</w:t>
      </w:r>
      <w:r w:rsidRPr="00283711">
        <w:rPr>
          <w:rFonts w:cs="Arial"/>
          <w:color w:val="000000"/>
          <w:lang w:eastAsia="en-GB"/>
        </w:rPr>
        <w:t>manjenje neposredne potrošnje energije i posljedično smanjenje emisija CO</w:t>
      </w:r>
      <w:r w:rsidRPr="00283711">
        <w:rPr>
          <w:rFonts w:cs="Arial"/>
          <w:color w:val="000000"/>
          <w:vertAlign w:val="subscript"/>
          <w:lang w:eastAsia="en-GB"/>
        </w:rPr>
        <w:t>2</w:t>
      </w:r>
      <w:r w:rsidR="00924FA2">
        <w:rPr>
          <w:rFonts w:cs="Arial"/>
          <w:color w:val="000000"/>
          <w:lang w:eastAsia="en-GB"/>
        </w:rPr>
        <w:t xml:space="preserve"> u energetski siromašnim kućanstvima i kućanstvima ugroženima njime</w:t>
      </w:r>
    </w:p>
    <w:p w14:paraId="03D3105A" w14:textId="14AECE7A" w:rsidR="00937302" w:rsidRPr="00283711" w:rsidRDefault="00937302" w:rsidP="00937302">
      <w:pPr>
        <w:suppressAutoHyphens w:val="0"/>
        <w:spacing w:before="0" w:after="0" w:line="240" w:lineRule="auto"/>
        <w:rPr>
          <w:rFonts w:eastAsia="Calibri" w:cs="Arial"/>
          <w:color w:val="000000"/>
        </w:rPr>
      </w:pPr>
      <w:r w:rsidRPr="00283711">
        <w:rPr>
          <w:rFonts w:cs="Arial"/>
          <w:b/>
          <w:bCs/>
          <w:color w:val="000000"/>
          <w:lang w:eastAsia="en-GB"/>
        </w:rPr>
        <w:t>Metoda praćenja:</w:t>
      </w:r>
      <w:r w:rsidRPr="00283711">
        <w:rPr>
          <w:rFonts w:cs="Arial"/>
          <w:color w:val="000000"/>
          <w:lang w:eastAsia="en-GB"/>
        </w:rPr>
        <w:t xml:space="preserve"> </w:t>
      </w:r>
      <w:r w:rsidR="00B6423A">
        <w:rPr>
          <w:rFonts w:cs="Arial"/>
          <w:color w:val="000000"/>
          <w:lang w:eastAsia="en-GB"/>
        </w:rPr>
        <w:t xml:space="preserve">Publikacije DZS; </w:t>
      </w:r>
      <w:r w:rsidRPr="00283711">
        <w:rPr>
          <w:rFonts w:cs="Arial"/>
          <w:color w:val="000000"/>
          <w:lang w:eastAsia="en-GB"/>
        </w:rPr>
        <w:t>Ostvarene uštede prate se i dokazuju korištenjem metoda odozdo-prema-gore prema Pravilniku o sustavu za praćenje, mjerenje i verifikaciju ušteda energije</w:t>
      </w:r>
    </w:p>
    <w:p w14:paraId="5326FF45" w14:textId="1133CCEE" w:rsidR="00937302" w:rsidRPr="00283711" w:rsidRDefault="00937302" w:rsidP="00937302">
      <w:pPr>
        <w:suppressAutoHyphens w:val="0"/>
        <w:spacing w:before="0" w:after="0" w:line="240" w:lineRule="auto"/>
        <w:rPr>
          <w:rFonts w:eastAsia="Calibri" w:cs="Arial"/>
          <w:color w:val="000000"/>
        </w:rPr>
      </w:pPr>
      <w:r w:rsidRPr="00283711">
        <w:rPr>
          <w:rFonts w:cs="Arial"/>
          <w:b/>
          <w:bCs/>
          <w:color w:val="000000"/>
          <w:lang w:eastAsia="en-GB"/>
        </w:rPr>
        <w:t xml:space="preserve">Povezanost s drugim dimenzijama: </w:t>
      </w:r>
      <w:r w:rsidR="00C4244B">
        <w:rPr>
          <w:rFonts w:cs="Arial"/>
          <w:color w:val="000000"/>
          <w:lang w:eastAsia="en-GB"/>
        </w:rPr>
        <w:t>dekarbonizacija – emisije; dekarbonizacija – OIE; energetska učinkovitost</w:t>
      </w:r>
    </w:p>
    <w:p w14:paraId="1A1BEB36" w14:textId="77777777" w:rsidR="00937302" w:rsidRPr="00283711" w:rsidRDefault="00937302" w:rsidP="00937302">
      <w:pPr>
        <w:suppressAutoHyphens w:val="0"/>
        <w:spacing w:before="0" w:after="0" w:line="240" w:lineRule="auto"/>
        <w:rPr>
          <w:rFonts w:eastAsia="Calibri" w:cs="Arial"/>
          <w:color w:val="000000"/>
        </w:rPr>
      </w:pPr>
      <w:r w:rsidRPr="00283711">
        <w:rPr>
          <w:rFonts w:cs="Arial"/>
          <w:b/>
          <w:bCs/>
          <w:color w:val="000000"/>
          <w:lang w:eastAsia="en-GB"/>
        </w:rPr>
        <w:t xml:space="preserve">Povezanost s prilagodbom klimatskim promjenama: </w:t>
      </w:r>
      <w:r w:rsidRPr="00283711">
        <w:rPr>
          <w:rFonts w:cs="Arial"/>
          <w:color w:val="000000"/>
          <w:lang w:eastAsia="en-GB"/>
        </w:rPr>
        <w:t>/</w:t>
      </w:r>
    </w:p>
    <w:p w14:paraId="3C1B34BC" w14:textId="0B497931" w:rsidR="00937302" w:rsidRPr="00283711" w:rsidRDefault="00937302" w:rsidP="00937302">
      <w:pPr>
        <w:suppressAutoHyphens w:val="0"/>
        <w:spacing w:before="0" w:after="0" w:line="240" w:lineRule="auto"/>
        <w:rPr>
          <w:rFonts w:eastAsia="Calibri" w:cs="Arial"/>
        </w:rPr>
      </w:pPr>
      <w:r w:rsidRPr="00283711">
        <w:rPr>
          <w:rFonts w:cs="Arial"/>
          <w:b/>
          <w:bCs/>
          <w:color w:val="000000"/>
          <w:lang w:eastAsia="en-GB"/>
        </w:rPr>
        <w:t>Istraživanje i razvoj</w:t>
      </w:r>
      <w:r w:rsidRPr="00283711">
        <w:rPr>
          <w:rFonts w:cs="Arial"/>
          <w:color w:val="000000"/>
          <w:lang w:eastAsia="en-GB"/>
        </w:rPr>
        <w:t xml:space="preserve">: </w:t>
      </w:r>
      <w:r w:rsidR="004821F8">
        <w:rPr>
          <w:rFonts w:cs="Arial"/>
          <w:color w:val="000000"/>
          <w:lang w:eastAsia="en-GB"/>
        </w:rPr>
        <w:t>energetska učinkovitost u zgradarstvu; energetska učinkovitost u grijanju i hlađenju; pametni gradovi i zajednice</w:t>
      </w:r>
    </w:p>
    <w:p w14:paraId="7BC0173D" w14:textId="77777777" w:rsidR="00CB7416" w:rsidRDefault="00CB7416" w:rsidP="00615BB2"/>
    <w:p w14:paraId="2E090033" w14:textId="6FB7BD25" w:rsidR="00C21988" w:rsidRDefault="00DB6B9C" w:rsidP="00C21988">
      <w:pPr>
        <w:pStyle w:val="Heading2"/>
      </w:pPr>
      <w:bookmarkStart w:id="407" w:name="_Toc531935164"/>
      <w:bookmarkStart w:id="408" w:name="_Toc531945114"/>
      <w:bookmarkStart w:id="409" w:name="_Toc6302371"/>
      <w:bookmarkStart w:id="410" w:name="_Toc27396113"/>
      <w:r>
        <w:t>3.5</w:t>
      </w:r>
      <w:r>
        <w:tab/>
      </w:r>
      <w:r w:rsidR="00C21988">
        <w:t>Dimenzija: istraživanje, inovacije i konkurentnost</w:t>
      </w:r>
      <w:bookmarkEnd w:id="407"/>
      <w:bookmarkEnd w:id="408"/>
      <w:bookmarkEnd w:id="409"/>
      <w:bookmarkEnd w:id="410"/>
    </w:p>
    <w:p w14:paraId="21171962" w14:textId="68CA56F2" w:rsidR="00565051" w:rsidRPr="00BE1ECD" w:rsidRDefault="00565051" w:rsidP="00840E2E">
      <w:pPr>
        <w:pStyle w:val="Heading3"/>
        <w:numPr>
          <w:ilvl w:val="0"/>
          <w:numId w:val="77"/>
        </w:numPr>
      </w:pPr>
      <w:bookmarkStart w:id="411" w:name="_Toc531935165"/>
      <w:bookmarkStart w:id="412" w:name="_Toc531945115"/>
      <w:bookmarkStart w:id="413" w:name="_Toc6302372"/>
      <w:r w:rsidRPr="00BE1ECD">
        <w:t>Politike i mjere koje se odnose na elemente iz odjeljka 2.5.</w:t>
      </w:r>
    </w:p>
    <w:bookmarkEnd w:id="411"/>
    <w:bookmarkEnd w:id="412"/>
    <w:bookmarkEnd w:id="413"/>
    <w:p w14:paraId="7066A654" w14:textId="2515F4B7" w:rsidR="00FD5A39" w:rsidRDefault="00FD5A39" w:rsidP="00FD5A39">
      <w:pPr>
        <w:suppressAutoHyphens w:val="0"/>
        <w:spacing w:after="160" w:line="256" w:lineRule="auto"/>
        <w:contextualSpacing/>
      </w:pPr>
      <w:r>
        <w:t xml:space="preserve">Država će povećati ulaganje u istraživanje, razvoj i inovacije te ulaganje u transfer znanja i tehnologija i razvoj na znanju i inovacijama utemeljenih tehnologija putem različitih programa od bespovratnih sredstava, preko uvjetnih zajmova do programa državnih potpora. Uvođenje </w:t>
      </w:r>
      <w:r w:rsidR="00013736">
        <w:t>konkretnih</w:t>
      </w:r>
      <w:r>
        <w:t xml:space="preserve"> tehnologija bit će prvenstveno vođeno tržištem. </w:t>
      </w:r>
      <w:r w:rsidR="00873049">
        <w:t>I</w:t>
      </w:r>
      <w:r w:rsidR="006C2C19">
        <w:t xml:space="preserve">zradit će se trogodišnji akcijski </w:t>
      </w:r>
      <w:r w:rsidR="00BC7F92">
        <w:t>plan istraživanja, inovacija i konkurentnosti</w:t>
      </w:r>
      <w:r w:rsidR="00327590">
        <w:t xml:space="preserve"> relevantnih za dimenzije energetske unije</w:t>
      </w:r>
      <w:r w:rsidR="00BC7F92">
        <w:t>.</w:t>
      </w:r>
    </w:p>
    <w:p w14:paraId="2D07C793" w14:textId="77777777" w:rsidR="00FD5A39" w:rsidRDefault="00FD5A39" w:rsidP="00FD5A39">
      <w:pPr>
        <w:suppressAutoHyphens w:val="0"/>
        <w:spacing w:after="160" w:line="256" w:lineRule="auto"/>
        <w:contextualSpacing/>
      </w:pPr>
    </w:p>
    <w:p w14:paraId="1E800AFA" w14:textId="77777777" w:rsidR="00FD5A39" w:rsidRDefault="00FD5A39" w:rsidP="00FD5A39">
      <w:pPr>
        <w:suppressAutoHyphens w:val="0"/>
        <w:spacing w:after="160" w:line="256" w:lineRule="auto"/>
        <w:contextualSpacing/>
        <w:rPr>
          <w:u w:val="single"/>
        </w:rPr>
      </w:pPr>
      <w:r>
        <w:rPr>
          <w:u w:val="single"/>
        </w:rPr>
        <w:t>IIK-1: Utvrđivanje polazišta, nacionalnih ciljeva, indikatora za praćenje ostvarenja te uspostava sustava za praćenje ostvarenja zadanih ciljeva istraživanja, inovacija i konkurentnosti</w:t>
      </w:r>
    </w:p>
    <w:p w14:paraId="3131D19E" w14:textId="77777777" w:rsidR="00FD5A39" w:rsidRDefault="00FD5A39" w:rsidP="00FD5A39">
      <w:pPr>
        <w:suppressAutoHyphens w:val="0"/>
        <w:spacing w:after="160" w:line="256" w:lineRule="auto"/>
        <w:contextualSpacing/>
        <w:rPr>
          <w:b/>
          <w:bCs/>
        </w:rPr>
      </w:pPr>
    </w:p>
    <w:p w14:paraId="5F436819" w14:textId="77777777" w:rsidR="00FD5A39" w:rsidRDefault="00FD5A39" w:rsidP="00FD5A39">
      <w:pPr>
        <w:suppressAutoHyphens w:val="0"/>
        <w:spacing w:after="160" w:line="256" w:lineRule="auto"/>
        <w:contextualSpacing/>
        <w:rPr>
          <w:b/>
          <w:bCs/>
        </w:rPr>
      </w:pPr>
      <w:r>
        <w:rPr>
          <w:b/>
          <w:bCs/>
        </w:rPr>
        <w:t>Regulatorna mjera; provedba: 2020.-2030.</w:t>
      </w:r>
    </w:p>
    <w:p w14:paraId="37FD6EC9" w14:textId="77777777" w:rsidR="00FD5A39" w:rsidRDefault="00FD5A39" w:rsidP="00FD5A39">
      <w:pPr>
        <w:suppressAutoHyphens w:val="0"/>
        <w:spacing w:after="160" w:line="256" w:lineRule="auto"/>
        <w:contextualSpacing/>
      </w:pPr>
    </w:p>
    <w:p w14:paraId="108FD77C" w14:textId="6B2F1085" w:rsidR="00FD5A39" w:rsidRDefault="00FD5A39" w:rsidP="00FD5A39">
      <w:pPr>
        <w:suppressAutoHyphens w:val="0"/>
        <w:spacing w:after="160" w:line="256" w:lineRule="auto"/>
        <w:contextualSpacing/>
      </w:pPr>
      <w:r>
        <w:rPr>
          <w:b/>
          <w:bCs/>
        </w:rPr>
        <w:t>Cilj i opis mjere</w:t>
      </w:r>
      <w:r>
        <w:t>: Razrada ciljeva i sustava praćenja te uspostava sustava praćenja ostvarenja na području istraživanja i razvoja, inovacija i konkurentnosti povezanih s energetskom unijom; definiranje ključnih tehnologija za niskouglj</w:t>
      </w:r>
      <w:r w:rsidR="00156CF0">
        <w:t>i</w:t>
      </w:r>
      <w:r>
        <w:t>čnu tranziciju</w:t>
      </w:r>
      <w:r w:rsidR="00A23ABC">
        <w:t xml:space="preserve">, detaljna razrada trogodišnjeg akcijskog plana </w:t>
      </w:r>
    </w:p>
    <w:p w14:paraId="794A67F1" w14:textId="77777777" w:rsidR="00FD5A39" w:rsidRDefault="00FD5A39" w:rsidP="00FD5A39">
      <w:pPr>
        <w:suppressAutoHyphens w:val="0"/>
        <w:spacing w:after="160" w:line="256" w:lineRule="auto"/>
        <w:contextualSpacing/>
      </w:pPr>
    </w:p>
    <w:p w14:paraId="45EB06B5" w14:textId="67ABB725" w:rsidR="00FD5A39" w:rsidRDefault="00FD5A39" w:rsidP="00FD5A39">
      <w:pPr>
        <w:suppressAutoHyphens w:val="0"/>
        <w:spacing w:after="160" w:line="256" w:lineRule="auto"/>
        <w:contextualSpacing/>
      </w:pPr>
      <w:r>
        <w:rPr>
          <w:b/>
          <w:bCs/>
        </w:rPr>
        <w:t>Aktivnosti</w:t>
      </w:r>
      <w:r>
        <w:t xml:space="preserve">: </w:t>
      </w:r>
      <w:r w:rsidR="00057056">
        <w:t>MZOE</w:t>
      </w:r>
      <w:r>
        <w:t xml:space="preserve"> će u suradnji s MG</w:t>
      </w:r>
      <w:r w:rsidR="00393B21">
        <w:t>P</w:t>
      </w:r>
      <w:r>
        <w:t>O i MZO dodatno razraditi kriterije i indikatore relevantne za područja energetske unije. Predložit će relevantne izvore podataka i sustav praćenja ostvarenja indikatora. Predložit će ključne tehnologije niskougljične tranzicije</w:t>
      </w:r>
      <w:r w:rsidR="00057056">
        <w:t xml:space="preserve">, </w:t>
      </w:r>
      <w:r>
        <w:t>pratit će ostvarivanje zadanih ciljeva te po potrebi predlagati korektivne i druge mjere. Prema potrebi,</w:t>
      </w:r>
      <w:r w:rsidR="00A809E6">
        <w:t xml:space="preserve"> osnovat će se </w:t>
      </w:r>
      <w:r>
        <w:t>tematske podgrupe za područja istraživanja, inovacija i konkurentnosti.</w:t>
      </w:r>
    </w:p>
    <w:p w14:paraId="646D390D" w14:textId="77777777" w:rsidR="00FD5A39" w:rsidRDefault="00FD5A39" w:rsidP="00FD5A39">
      <w:pPr>
        <w:suppressAutoHyphens w:val="0"/>
        <w:spacing w:after="160" w:line="256" w:lineRule="auto"/>
        <w:contextualSpacing/>
      </w:pPr>
    </w:p>
    <w:p w14:paraId="4D3285C2" w14:textId="77777777" w:rsidR="00FD5A39" w:rsidRDefault="00FD5A39" w:rsidP="00FD5A39">
      <w:pPr>
        <w:suppressAutoHyphens w:val="0"/>
        <w:spacing w:after="160" w:line="256" w:lineRule="auto"/>
        <w:contextualSpacing/>
      </w:pPr>
      <w:r>
        <w:rPr>
          <w:b/>
          <w:bCs/>
        </w:rPr>
        <w:t>Sredstva potrebna za provedbu</w:t>
      </w:r>
      <w:r>
        <w:t>: redovan rad državnih tijela</w:t>
      </w:r>
    </w:p>
    <w:p w14:paraId="26423BBE" w14:textId="2F1066FF" w:rsidR="00FD5A39" w:rsidRDefault="00FD5A39" w:rsidP="00FD5A39">
      <w:pPr>
        <w:suppressAutoHyphens w:val="0"/>
        <w:spacing w:after="160" w:line="256" w:lineRule="auto"/>
        <w:contextualSpacing/>
      </w:pPr>
      <w:r>
        <w:rPr>
          <w:b/>
          <w:bCs/>
        </w:rPr>
        <w:t>Izvršno tijelo</w:t>
      </w:r>
      <w:r>
        <w:t>: MZOE, MG</w:t>
      </w:r>
      <w:r w:rsidR="00393B21">
        <w:t>P</w:t>
      </w:r>
      <w:r>
        <w:t>O, MZO, DZS, DZIV</w:t>
      </w:r>
    </w:p>
    <w:p w14:paraId="55FAC0D0" w14:textId="08E6DA07" w:rsidR="00FD5A39" w:rsidRDefault="00FD5A39" w:rsidP="00FD5A39">
      <w:pPr>
        <w:suppressAutoHyphens w:val="0"/>
        <w:spacing w:after="160" w:line="256" w:lineRule="auto"/>
        <w:contextualSpacing/>
      </w:pPr>
      <w:r>
        <w:rPr>
          <w:b/>
          <w:bCs/>
        </w:rPr>
        <w:t>Tijelo za praćenje (nadzor)</w:t>
      </w:r>
      <w:r>
        <w:t xml:space="preserve">: </w:t>
      </w:r>
      <w:r w:rsidR="001B565D">
        <w:t>MZOE</w:t>
      </w:r>
    </w:p>
    <w:p w14:paraId="0FC3CEC5" w14:textId="77777777" w:rsidR="00FD5A39" w:rsidRDefault="00FD5A39" w:rsidP="00FD5A39">
      <w:pPr>
        <w:suppressAutoHyphens w:val="0"/>
        <w:spacing w:after="160" w:line="256" w:lineRule="auto"/>
        <w:contextualSpacing/>
      </w:pPr>
      <w:r>
        <w:rPr>
          <w:b/>
          <w:bCs/>
        </w:rPr>
        <w:t>Učinak</w:t>
      </w:r>
      <w:r>
        <w:t>: Definirani nacionalni razvojni ciljevi u kontekstu niskougljične tranzicije, uspostavljen sustav za praćenje ostvarenja, definirane ključne tehnologije</w:t>
      </w:r>
    </w:p>
    <w:p w14:paraId="65E021EC" w14:textId="0977F5BF" w:rsidR="00FD5A39" w:rsidRDefault="00FD5A39" w:rsidP="00FD5A39">
      <w:pPr>
        <w:suppressAutoHyphens w:val="0"/>
        <w:spacing w:after="160" w:line="256" w:lineRule="auto"/>
        <w:contextualSpacing/>
      </w:pPr>
      <w:r>
        <w:rPr>
          <w:b/>
          <w:bCs/>
        </w:rPr>
        <w:t>Metoda praćenja</w:t>
      </w:r>
      <w:r>
        <w:t xml:space="preserve">: izvještaji </w:t>
      </w:r>
      <w:r w:rsidR="00B834AD">
        <w:t>MZOE</w:t>
      </w:r>
    </w:p>
    <w:p w14:paraId="62824A13" w14:textId="77777777" w:rsidR="00FD5A39" w:rsidRDefault="00FD5A39" w:rsidP="00FD5A39">
      <w:pPr>
        <w:suppressAutoHyphens w:val="0"/>
        <w:spacing w:after="160" w:line="256" w:lineRule="auto"/>
        <w:contextualSpacing/>
      </w:pPr>
      <w:r>
        <w:rPr>
          <w:b/>
          <w:bCs/>
        </w:rPr>
        <w:t>Povezanost s drugim dimenzijama</w:t>
      </w:r>
      <w:r>
        <w:t>: Mjera je povezana sa svim dimenzijama energetske unije jer potiče i prati istraživanja na svim područjima relevantnim za energetsku uniju</w:t>
      </w:r>
    </w:p>
    <w:p w14:paraId="3B60B7F5" w14:textId="77777777" w:rsidR="00FD5A39" w:rsidRDefault="00FD5A39" w:rsidP="00FD5A39">
      <w:pPr>
        <w:suppressAutoHyphens w:val="0"/>
        <w:spacing w:after="160" w:line="256" w:lineRule="auto"/>
        <w:contextualSpacing/>
      </w:pPr>
      <w:r>
        <w:rPr>
          <w:b/>
          <w:bCs/>
        </w:rPr>
        <w:t>Povezanost s prilagodbom klimatskim promjenama</w:t>
      </w:r>
      <w:r>
        <w:t xml:space="preserve">: Između ostalih tema, mjera potiče i prati istraživanja relevantna za prilagodbu klimatskim promjenama. </w:t>
      </w:r>
    </w:p>
    <w:p w14:paraId="087E11EA" w14:textId="77777777" w:rsidR="00FD5A39" w:rsidRDefault="00FD5A39" w:rsidP="00FD5A39">
      <w:pPr>
        <w:suppressAutoHyphens w:val="0"/>
        <w:spacing w:after="160" w:line="256" w:lineRule="auto"/>
        <w:contextualSpacing/>
      </w:pPr>
    </w:p>
    <w:p w14:paraId="678204AA" w14:textId="77777777" w:rsidR="00FD5A39" w:rsidRDefault="00FD5A39" w:rsidP="00FD5A39">
      <w:pPr>
        <w:suppressAutoHyphens w:val="0"/>
        <w:spacing w:after="160" w:line="256" w:lineRule="auto"/>
        <w:contextualSpacing/>
        <w:rPr>
          <w:u w:val="single"/>
        </w:rPr>
      </w:pPr>
      <w:r>
        <w:rPr>
          <w:u w:val="single"/>
        </w:rPr>
        <w:t xml:space="preserve">IIK-2: Sufinanciranje projekata industrijskog istraživanja i eksperimentalnog razvoja usklađenih s Nacionalnom razvojnom strategijom </w:t>
      </w:r>
    </w:p>
    <w:p w14:paraId="01F9D29E" w14:textId="77777777" w:rsidR="00FD5A39" w:rsidRDefault="00FD5A39" w:rsidP="00FD5A39">
      <w:pPr>
        <w:suppressAutoHyphens w:val="0"/>
        <w:spacing w:after="160" w:line="256" w:lineRule="auto"/>
        <w:contextualSpacing/>
        <w:rPr>
          <w:u w:val="single"/>
        </w:rPr>
      </w:pPr>
    </w:p>
    <w:p w14:paraId="6811973E" w14:textId="77777777" w:rsidR="00FD5A39" w:rsidRDefault="00FD5A39" w:rsidP="00FD5A39">
      <w:pPr>
        <w:suppressAutoHyphens w:val="0"/>
        <w:spacing w:after="160" w:line="256" w:lineRule="auto"/>
        <w:contextualSpacing/>
        <w:rPr>
          <w:b/>
          <w:bCs/>
        </w:rPr>
      </w:pPr>
      <w:r>
        <w:rPr>
          <w:b/>
          <w:bCs/>
        </w:rPr>
        <w:t>Financijska mjera; provedba: 2021.-2030.</w:t>
      </w:r>
    </w:p>
    <w:p w14:paraId="05E406F0" w14:textId="77777777" w:rsidR="00FD5A39" w:rsidRDefault="00FD5A39" w:rsidP="00FD5A39">
      <w:pPr>
        <w:suppressAutoHyphens w:val="0"/>
        <w:spacing w:after="160" w:line="256" w:lineRule="auto"/>
        <w:contextualSpacing/>
        <w:rPr>
          <w:b/>
          <w:bCs/>
        </w:rPr>
      </w:pPr>
    </w:p>
    <w:p w14:paraId="17EACE67" w14:textId="77777777" w:rsidR="00FD5A39" w:rsidRDefault="00FD5A39" w:rsidP="00FD5A39">
      <w:pPr>
        <w:suppressAutoHyphens w:val="0"/>
        <w:spacing w:after="160" w:line="256" w:lineRule="auto"/>
        <w:contextualSpacing/>
      </w:pPr>
      <w:r>
        <w:rPr>
          <w:b/>
          <w:bCs/>
        </w:rPr>
        <w:t>Cilj i opis mjere</w:t>
      </w:r>
      <w:r>
        <w:t>: Mjerom se potiče istraživanje i razvoj proizvoda i usluga relevantnih za niskougljični razvoj, sufinanciranjem istraživačkih projekata u okviru prioritetnih tema.</w:t>
      </w:r>
    </w:p>
    <w:p w14:paraId="25FCF526" w14:textId="643F4489" w:rsidR="00FD5A39" w:rsidRDefault="00FD5A39" w:rsidP="00154150">
      <w:pPr>
        <w:rPr>
          <w:rFonts w:cs="Arial"/>
        </w:rPr>
      </w:pPr>
      <w:r>
        <w:rPr>
          <w:b/>
          <w:bCs/>
        </w:rPr>
        <w:t>Aktivnosti</w:t>
      </w:r>
      <w:r>
        <w:t>: Na godišnjoj razini raspisivat će se natječaji za znanstveno-istraživačke projekte koji će se provoditi unutar RH te će se sufinancirati sudjelovanje hrvatskih</w:t>
      </w:r>
      <w:r w:rsidR="0014148A">
        <w:t xml:space="preserve"> znanstvenih</w:t>
      </w:r>
      <w:r>
        <w:t xml:space="preserve"> organizacija </w:t>
      </w:r>
      <w:r w:rsidR="002A258C">
        <w:t>i malih i srednjih poduzeća</w:t>
      </w:r>
      <w:r w:rsidR="002A258C" w:rsidRPr="008E0EBD">
        <w:t xml:space="preserve"> </w:t>
      </w:r>
      <w:r>
        <w:t xml:space="preserve">u međunarodnim znanstveno-istraživačkim projektima koji se bave prioritetnim temama za RH. </w:t>
      </w:r>
      <w:r w:rsidR="00594BAC">
        <w:t xml:space="preserve">Također, sufinancirat će se projektno sudjelovanje hrvatskih znanstvenih institucija i malih i srednjih poduzeća u relevantnim </w:t>
      </w:r>
      <w:r w:rsidR="00594BAC" w:rsidRPr="00662D61">
        <w:t>program</w:t>
      </w:r>
      <w:r w:rsidR="00594BAC">
        <w:t>im</w:t>
      </w:r>
      <w:r w:rsidR="00594BAC" w:rsidRPr="00662D61">
        <w:t>a (SET Plan, ETIP, EERA, Obzor 2020 LIFE, Eureka, idr.), Europskim partnerstvima u okviru Okvirnog programa EU za istraživanje i inovacije i u relevantnim pan-europskim mrežama i konzorcijima</w:t>
      </w:r>
      <w:r w:rsidR="00594BAC">
        <w:t xml:space="preserve">, sukladno pravilima određenog programa. </w:t>
      </w:r>
      <w:r>
        <w:rPr>
          <w:rFonts w:cs="Arial"/>
        </w:rPr>
        <w:t xml:space="preserve">Poticat će se suradnja znanstveno-istraživačkog i komercijalnog sektora </w:t>
      </w:r>
      <w:r>
        <w:t>te privatna ulaganja u istraživanje i razvoj</w:t>
      </w:r>
      <w:r>
        <w:rPr>
          <w:rFonts w:cs="Arial"/>
        </w:rPr>
        <w:t xml:space="preserve">. </w:t>
      </w:r>
      <w:r>
        <w:t>Pratit će se broj prijavljenih i odobrenih patenata. Za projekte čiji će ciljevi biti usklađeni s nacionalnim prioritetima osigurat će se financiranje djela troškova koji nisu financirani sredstvima donatora.</w:t>
      </w:r>
    </w:p>
    <w:p w14:paraId="74558154" w14:textId="1314A1A1" w:rsidR="00FD5A39" w:rsidRDefault="00FD5A39" w:rsidP="00FD5A39">
      <w:pPr>
        <w:spacing w:before="0" w:after="0"/>
        <w:rPr>
          <w:rFonts w:cs="Arial"/>
        </w:rPr>
      </w:pPr>
      <w:r>
        <w:rPr>
          <w:rFonts w:cs="Arial"/>
          <w:b/>
          <w:bCs/>
        </w:rPr>
        <w:t>Sredstva potrebna za provedbu</w:t>
      </w:r>
      <w:r>
        <w:rPr>
          <w:rFonts w:cs="Arial"/>
        </w:rPr>
        <w:t xml:space="preserve">: </w:t>
      </w:r>
      <w:r w:rsidR="005F2D8C">
        <w:rPr>
          <w:rFonts w:cs="Arial"/>
        </w:rPr>
        <w:t>4</w:t>
      </w:r>
      <w:r w:rsidR="00AA6B57">
        <w:rPr>
          <w:rFonts w:cs="Arial"/>
        </w:rPr>
        <w:t xml:space="preserve">5 </w:t>
      </w:r>
      <w:r>
        <w:rPr>
          <w:rFonts w:cs="Arial"/>
        </w:rPr>
        <w:t>milijun</w:t>
      </w:r>
      <w:r w:rsidR="00AA6B57">
        <w:rPr>
          <w:rFonts w:cs="Arial"/>
        </w:rPr>
        <w:t>a</w:t>
      </w:r>
      <w:r>
        <w:rPr>
          <w:rFonts w:cs="Arial"/>
        </w:rPr>
        <w:t xml:space="preserve"> kuna godišnje </w:t>
      </w:r>
    </w:p>
    <w:p w14:paraId="0F4F5B25" w14:textId="77777777" w:rsidR="00FD5A39" w:rsidRDefault="00FD5A39" w:rsidP="00FD5A39">
      <w:pPr>
        <w:spacing w:before="0" w:after="0"/>
        <w:rPr>
          <w:rFonts w:cs="Arial"/>
        </w:rPr>
      </w:pPr>
      <w:r>
        <w:rPr>
          <w:rFonts w:cs="Arial"/>
          <w:b/>
          <w:bCs/>
        </w:rPr>
        <w:t>Izvršno tijelo</w:t>
      </w:r>
      <w:r>
        <w:rPr>
          <w:rFonts w:cs="Arial"/>
        </w:rPr>
        <w:t>: HRZZ, MZO, MGPO, HAMAG-BICRO</w:t>
      </w:r>
    </w:p>
    <w:p w14:paraId="72685602" w14:textId="77777777" w:rsidR="00FD5A39" w:rsidRDefault="00FD5A39" w:rsidP="00FD5A39">
      <w:pPr>
        <w:suppressAutoHyphens w:val="0"/>
        <w:spacing w:before="0" w:after="0" w:line="256" w:lineRule="auto"/>
        <w:contextualSpacing/>
      </w:pPr>
      <w:r>
        <w:rPr>
          <w:b/>
          <w:bCs/>
        </w:rPr>
        <w:t>Tijelo za praćenje (nadzor)</w:t>
      </w:r>
      <w:r>
        <w:t>: Nacionalno inovacijsko vijeće</w:t>
      </w:r>
    </w:p>
    <w:p w14:paraId="27B87414" w14:textId="77777777" w:rsidR="00FD5A39" w:rsidRDefault="00FD5A39" w:rsidP="00FD5A39">
      <w:pPr>
        <w:suppressAutoHyphens w:val="0"/>
        <w:spacing w:after="160" w:line="256" w:lineRule="auto"/>
        <w:contextualSpacing/>
      </w:pPr>
      <w:r>
        <w:rPr>
          <w:b/>
          <w:bCs/>
        </w:rPr>
        <w:t>Učinak</w:t>
      </w:r>
      <w:r>
        <w:t>: Provedeni znanstveno-istraživački projekti prioritetni za RH</w:t>
      </w:r>
    </w:p>
    <w:p w14:paraId="6A49E5BA" w14:textId="4583736D" w:rsidR="00FD5A39" w:rsidRDefault="00FD5A39" w:rsidP="00FD5A39">
      <w:pPr>
        <w:suppressAutoHyphens w:val="0"/>
        <w:spacing w:after="160" w:line="256" w:lineRule="auto"/>
        <w:contextualSpacing/>
      </w:pPr>
      <w:r>
        <w:rPr>
          <w:b/>
          <w:bCs/>
        </w:rPr>
        <w:t>Metoda praćenja</w:t>
      </w:r>
      <w:r>
        <w:t xml:space="preserve">: izvješća </w:t>
      </w:r>
      <w:r w:rsidR="00B834AD">
        <w:t>MZOE</w:t>
      </w:r>
      <w:r>
        <w:t xml:space="preserve"> </w:t>
      </w:r>
    </w:p>
    <w:p w14:paraId="2FFEEED5" w14:textId="77777777" w:rsidR="00FD5A39" w:rsidRDefault="00FD5A39" w:rsidP="00FD5A39">
      <w:pPr>
        <w:suppressAutoHyphens w:val="0"/>
        <w:spacing w:after="160" w:line="256" w:lineRule="auto"/>
        <w:contextualSpacing/>
      </w:pPr>
      <w:r>
        <w:rPr>
          <w:b/>
          <w:bCs/>
        </w:rPr>
        <w:t>Povezanost s drugim dimenzijama</w:t>
      </w:r>
      <w:r>
        <w:t>: Mjera je povezana sa svim dimenzijama energetske unije jer potiče istraživanja na svim područjima relevantnim za energetsku uniju</w:t>
      </w:r>
    </w:p>
    <w:p w14:paraId="621D282F" w14:textId="77777777" w:rsidR="00FD5A39" w:rsidRDefault="00FD5A39" w:rsidP="00FD5A39">
      <w:pPr>
        <w:suppressAutoHyphens w:val="0"/>
        <w:spacing w:after="160" w:line="256" w:lineRule="auto"/>
        <w:contextualSpacing/>
      </w:pPr>
      <w:r>
        <w:rPr>
          <w:b/>
          <w:bCs/>
        </w:rPr>
        <w:t>Povezanost s prilagodbom klimatskim promjenama</w:t>
      </w:r>
      <w:r>
        <w:t xml:space="preserve">: Mjera potiče i istraživanja relevantna za prilagodbu klimatskim promjenama. </w:t>
      </w:r>
    </w:p>
    <w:p w14:paraId="139B85DE" w14:textId="77777777" w:rsidR="00FD5A39" w:rsidRDefault="00FD5A39" w:rsidP="00FD5A39">
      <w:pPr>
        <w:pStyle w:val="000325"/>
        <w:rPr>
          <w:rFonts w:ascii="Arial" w:hAnsi="Arial" w:cs="Arial"/>
          <w:sz w:val="22"/>
          <w:szCs w:val="22"/>
        </w:rPr>
      </w:pPr>
    </w:p>
    <w:p w14:paraId="506B539D" w14:textId="35765DED" w:rsidR="00FD5A39" w:rsidRDefault="00FD5A39" w:rsidP="00FD5A39">
      <w:pPr>
        <w:suppressAutoHyphens w:val="0"/>
        <w:spacing w:after="160" w:line="256" w:lineRule="auto"/>
        <w:contextualSpacing/>
        <w:rPr>
          <w:u w:val="single"/>
        </w:rPr>
      </w:pPr>
      <w:bookmarkStart w:id="414" w:name="_Hlk20747584"/>
      <w:r>
        <w:rPr>
          <w:u w:val="single"/>
        </w:rPr>
        <w:t>IIK-3: Poticanje razvoja poduzetništva na području niskougljičnog gospodarstva</w:t>
      </w:r>
    </w:p>
    <w:p w14:paraId="40739031" w14:textId="77777777" w:rsidR="00FD5A39" w:rsidRDefault="00FD5A39" w:rsidP="00FD5A39">
      <w:pPr>
        <w:suppressAutoHyphens w:val="0"/>
        <w:spacing w:after="160" w:line="256" w:lineRule="auto"/>
        <w:contextualSpacing/>
        <w:rPr>
          <w:b/>
          <w:bCs/>
        </w:rPr>
      </w:pPr>
      <w:r>
        <w:rPr>
          <w:b/>
          <w:bCs/>
        </w:rPr>
        <w:t>Financijska mjera; provedba: 2021.-2030.</w:t>
      </w:r>
    </w:p>
    <w:p w14:paraId="2C6F7FB1" w14:textId="77777777" w:rsidR="00FD5A39" w:rsidRDefault="00FD5A39" w:rsidP="00FD5A39">
      <w:pPr>
        <w:suppressAutoHyphens w:val="0"/>
        <w:spacing w:after="160" w:line="256" w:lineRule="auto"/>
        <w:contextualSpacing/>
      </w:pPr>
      <w:r>
        <w:rPr>
          <w:b/>
          <w:bCs/>
        </w:rPr>
        <w:t>Cilj i opis mjere</w:t>
      </w:r>
      <w:r>
        <w:t>: Mjerom se potiče razvoj poduzetništva na području niskougljičnih proizvoda i usluga, sufinanciranjem poduzetničkih aktivnosti u ovom području.</w:t>
      </w:r>
    </w:p>
    <w:p w14:paraId="4C82859D" w14:textId="5EEFF89C" w:rsidR="00FD5A39" w:rsidRDefault="00FD5A39" w:rsidP="00FD5A39">
      <w:pPr>
        <w:suppressAutoHyphens w:val="0"/>
        <w:spacing w:after="160" w:line="256" w:lineRule="auto"/>
        <w:contextualSpacing/>
      </w:pPr>
      <w:r>
        <w:rPr>
          <w:b/>
          <w:bCs/>
        </w:rPr>
        <w:t xml:space="preserve">Aktivnosti: </w:t>
      </w:r>
      <w:r>
        <w:t>Nastavit će se s pružanjem potpore poduzetnicima kroz sve razvojne faze njihovog poslovanja – od istraživanja i razvoja ideje pa sve do komercijalizacije i plasmana na tržište, i to na području niskougljičnih proizvoda i usluga. Poticat će se suradnja sa znanstveno-istraživačkim institucijama te povećanje privatnih ulaganja u istraživanje i razvoj.</w:t>
      </w:r>
      <w:r w:rsidR="001A3134">
        <w:t xml:space="preserve"> </w:t>
      </w:r>
      <w:r w:rsidR="001A3134" w:rsidRPr="00662D61">
        <w:t>Jedna od mogućih aktivnosti je financiranje potvrde koncepta (Proof of Concept) kao mehanizma podrške u prijenosu rezultata istraživanja iz javnog u privatni sektor kako bi se stvorili novi proizvodi i usluge.</w:t>
      </w:r>
      <w:r>
        <w:t xml:space="preserve"> Pratit će se broj prijavljenih i odobrenih patenata</w:t>
      </w:r>
      <w:r w:rsidR="00593F57" w:rsidRPr="00593F57">
        <w:t xml:space="preserve"> </w:t>
      </w:r>
      <w:r w:rsidR="00593F57">
        <w:t>te broj novih proizvoda</w:t>
      </w:r>
      <w:r>
        <w:t>. Pratit će se potrebe za radnom snagom i dodatnim kvalifikacijama radne snage te uspostaviti kontinuirana komunikacija s državnim tijelima nadležnim za obrazovanje i za zapošljavanje.</w:t>
      </w:r>
    </w:p>
    <w:p w14:paraId="464CA97B" w14:textId="3F8FABEA" w:rsidR="00FD5A39" w:rsidRDefault="00FD5A39" w:rsidP="00FD5A39">
      <w:pPr>
        <w:spacing w:before="0" w:after="0"/>
        <w:rPr>
          <w:rFonts w:cs="Arial"/>
        </w:rPr>
      </w:pPr>
      <w:r>
        <w:rPr>
          <w:rFonts w:cs="Arial"/>
          <w:b/>
          <w:bCs/>
        </w:rPr>
        <w:t>Sredstva potrebna za provedbu</w:t>
      </w:r>
      <w:r>
        <w:rPr>
          <w:rFonts w:cs="Arial"/>
        </w:rPr>
        <w:t>: utvrdit će se</w:t>
      </w:r>
      <w:r w:rsidR="00013736">
        <w:rPr>
          <w:rFonts w:cs="Arial"/>
        </w:rPr>
        <w:t xml:space="preserve"> </w:t>
      </w:r>
      <w:r w:rsidR="00A3367E">
        <w:rPr>
          <w:rFonts w:cs="Arial"/>
        </w:rPr>
        <w:t>naknadno</w:t>
      </w:r>
    </w:p>
    <w:p w14:paraId="060EBE89" w14:textId="526C15B9" w:rsidR="00FD5A39" w:rsidRDefault="00FD5A39" w:rsidP="00FD5A39">
      <w:pPr>
        <w:spacing w:before="0" w:after="0"/>
        <w:rPr>
          <w:rFonts w:cs="Arial"/>
        </w:rPr>
      </w:pPr>
      <w:r>
        <w:rPr>
          <w:rFonts w:cs="Arial"/>
          <w:b/>
          <w:bCs/>
        </w:rPr>
        <w:t>Izvršno tijelo</w:t>
      </w:r>
      <w:r>
        <w:rPr>
          <w:rFonts w:cs="Arial"/>
        </w:rPr>
        <w:t>: HAMAG-BICRO, MZO, MG</w:t>
      </w:r>
      <w:r w:rsidR="00CF5614">
        <w:rPr>
          <w:rFonts w:cs="Arial"/>
        </w:rPr>
        <w:t>P</w:t>
      </w:r>
      <w:r>
        <w:rPr>
          <w:rFonts w:cs="Arial"/>
        </w:rPr>
        <w:t>O</w:t>
      </w:r>
    </w:p>
    <w:p w14:paraId="7EB041FE" w14:textId="77777777" w:rsidR="00FD5A39" w:rsidRDefault="00FD5A39" w:rsidP="00FD5A39">
      <w:pPr>
        <w:suppressAutoHyphens w:val="0"/>
        <w:spacing w:before="0" w:after="0" w:line="256" w:lineRule="auto"/>
        <w:contextualSpacing/>
      </w:pPr>
      <w:r>
        <w:rPr>
          <w:b/>
          <w:bCs/>
        </w:rPr>
        <w:t>Tijelo za praćenje (nadzor)</w:t>
      </w:r>
      <w:r>
        <w:t>: MZOE i Povjerenstvo za međusektorsku koordinaciju za politiku i mjere za ublaživanje i prilagodbu klimatskim promjenama</w:t>
      </w:r>
    </w:p>
    <w:p w14:paraId="4AE09E44" w14:textId="77777777" w:rsidR="00FD5A39" w:rsidRDefault="00FD5A39" w:rsidP="00FD5A39">
      <w:pPr>
        <w:suppressAutoHyphens w:val="0"/>
        <w:spacing w:after="160" w:line="256" w:lineRule="auto"/>
        <w:contextualSpacing/>
      </w:pPr>
      <w:r>
        <w:rPr>
          <w:b/>
          <w:bCs/>
        </w:rPr>
        <w:t>Učinak</w:t>
      </w:r>
      <w:r>
        <w:t>: Niskougljični proizvodi i usluge plasirani na tržište</w:t>
      </w:r>
    </w:p>
    <w:p w14:paraId="26246D3F" w14:textId="77777777" w:rsidR="00FD5A39" w:rsidRDefault="00FD5A39" w:rsidP="00FD5A39">
      <w:pPr>
        <w:suppressAutoHyphens w:val="0"/>
        <w:spacing w:after="160" w:line="256" w:lineRule="auto"/>
        <w:contextualSpacing/>
      </w:pPr>
      <w:r>
        <w:rPr>
          <w:b/>
          <w:bCs/>
        </w:rPr>
        <w:t>Metoda praćenja</w:t>
      </w:r>
      <w:r>
        <w:t xml:space="preserve">: izvješća Povjerenstva za međusektorsku koordinaciju za politiku i mjere za ublaživanje i prilagodbu klimatskim promjenama </w:t>
      </w:r>
    </w:p>
    <w:bookmarkEnd w:id="414"/>
    <w:p w14:paraId="5E7FDBDB" w14:textId="77777777" w:rsidR="00FD5A39" w:rsidRDefault="00FD5A39" w:rsidP="00FD5A39">
      <w:pPr>
        <w:suppressAutoHyphens w:val="0"/>
        <w:spacing w:after="160" w:line="256" w:lineRule="auto"/>
        <w:contextualSpacing/>
      </w:pPr>
      <w:r>
        <w:rPr>
          <w:b/>
          <w:bCs/>
        </w:rPr>
        <w:t>Povezanost s drugim dimenzijama</w:t>
      </w:r>
      <w:r>
        <w:t>: Mjera je povezana sa svim dimenzijama energetske unije jer potiče poduzetništvo na svim područjima relevantnim za energetsku uniju</w:t>
      </w:r>
    </w:p>
    <w:p w14:paraId="6A2255D2" w14:textId="76FD60AC" w:rsidR="00FD5A39" w:rsidRDefault="00FD5A39" w:rsidP="00FD5A39">
      <w:pPr>
        <w:suppressAutoHyphens w:val="0"/>
        <w:spacing w:after="160" w:line="256" w:lineRule="auto"/>
        <w:contextualSpacing/>
      </w:pPr>
      <w:r>
        <w:rPr>
          <w:b/>
          <w:bCs/>
        </w:rPr>
        <w:t>Povezanost s prilagodbom klimatskim promjenama</w:t>
      </w:r>
      <w:r>
        <w:t>: Mjera potiče poduzetništvo</w:t>
      </w:r>
      <w:r w:rsidR="00E223DA">
        <w:t xml:space="preserve"> </w:t>
      </w:r>
      <w:r>
        <w:t xml:space="preserve">na područjima relevantnim za prilagodbu klimatskim promjenama. </w:t>
      </w:r>
    </w:p>
    <w:p w14:paraId="42433D65" w14:textId="77777777" w:rsidR="00FD5A39" w:rsidRDefault="00FD5A39" w:rsidP="00FD5A39">
      <w:pPr>
        <w:suppressAutoHyphens w:val="0"/>
        <w:spacing w:after="160" w:line="256" w:lineRule="auto"/>
        <w:contextualSpacing/>
      </w:pPr>
    </w:p>
    <w:p w14:paraId="289718F2" w14:textId="7172AC01" w:rsidR="00FD5A39" w:rsidRDefault="00FD5A39" w:rsidP="00FD5A39">
      <w:pPr>
        <w:suppressAutoHyphens w:val="0"/>
        <w:spacing w:after="160" w:line="256" w:lineRule="auto"/>
        <w:contextualSpacing/>
        <w:rPr>
          <w:u w:val="single"/>
        </w:rPr>
      </w:pPr>
      <w:r>
        <w:rPr>
          <w:u w:val="single"/>
        </w:rPr>
        <w:t>IIK-4: Poticanje transfera znanja i tehnologija iz sustava znanosti u sustav gospodarstva s naglaskom na niskougljične tehnologije</w:t>
      </w:r>
      <w:r w:rsidR="00E223DA">
        <w:rPr>
          <w:u w:val="single"/>
        </w:rPr>
        <w:t xml:space="preserve"> </w:t>
      </w:r>
    </w:p>
    <w:p w14:paraId="47A4B9CE" w14:textId="77777777" w:rsidR="00FD5A39" w:rsidRDefault="00FD5A39" w:rsidP="00FD5A39">
      <w:pPr>
        <w:suppressAutoHyphens w:val="0"/>
        <w:spacing w:after="160" w:line="256" w:lineRule="auto"/>
        <w:contextualSpacing/>
        <w:rPr>
          <w:b/>
          <w:bCs/>
        </w:rPr>
      </w:pPr>
      <w:r>
        <w:rPr>
          <w:b/>
          <w:bCs/>
        </w:rPr>
        <w:t>Financijska mjera; provedba: 2021.-2030.</w:t>
      </w:r>
    </w:p>
    <w:p w14:paraId="1578EF07" w14:textId="287E93FB" w:rsidR="00FD5A39" w:rsidRDefault="00FD5A39" w:rsidP="00FD5A39">
      <w:pPr>
        <w:suppressAutoHyphens w:val="0"/>
        <w:spacing w:after="160" w:line="256" w:lineRule="auto"/>
        <w:contextualSpacing/>
      </w:pPr>
      <w:r>
        <w:rPr>
          <w:b/>
          <w:bCs/>
        </w:rPr>
        <w:t>Cilj i opis mjere</w:t>
      </w:r>
      <w:r>
        <w:t xml:space="preserve">: Mjerom se potiče razvoj osnovanih ureda za transfer tehnologije </w:t>
      </w:r>
      <w:r w:rsidR="00971B43" w:rsidRPr="008E0EBD">
        <w:t>i</w:t>
      </w:r>
      <w:r w:rsidR="00971B43">
        <w:t>li srodnih organizacijskih jedinica u javnim znanstvenim organizacijama i</w:t>
      </w:r>
      <w:r>
        <w:t xml:space="preserve"> znanstveno-tehnologijskih parkova s ciljem prijenosa znanja i razvoja tehnologija koje će pridonijeti razvoju niskougljičnog gospodarstva. </w:t>
      </w:r>
    </w:p>
    <w:p w14:paraId="5B769531" w14:textId="37CAE740" w:rsidR="00FD5A39" w:rsidRDefault="00FD5A39" w:rsidP="00FD5A39">
      <w:pPr>
        <w:suppressAutoHyphens w:val="0"/>
        <w:spacing w:after="160" w:line="256" w:lineRule="auto"/>
        <w:contextualSpacing/>
      </w:pPr>
      <w:r>
        <w:t>Aktivnosti: Davanje</w:t>
      </w:r>
      <w:r w:rsidR="00C6646E" w:rsidRPr="00C6646E">
        <w:t xml:space="preserve"> </w:t>
      </w:r>
      <w:r w:rsidR="00C6646E">
        <w:t>godišnjih</w:t>
      </w:r>
      <w:r>
        <w:t xml:space="preserve"> potpora </w:t>
      </w:r>
      <w:r w:rsidR="00D61A8D">
        <w:t xml:space="preserve">javnim znanstvenim organizacijama </w:t>
      </w:r>
      <w:r>
        <w:t xml:space="preserve">za osnivanje </w:t>
      </w:r>
      <w:r w:rsidR="00A3367E">
        <w:t xml:space="preserve">razvojnih </w:t>
      </w:r>
      <w:r w:rsidR="00D0549F">
        <w:t>tvrtki</w:t>
      </w:r>
      <w:r w:rsidR="00A3367E">
        <w:t xml:space="preserve"> ili tvr</w:t>
      </w:r>
      <w:r w:rsidR="00156CF0">
        <w:t>t</w:t>
      </w:r>
      <w:r w:rsidR="00A3367E">
        <w:t>ki kćeri</w:t>
      </w:r>
      <w:r w:rsidR="00A3367E" w:rsidDel="00A3367E">
        <w:t xml:space="preserve"> </w:t>
      </w:r>
      <w:r>
        <w:t xml:space="preserve">proizašlih iz rezultata znanstvenih istraživanja; davanje potpora za ostvarivanje suradnje poduzetnika i sustava znanosti, </w:t>
      </w:r>
      <w:r w:rsidR="001B6231">
        <w:t>poslovni</w:t>
      </w:r>
      <w:r>
        <w:t xml:space="preserve"> susreti, poslovno savjetovanje; pisanje poslovnih planova; financiranje pred-evaluacije i mentoriranje pisanja projekata velike vrijednosti i infrastrukturnih projekata; mentoriranje razvoja poslovnih planova i pitchanja ulagačima, financiranje stručnjaka za zaštitu prava intelektualnog vlasništva; financiranje potpora za projekte u fazi</w:t>
      </w:r>
      <w:r w:rsidR="003D794E">
        <w:t xml:space="preserve"> potvrde koncepta</w:t>
      </w:r>
      <w:r>
        <w:t xml:space="preserve"> i sl. s naglaskom na održive tehnologije koje doprinose niskougljičnom razvoju. </w:t>
      </w:r>
    </w:p>
    <w:p w14:paraId="6F4654BC" w14:textId="1AFFDACE" w:rsidR="00FD5A39" w:rsidRDefault="00FD5A39" w:rsidP="00FD5A39">
      <w:pPr>
        <w:suppressAutoHyphens w:val="0"/>
        <w:spacing w:after="160" w:line="256" w:lineRule="auto"/>
        <w:contextualSpacing/>
      </w:pPr>
      <w:r>
        <w:t>Pratit će se broj ostvarenih suradnji između sustava znanosti i industrije</w:t>
      </w:r>
      <w:r w:rsidR="00B976FA" w:rsidRPr="00B976FA">
        <w:t xml:space="preserve"> </w:t>
      </w:r>
      <w:r w:rsidR="00B976FA">
        <w:t>u području niskougljične tehnologije</w:t>
      </w:r>
      <w:r>
        <w:t xml:space="preserve">, broj napisanih poslovnih planova; broj osiguranih daljnjih investicija nakon PoC faze; broj predanih zahtjeva za zaštitu prava intelektualnog vlasništva; broj novoosnovanih </w:t>
      </w:r>
      <w:r w:rsidR="00D0549F">
        <w:t>razvojnih tvrtki ili tvrtki kćeri</w:t>
      </w:r>
      <w:r>
        <w:t xml:space="preserve"> u </w:t>
      </w:r>
      <w:r w:rsidR="00A560B9">
        <w:t>razdoblj</w:t>
      </w:r>
      <w:r>
        <w:t>u od 5 godina od osnutka, te poslovni uspjeh.</w:t>
      </w:r>
      <w:r w:rsidR="00A4741A">
        <w:t xml:space="preserve"> Također, na godišnjoj će se razini raspisati poziv za PoC fazu projekata koje će provoditi uredi za transfer tehnologije.</w:t>
      </w:r>
    </w:p>
    <w:p w14:paraId="782DABA0" w14:textId="2E4A844A" w:rsidR="00FD5A39" w:rsidRDefault="00FD5A39" w:rsidP="00FD5A39">
      <w:pPr>
        <w:suppressAutoHyphens w:val="0"/>
        <w:spacing w:after="160" w:line="256" w:lineRule="auto"/>
        <w:contextualSpacing/>
      </w:pPr>
      <w:r w:rsidRPr="007047F0">
        <w:rPr>
          <w:b/>
          <w:bCs/>
        </w:rPr>
        <w:t>Sredstva potrebna za provedbu</w:t>
      </w:r>
      <w:r>
        <w:t xml:space="preserve">: na godišnjoj razini do </w:t>
      </w:r>
      <w:r w:rsidR="00B16986">
        <w:t xml:space="preserve">5 </w:t>
      </w:r>
      <w:r>
        <w:t>milijuna kuna</w:t>
      </w:r>
    </w:p>
    <w:p w14:paraId="0B1E18BB" w14:textId="3AEF3CF1" w:rsidR="00FD5A39" w:rsidRDefault="00FD5A39" w:rsidP="00FD5A39">
      <w:pPr>
        <w:suppressAutoHyphens w:val="0"/>
        <w:spacing w:after="160" w:line="256" w:lineRule="auto"/>
        <w:contextualSpacing/>
      </w:pPr>
      <w:r>
        <w:rPr>
          <w:b/>
          <w:bCs/>
        </w:rPr>
        <w:t>Izvršno tijelo</w:t>
      </w:r>
      <w:r>
        <w:t>: MZO</w:t>
      </w:r>
    </w:p>
    <w:p w14:paraId="1CA77E4D" w14:textId="0701B48F" w:rsidR="00FD5A39" w:rsidRDefault="00FD5A39" w:rsidP="00FD5A39">
      <w:pPr>
        <w:suppressAutoHyphens w:val="0"/>
        <w:spacing w:after="160" w:line="256" w:lineRule="auto"/>
        <w:contextualSpacing/>
      </w:pPr>
      <w:r>
        <w:rPr>
          <w:b/>
          <w:bCs/>
        </w:rPr>
        <w:t>Tijelo za praćenje (nadzor):</w:t>
      </w:r>
      <w:r>
        <w:t xml:space="preserve"> </w:t>
      </w:r>
      <w:r w:rsidR="003C2863">
        <w:t>MZO</w:t>
      </w:r>
    </w:p>
    <w:p w14:paraId="60A50492" w14:textId="77777777" w:rsidR="00FD5A39" w:rsidRDefault="00FD5A39" w:rsidP="00FD5A39">
      <w:pPr>
        <w:suppressAutoHyphens w:val="0"/>
        <w:spacing w:after="160" w:line="256" w:lineRule="auto"/>
        <w:contextualSpacing/>
      </w:pPr>
      <w:r>
        <w:rPr>
          <w:b/>
          <w:bCs/>
        </w:rPr>
        <w:t>Učinak</w:t>
      </w:r>
      <w:r>
        <w:t>: Niskougljični proizvodi i usluge plasirani na tržište</w:t>
      </w:r>
    </w:p>
    <w:p w14:paraId="35AD4283" w14:textId="67787E9B" w:rsidR="00FD5A39" w:rsidRDefault="00FD5A39" w:rsidP="00FD5A39">
      <w:pPr>
        <w:suppressAutoHyphens w:val="0"/>
        <w:spacing w:after="160" w:line="256" w:lineRule="auto"/>
        <w:contextualSpacing/>
      </w:pPr>
      <w:r>
        <w:rPr>
          <w:b/>
          <w:bCs/>
        </w:rPr>
        <w:t>Metoda praćenja</w:t>
      </w:r>
      <w:r>
        <w:t xml:space="preserve">: Izvještaji o radu ureda za transfer tehnologije i znanstveno-tehnologijskih parkova. </w:t>
      </w:r>
    </w:p>
    <w:p w14:paraId="3EBC031F" w14:textId="77777777" w:rsidR="00FD5A39" w:rsidRDefault="00FD5A39" w:rsidP="00FD5A39">
      <w:pPr>
        <w:suppressAutoHyphens w:val="0"/>
        <w:spacing w:after="160" w:line="256" w:lineRule="auto"/>
        <w:contextualSpacing/>
      </w:pPr>
    </w:p>
    <w:p w14:paraId="4DD08611" w14:textId="3C4BBC14" w:rsidR="00FD5A39" w:rsidRDefault="00FD5A39" w:rsidP="00FD5A39">
      <w:pPr>
        <w:suppressAutoHyphens w:val="0"/>
        <w:spacing w:after="160" w:line="256" w:lineRule="auto"/>
        <w:contextualSpacing/>
        <w:rPr>
          <w:u w:val="single"/>
        </w:rPr>
      </w:pPr>
      <w:r>
        <w:rPr>
          <w:u w:val="single"/>
        </w:rPr>
        <w:t>IIK-5: Poticanje daljnjeg rada znanstvenih centara izvrsnosti osnovanih u području prirodnih, tehnički, biotehnički i biomedicinskih znanosti</w:t>
      </w:r>
    </w:p>
    <w:p w14:paraId="53B410CB" w14:textId="77777777" w:rsidR="00FD5A39" w:rsidRDefault="00FD5A39" w:rsidP="00FD5A39">
      <w:pPr>
        <w:suppressAutoHyphens w:val="0"/>
        <w:spacing w:after="160" w:line="256" w:lineRule="auto"/>
        <w:contextualSpacing/>
        <w:rPr>
          <w:b/>
          <w:bCs/>
        </w:rPr>
      </w:pPr>
      <w:r>
        <w:rPr>
          <w:b/>
          <w:bCs/>
        </w:rPr>
        <w:t>Financijska mjera; provedba: 2021.-2030.</w:t>
      </w:r>
    </w:p>
    <w:p w14:paraId="3DF514B0" w14:textId="77777777" w:rsidR="00FD5A39" w:rsidRDefault="00FD5A39" w:rsidP="00FD5A39">
      <w:pPr>
        <w:suppressAutoHyphens w:val="0"/>
        <w:spacing w:after="160" w:line="256" w:lineRule="auto"/>
        <w:contextualSpacing/>
      </w:pPr>
      <w:r>
        <w:rPr>
          <w:b/>
          <w:bCs/>
        </w:rPr>
        <w:t xml:space="preserve">Cilj i opis mjere: </w:t>
      </w:r>
      <w:r>
        <w:t xml:space="preserve">Mjerom se potiče daljnji rad osnovanih i centara izvrsnosti čiji je rad pozitivno ocijenjen u periodičkom postupku evaluacije s ciljem daljnjeg razvoja niskougljičnog gospodarstva. </w:t>
      </w:r>
    </w:p>
    <w:p w14:paraId="7E276EB6" w14:textId="7BC1C8FF" w:rsidR="00FD5A39" w:rsidRDefault="00FD5A39" w:rsidP="00FD5A39">
      <w:pPr>
        <w:suppressAutoHyphens w:val="0"/>
        <w:spacing w:after="160" w:line="256" w:lineRule="auto"/>
        <w:contextualSpacing/>
      </w:pPr>
      <w:r>
        <w:rPr>
          <w:b/>
          <w:bCs/>
        </w:rPr>
        <w:t>Aktivnosti</w:t>
      </w:r>
      <w:r>
        <w:t>: Davanje potpora za industrijsko i eksperimentalno istraživanje znanstvenih centara izvrsnosti u području koje će odrediti Povjerenstvo za međusektorsku koordinaciju za politiku i mjere za ublaživanje i prilagodbu klimatskim promjenama, a s ciljem daljnje nadogradnje na rezultate istraživanja financiranih u financijskom razdoblju 2014</w:t>
      </w:r>
      <w:r w:rsidR="007B19EB">
        <w:t>.</w:t>
      </w:r>
      <w:r>
        <w:t>-2020.</w:t>
      </w:r>
    </w:p>
    <w:p w14:paraId="49CF46F6" w14:textId="082FAB96" w:rsidR="00FD5A39" w:rsidRDefault="00FD5A39" w:rsidP="00FD5A39">
      <w:pPr>
        <w:suppressAutoHyphens w:val="0"/>
        <w:spacing w:after="160" w:line="256" w:lineRule="auto"/>
        <w:contextualSpacing/>
      </w:pPr>
      <w:r>
        <w:rPr>
          <w:b/>
          <w:bCs/>
        </w:rPr>
        <w:t>Sredstva potrebna za provedbu</w:t>
      </w:r>
      <w:r>
        <w:t xml:space="preserve">: </w:t>
      </w:r>
      <w:r w:rsidR="000178A0">
        <w:t>utvrdit će se naknadno</w:t>
      </w:r>
    </w:p>
    <w:p w14:paraId="2FE2152C" w14:textId="77777777" w:rsidR="00FD5A39" w:rsidRDefault="00FD5A39" w:rsidP="00FD5A39">
      <w:pPr>
        <w:suppressAutoHyphens w:val="0"/>
        <w:spacing w:after="160" w:line="256" w:lineRule="auto"/>
        <w:contextualSpacing/>
      </w:pPr>
      <w:r>
        <w:rPr>
          <w:b/>
          <w:bCs/>
        </w:rPr>
        <w:t>Izvršno tijelo</w:t>
      </w:r>
      <w:r>
        <w:t>: MZO</w:t>
      </w:r>
    </w:p>
    <w:p w14:paraId="0F530F9B" w14:textId="77777777" w:rsidR="00FD5A39" w:rsidRDefault="00FD5A39" w:rsidP="00FD5A39">
      <w:pPr>
        <w:suppressAutoHyphens w:val="0"/>
        <w:spacing w:after="160" w:line="256" w:lineRule="auto"/>
        <w:contextualSpacing/>
      </w:pPr>
      <w:r>
        <w:rPr>
          <w:b/>
          <w:bCs/>
        </w:rPr>
        <w:t>Tijelo za praćenje (nadzor)</w:t>
      </w:r>
      <w:r>
        <w:t xml:space="preserve">: AZVO </w:t>
      </w:r>
    </w:p>
    <w:p w14:paraId="008A5FE4" w14:textId="77777777" w:rsidR="00FD5A39" w:rsidRDefault="00FD5A39" w:rsidP="00FD5A39">
      <w:pPr>
        <w:suppressAutoHyphens w:val="0"/>
        <w:spacing w:after="160" w:line="256" w:lineRule="auto"/>
        <w:contextualSpacing/>
      </w:pPr>
      <w:r>
        <w:rPr>
          <w:b/>
          <w:bCs/>
        </w:rPr>
        <w:t>Učinak</w:t>
      </w:r>
      <w:r>
        <w:t>: rezultati industrijskih i eksperimentalnih istraživanja u području niskougljičnog razvoja</w:t>
      </w:r>
    </w:p>
    <w:p w14:paraId="578D523E" w14:textId="77777777" w:rsidR="00FD5A39" w:rsidRDefault="00FD5A39" w:rsidP="00FD5A39">
      <w:pPr>
        <w:suppressAutoHyphens w:val="0"/>
        <w:spacing w:after="160" w:line="256" w:lineRule="auto"/>
        <w:contextualSpacing/>
      </w:pPr>
      <w:r>
        <w:rPr>
          <w:b/>
          <w:bCs/>
        </w:rPr>
        <w:t>Metoda praćenja</w:t>
      </w:r>
      <w:r>
        <w:t xml:space="preserve">: Izvještaji o radu ZCI koji se na godišnjoj razini predaju MZO i AZVO. </w:t>
      </w:r>
    </w:p>
    <w:p w14:paraId="7E95708E" w14:textId="77777777" w:rsidR="00FD5A39" w:rsidRDefault="00FD5A39" w:rsidP="00FD5A39">
      <w:pPr>
        <w:suppressAutoHyphens w:val="0"/>
        <w:spacing w:after="160" w:line="256" w:lineRule="auto"/>
        <w:contextualSpacing/>
      </w:pPr>
    </w:p>
    <w:p w14:paraId="460BE595" w14:textId="0B7BE029" w:rsidR="00FD5A39" w:rsidRDefault="00FD5A39" w:rsidP="00FD5A39">
      <w:pPr>
        <w:suppressAutoHyphens w:val="0"/>
        <w:spacing w:after="160" w:line="256" w:lineRule="auto"/>
        <w:contextualSpacing/>
        <w:rPr>
          <w:u w:val="single"/>
        </w:rPr>
      </w:pPr>
      <w:r>
        <w:rPr>
          <w:u w:val="single"/>
        </w:rPr>
        <w:t>IIK-6: Izgradnja kapaciteta za poticanje istraživanja i inovacija te povećanje konkurentnosti u</w:t>
      </w:r>
      <w:r w:rsidR="00BD2B55">
        <w:rPr>
          <w:u w:val="single"/>
        </w:rPr>
        <w:t xml:space="preserve"> </w:t>
      </w:r>
      <w:r>
        <w:rPr>
          <w:u w:val="single"/>
        </w:rPr>
        <w:t>području niskougljičnog gospodarstva</w:t>
      </w:r>
    </w:p>
    <w:p w14:paraId="5173517B" w14:textId="77777777" w:rsidR="00FD5A39" w:rsidRDefault="00FD5A39" w:rsidP="00FD5A39">
      <w:pPr>
        <w:suppressAutoHyphens w:val="0"/>
        <w:spacing w:after="160" w:line="256" w:lineRule="auto"/>
        <w:contextualSpacing/>
        <w:rPr>
          <w:b/>
          <w:bCs/>
        </w:rPr>
      </w:pPr>
      <w:r>
        <w:rPr>
          <w:b/>
          <w:bCs/>
        </w:rPr>
        <w:t>Informativna mjera; provedba: 2020. – 2030.</w:t>
      </w:r>
    </w:p>
    <w:p w14:paraId="5009B90B" w14:textId="77777777" w:rsidR="00FD5A39" w:rsidRDefault="00FD5A39" w:rsidP="00FD5A39">
      <w:pPr>
        <w:suppressAutoHyphens w:val="0"/>
        <w:spacing w:after="160" w:line="256" w:lineRule="auto"/>
        <w:contextualSpacing/>
      </w:pPr>
      <w:r>
        <w:rPr>
          <w:b/>
          <w:bCs/>
        </w:rPr>
        <w:t>Cilj i opis mjere</w:t>
      </w:r>
      <w:r>
        <w:t>: Izgradit će se kapaciteti institucija uključenih u poticanje i praćenje istraživanja, inovacija i konkurentnosti na području niskougljičnog gospodarstva</w:t>
      </w:r>
    </w:p>
    <w:p w14:paraId="200CC147" w14:textId="27B7F52A" w:rsidR="00FD5A39" w:rsidRDefault="00FD5A39" w:rsidP="00FD5A39">
      <w:pPr>
        <w:suppressAutoHyphens w:val="0"/>
        <w:spacing w:after="160" w:line="256" w:lineRule="auto"/>
        <w:contextualSpacing/>
      </w:pPr>
      <w:r>
        <w:rPr>
          <w:b/>
          <w:bCs/>
        </w:rPr>
        <w:t>Aktivnosti</w:t>
      </w:r>
      <w:r>
        <w:t xml:space="preserve">: Za predstavnike svih tijela uključenih u provedbu mjera IIK 1 – </w:t>
      </w:r>
      <w:r w:rsidR="00B86564">
        <w:t xml:space="preserve">5 </w:t>
      </w:r>
      <w:r>
        <w:t xml:space="preserve">davat će se potpora za sudjelovanje na predavanjima, radionicama, sastancima radnih skupina, studijskim putovanjima s ciljem međunarodnog povezivanja i izgradnje kapaciteta u zadavanju ciljeva, definiranju indikatora te praćenju ostvarivanja zadanih ciljeva u kontekstu istraživanja, inovacija i konkurentnosti na području niskougljičnog gospodarstva. Davanje potpore za sudjelovanje u radnim tijelima i radnim skupinama te odborima relevantnih europskih i međunarodnih organizacija (IEA idr.), programa (SET Plan, ETIP, EERA, Obzor 2020 LIFE, Eureka, idr.), </w:t>
      </w:r>
      <w:r w:rsidR="00D021DC">
        <w:t>Europskim partnerstvima u okviru Okvirnog programa EU za istraživanje i inovacije i u</w:t>
      </w:r>
      <w:r>
        <w:t xml:space="preserve"> relevantnim pan-europskim mrežama i konzorcijima. Po potrebi, organizirat će se prijenos znanja i iskustava s drugim državama članicama EU te na druge dionike unutar RH.</w:t>
      </w:r>
      <w:r w:rsidR="00D96583">
        <w:t xml:space="preserve"> </w:t>
      </w:r>
    </w:p>
    <w:p w14:paraId="313A68AA" w14:textId="5F42CA7C" w:rsidR="00D96583" w:rsidRDefault="00D96583" w:rsidP="00FD5A39">
      <w:pPr>
        <w:suppressAutoHyphens w:val="0"/>
        <w:spacing w:after="160" w:line="256" w:lineRule="auto"/>
        <w:contextualSpacing/>
      </w:pPr>
      <w:r w:rsidRPr="00923CD8">
        <w:t>Ovom aktivnošću sufinancirat će se i sudjelovanja znanstvenih organizacija u javno-javnim i javno-privatnim partnerstvima unutar okvirnog programa za istraživanje i tehnološki ra</w:t>
      </w:r>
      <w:r w:rsidR="00F52305">
        <w:t>z</w:t>
      </w:r>
      <w:r w:rsidRPr="00923CD8">
        <w:t>voj te s relevantnim pan-europskim istraživačkim mrežama i konzorcijima u području niskougljičnog gospodarstva.</w:t>
      </w:r>
    </w:p>
    <w:p w14:paraId="245F71F3" w14:textId="57451A08" w:rsidR="00FD5A39" w:rsidRDefault="00FD5A39" w:rsidP="00FD5A39">
      <w:pPr>
        <w:spacing w:before="0" w:after="0"/>
        <w:rPr>
          <w:rFonts w:cs="Arial"/>
        </w:rPr>
      </w:pPr>
      <w:r>
        <w:rPr>
          <w:rFonts w:cs="Arial"/>
          <w:b/>
          <w:bCs/>
        </w:rPr>
        <w:t>Sredstva potrebna za provedbu</w:t>
      </w:r>
      <w:r>
        <w:rPr>
          <w:rFonts w:cs="Arial"/>
        </w:rPr>
        <w:t xml:space="preserve">: </w:t>
      </w:r>
      <w:r w:rsidR="00B420C3">
        <w:rPr>
          <w:rFonts w:cs="Arial"/>
        </w:rPr>
        <w:t xml:space="preserve">50 </w:t>
      </w:r>
      <w:r>
        <w:rPr>
          <w:rFonts w:cs="Arial"/>
        </w:rPr>
        <w:t>milijun</w:t>
      </w:r>
      <w:r w:rsidR="0043180A">
        <w:rPr>
          <w:rFonts w:cs="Arial"/>
        </w:rPr>
        <w:t>a</w:t>
      </w:r>
      <w:r>
        <w:rPr>
          <w:rFonts w:cs="Arial"/>
        </w:rPr>
        <w:t xml:space="preserve"> kn/god</w:t>
      </w:r>
    </w:p>
    <w:p w14:paraId="7CA330BE" w14:textId="40B15F56" w:rsidR="00FD5A39" w:rsidRDefault="00FD5A39" w:rsidP="00FD5A39">
      <w:pPr>
        <w:spacing w:before="0" w:after="0"/>
        <w:rPr>
          <w:rFonts w:cs="Arial"/>
        </w:rPr>
      </w:pPr>
      <w:r>
        <w:rPr>
          <w:rFonts w:cs="Arial"/>
          <w:b/>
          <w:bCs/>
        </w:rPr>
        <w:t>Izvori financiranja</w:t>
      </w:r>
      <w:r>
        <w:rPr>
          <w:rFonts w:cs="Arial"/>
        </w:rPr>
        <w:t>: tehnička pomoć, s</w:t>
      </w:r>
      <w:r>
        <w:rPr>
          <w:rFonts w:cs="Arial"/>
          <w:color w:val="000000"/>
          <w:lang w:eastAsia="en-GB"/>
        </w:rPr>
        <w:t>redstva od prodaje emisijskih jedinica na dražbi (FZOEU)</w:t>
      </w:r>
      <w:r w:rsidR="009272F4">
        <w:rPr>
          <w:rFonts w:cs="Arial"/>
          <w:color w:val="000000"/>
          <w:lang w:eastAsia="en-GB"/>
        </w:rPr>
        <w:t>, ESI fondovi</w:t>
      </w:r>
    </w:p>
    <w:p w14:paraId="1B91F571" w14:textId="64BA2E29" w:rsidR="00FD5A39" w:rsidRDefault="00FD5A39" w:rsidP="00FD5A39">
      <w:pPr>
        <w:spacing w:before="0" w:after="0"/>
        <w:rPr>
          <w:rFonts w:cs="Arial"/>
        </w:rPr>
      </w:pPr>
      <w:r>
        <w:rPr>
          <w:rFonts w:cs="Arial"/>
          <w:b/>
          <w:bCs/>
        </w:rPr>
        <w:t>Izvršno tijelo</w:t>
      </w:r>
      <w:r>
        <w:rPr>
          <w:rFonts w:cs="Arial"/>
        </w:rPr>
        <w:t>: HAMAG-BICRO, MZO, MG</w:t>
      </w:r>
      <w:r w:rsidR="008E7233">
        <w:rPr>
          <w:rFonts w:cs="Arial"/>
        </w:rPr>
        <w:t>P</w:t>
      </w:r>
      <w:r>
        <w:rPr>
          <w:rFonts w:cs="Arial"/>
        </w:rPr>
        <w:t xml:space="preserve">O </w:t>
      </w:r>
    </w:p>
    <w:p w14:paraId="4981B2D0" w14:textId="77777777" w:rsidR="00FD5A39" w:rsidRDefault="00FD5A39" w:rsidP="00FD5A39">
      <w:pPr>
        <w:suppressAutoHyphens w:val="0"/>
        <w:spacing w:before="0" w:after="0" w:line="256" w:lineRule="auto"/>
        <w:contextualSpacing/>
      </w:pPr>
      <w:r>
        <w:rPr>
          <w:b/>
          <w:bCs/>
        </w:rPr>
        <w:t>Tijelo za praćenje (nadzor)</w:t>
      </w:r>
      <w:r>
        <w:t>: MZOE i Povjerenstvo za međusektorsku koordinaciju za politiku i mjere za ublaživanje i prilagodbu klimatskim promjenama</w:t>
      </w:r>
    </w:p>
    <w:p w14:paraId="0FB5A956" w14:textId="77777777" w:rsidR="00FD5A39" w:rsidRDefault="00FD5A39" w:rsidP="00FD5A39">
      <w:pPr>
        <w:suppressAutoHyphens w:val="0"/>
        <w:spacing w:after="160" w:line="256" w:lineRule="auto"/>
        <w:contextualSpacing/>
      </w:pPr>
      <w:r>
        <w:rPr>
          <w:b/>
          <w:bCs/>
        </w:rPr>
        <w:t>Učinak</w:t>
      </w:r>
      <w:r>
        <w:t>: Izgrađeni kapaciteti u tijelima zaduženima poticanje istraživanja, inovacija i konkurentnosti na području niskougljičnih tehnologija</w:t>
      </w:r>
    </w:p>
    <w:p w14:paraId="472DFE91" w14:textId="77777777" w:rsidR="00FD5A39" w:rsidRDefault="00FD5A39" w:rsidP="00FD5A39">
      <w:pPr>
        <w:suppressAutoHyphens w:val="0"/>
        <w:spacing w:after="160" w:line="256" w:lineRule="auto"/>
        <w:contextualSpacing/>
      </w:pPr>
      <w:r>
        <w:rPr>
          <w:b/>
          <w:bCs/>
        </w:rPr>
        <w:t>Metoda praćenja</w:t>
      </w:r>
      <w:r>
        <w:t xml:space="preserve">: izvješća Povjerenstvu za međusektorsku koordinaciju za politiku i mjere za ublaživanje i prilagodbu klimatskim promjenama </w:t>
      </w:r>
    </w:p>
    <w:p w14:paraId="4A8BCE9A" w14:textId="77777777" w:rsidR="00FD5A39" w:rsidRDefault="00FD5A39" w:rsidP="00FD5A39">
      <w:pPr>
        <w:suppressAutoHyphens w:val="0"/>
        <w:spacing w:after="160" w:line="256" w:lineRule="auto"/>
        <w:contextualSpacing/>
      </w:pPr>
      <w:r>
        <w:rPr>
          <w:b/>
          <w:bCs/>
        </w:rPr>
        <w:t>Povezanost s drugim dimenzijama</w:t>
      </w:r>
      <w:r>
        <w:t>: /</w:t>
      </w:r>
    </w:p>
    <w:p w14:paraId="7081C02F" w14:textId="77777777" w:rsidR="00FD5A39" w:rsidRDefault="00FD5A39" w:rsidP="00FD5A39">
      <w:pPr>
        <w:suppressAutoHyphens w:val="0"/>
        <w:spacing w:after="160" w:line="256" w:lineRule="auto"/>
        <w:contextualSpacing/>
      </w:pPr>
      <w:r>
        <w:rPr>
          <w:b/>
          <w:bCs/>
        </w:rPr>
        <w:t>Povezanost s prilagodbom klimatskim promjenama</w:t>
      </w:r>
      <w:r>
        <w:t xml:space="preserve">: / </w:t>
      </w:r>
    </w:p>
    <w:p w14:paraId="573B9DBF" w14:textId="77777777" w:rsidR="008C1FB4" w:rsidRPr="00D02FF2" w:rsidRDefault="008C1FB4" w:rsidP="00CF2D4C">
      <w:pPr>
        <w:suppressAutoHyphens w:val="0"/>
        <w:spacing w:after="160" w:line="259" w:lineRule="auto"/>
        <w:contextualSpacing/>
      </w:pPr>
    </w:p>
    <w:p w14:paraId="2958D0A1" w14:textId="77777777" w:rsidR="0044494E" w:rsidRPr="00BE1ECD" w:rsidRDefault="0044494E" w:rsidP="00840E2E">
      <w:pPr>
        <w:pStyle w:val="Heading3"/>
        <w:numPr>
          <w:ilvl w:val="0"/>
          <w:numId w:val="77"/>
        </w:numPr>
      </w:pPr>
      <w:bookmarkStart w:id="415" w:name="_Toc531935166"/>
      <w:bookmarkStart w:id="416" w:name="_Toc531945116"/>
      <w:bookmarkStart w:id="417" w:name="_Toc6302373"/>
      <w:r w:rsidRPr="00BE1ECD">
        <w:t xml:space="preserve">Suradnja s drugim državama članicama u ovom području, uključujući informacije o tome kako se ciljevi i politike Strateškog plana za energetsku tehnologiju (SET) prenose u nacionalni kontekst </w:t>
      </w:r>
    </w:p>
    <w:p w14:paraId="745E0D71" w14:textId="1A70886D" w:rsidR="005211FE" w:rsidRDefault="005211FE" w:rsidP="005211FE">
      <w:pPr>
        <w:suppressAutoHyphens w:val="0"/>
      </w:pPr>
      <w:bookmarkStart w:id="418" w:name="_Toc531935167"/>
      <w:bookmarkStart w:id="419" w:name="_Toc531945117"/>
      <w:bookmarkStart w:id="420" w:name="_Toc6302374"/>
      <w:bookmarkEnd w:id="415"/>
      <w:bookmarkEnd w:id="416"/>
      <w:bookmarkEnd w:id="417"/>
      <w:r>
        <w:t xml:space="preserve">RH je u upravljačku skupinu </w:t>
      </w:r>
      <w:r w:rsidR="00516F4C" w:rsidRPr="00516F4C">
        <w:t>Europsk</w:t>
      </w:r>
      <w:r w:rsidR="00516F4C">
        <w:t>g</w:t>
      </w:r>
      <w:r w:rsidR="00516F4C" w:rsidRPr="00516F4C">
        <w:t xml:space="preserve"> stratešk</w:t>
      </w:r>
      <w:r w:rsidR="00516F4C">
        <w:t>og</w:t>
      </w:r>
      <w:r w:rsidR="00516F4C" w:rsidRPr="00516F4C">
        <w:t xml:space="preserve"> plan</w:t>
      </w:r>
      <w:r w:rsidR="00516F4C">
        <w:t>a</w:t>
      </w:r>
      <w:r w:rsidR="00516F4C" w:rsidRPr="00516F4C">
        <w:t xml:space="preserve"> razvoja energetskih tehnologija (SET-Plan) </w:t>
      </w:r>
      <w:r>
        <w:t>uključena od 2015. godine te pokriva svih deset ključnih aktivnosti. Poveznica između aktivnosti SET</w:t>
      </w:r>
      <w:r w:rsidR="008E7233">
        <w:t xml:space="preserve"> </w:t>
      </w:r>
      <w:r>
        <w:t>plana na europskoj i nacionalnoj razini osigurat će se izgradnjom kapaciteta predviđenom u okviru mjere IIK-</w:t>
      </w:r>
      <w:r w:rsidR="006328E7">
        <w:t>6</w:t>
      </w:r>
      <w:r>
        <w:t xml:space="preserve">. </w:t>
      </w:r>
    </w:p>
    <w:p w14:paraId="5736A9E7" w14:textId="77777777" w:rsidR="005211FE" w:rsidRDefault="005211FE" w:rsidP="005211FE">
      <w:pPr>
        <w:suppressAutoHyphens w:val="0"/>
      </w:pPr>
      <w:r>
        <w:t>Na regionalnoj radionici održanoj u Ljubljani u srpnju 2019. godine, kao teme za regionalnu suradnju u okviru dimenzije istraživanje, inovacije i konkurentnost predložena je znanstveno-istraživačka suradnja na sljedećim temama, s mogućnošću proširenja:</w:t>
      </w:r>
    </w:p>
    <w:p w14:paraId="6720D483" w14:textId="77777777" w:rsidR="005211FE" w:rsidRDefault="005211FE" w:rsidP="00840E2E">
      <w:pPr>
        <w:pStyle w:val="ListParagraph"/>
        <w:numPr>
          <w:ilvl w:val="0"/>
          <w:numId w:val="113"/>
        </w:numPr>
        <w:suppressAutoHyphens w:val="0"/>
      </w:pPr>
      <w:r>
        <w:t>pohrana energije,</w:t>
      </w:r>
    </w:p>
    <w:p w14:paraId="71859E5F" w14:textId="77777777" w:rsidR="005211FE" w:rsidRDefault="005211FE" w:rsidP="00840E2E">
      <w:pPr>
        <w:pStyle w:val="ListParagraph"/>
        <w:numPr>
          <w:ilvl w:val="0"/>
          <w:numId w:val="113"/>
        </w:numPr>
        <w:suppressAutoHyphens w:val="0"/>
      </w:pPr>
      <w:r>
        <w:t>digitalizacija energetskih sustava i mreža,</w:t>
      </w:r>
    </w:p>
    <w:p w14:paraId="2E199B39" w14:textId="77777777" w:rsidR="005211FE" w:rsidRDefault="005211FE" w:rsidP="00840E2E">
      <w:pPr>
        <w:pStyle w:val="ListParagraph"/>
        <w:numPr>
          <w:ilvl w:val="0"/>
          <w:numId w:val="113"/>
        </w:numPr>
        <w:suppressAutoHyphens w:val="0"/>
      </w:pPr>
      <w:r>
        <w:t>energetske zajednice,</w:t>
      </w:r>
    </w:p>
    <w:p w14:paraId="2764A529" w14:textId="77777777" w:rsidR="005211FE" w:rsidRDefault="005211FE" w:rsidP="00840E2E">
      <w:pPr>
        <w:pStyle w:val="ListParagraph"/>
        <w:numPr>
          <w:ilvl w:val="0"/>
          <w:numId w:val="113"/>
        </w:numPr>
        <w:suppressAutoHyphens w:val="0"/>
      </w:pPr>
      <w:r>
        <w:t>napredne mreže,</w:t>
      </w:r>
    </w:p>
    <w:p w14:paraId="5B20EC5C" w14:textId="77777777" w:rsidR="005211FE" w:rsidRDefault="005211FE" w:rsidP="00840E2E">
      <w:pPr>
        <w:pStyle w:val="ListParagraph"/>
        <w:numPr>
          <w:ilvl w:val="0"/>
          <w:numId w:val="113"/>
        </w:numPr>
        <w:suppressAutoHyphens w:val="0"/>
      </w:pPr>
      <w:r>
        <w:t>sustavi s visokim udjelom OIE,</w:t>
      </w:r>
    </w:p>
    <w:p w14:paraId="191876CB" w14:textId="77777777" w:rsidR="005211FE" w:rsidRDefault="005211FE" w:rsidP="00840E2E">
      <w:pPr>
        <w:pStyle w:val="ListParagraph"/>
        <w:numPr>
          <w:ilvl w:val="0"/>
          <w:numId w:val="113"/>
        </w:numPr>
        <w:suppressAutoHyphens w:val="0"/>
      </w:pPr>
      <w:r>
        <w:t>integracija energetskih sustava (električni, plinski, toplinski, transportni)</w:t>
      </w:r>
    </w:p>
    <w:p w14:paraId="5A91F667" w14:textId="77777777" w:rsidR="005211FE" w:rsidRDefault="005211FE" w:rsidP="00840E2E">
      <w:pPr>
        <w:pStyle w:val="ListParagraph"/>
        <w:numPr>
          <w:ilvl w:val="0"/>
          <w:numId w:val="113"/>
        </w:numPr>
        <w:suppressAutoHyphens w:val="0"/>
      </w:pPr>
      <w:r>
        <w:t>uklanjanje, skladištenje i uporaba CO</w:t>
      </w:r>
      <w:r>
        <w:rPr>
          <w:vertAlign w:val="subscript"/>
        </w:rPr>
        <w:t>2</w:t>
      </w:r>
      <w:r>
        <w:t>,</w:t>
      </w:r>
    </w:p>
    <w:p w14:paraId="2CA6B126" w14:textId="77777777" w:rsidR="005211FE" w:rsidRDefault="005211FE" w:rsidP="00840E2E">
      <w:pPr>
        <w:pStyle w:val="ListParagraph"/>
        <w:numPr>
          <w:ilvl w:val="0"/>
          <w:numId w:val="113"/>
        </w:numPr>
        <w:suppressAutoHyphens w:val="0"/>
      </w:pPr>
      <w:r>
        <w:t>vodik,</w:t>
      </w:r>
    </w:p>
    <w:p w14:paraId="11E6CF95" w14:textId="77777777" w:rsidR="005211FE" w:rsidRDefault="005211FE" w:rsidP="00840E2E">
      <w:pPr>
        <w:pStyle w:val="ListParagraph"/>
        <w:numPr>
          <w:ilvl w:val="0"/>
          <w:numId w:val="113"/>
        </w:numPr>
        <w:suppressAutoHyphens w:val="0"/>
      </w:pPr>
      <w:r>
        <w:t>energetsko siromaštvo</w:t>
      </w:r>
    </w:p>
    <w:p w14:paraId="5EB63343" w14:textId="77777777" w:rsidR="005211FE" w:rsidRDefault="005211FE" w:rsidP="00840E2E">
      <w:pPr>
        <w:pStyle w:val="ListParagraph"/>
        <w:numPr>
          <w:ilvl w:val="0"/>
          <w:numId w:val="113"/>
        </w:numPr>
        <w:suppressAutoHyphens w:val="0"/>
      </w:pPr>
      <w:r>
        <w:t>ponašanje potrošača.</w:t>
      </w:r>
    </w:p>
    <w:p w14:paraId="0ED96AA8" w14:textId="77777777" w:rsidR="005211FE" w:rsidRDefault="005211FE" w:rsidP="005211FE">
      <w:pPr>
        <w:suppressAutoHyphens w:val="0"/>
      </w:pPr>
      <w:r>
        <w:t>Države koje sudjeluju u neformalnoj regionalnoj koordinaciji razmatraju iznesene prijedloge te će dogovoriti naredne korake.</w:t>
      </w:r>
    </w:p>
    <w:p w14:paraId="6F9A3843" w14:textId="45DD764A" w:rsidR="002E31C0" w:rsidRPr="00BE1ECD" w:rsidRDefault="005211FE" w:rsidP="00840E2E">
      <w:pPr>
        <w:pStyle w:val="Heading3"/>
        <w:numPr>
          <w:ilvl w:val="0"/>
          <w:numId w:val="77"/>
        </w:numPr>
      </w:pPr>
      <w:r w:rsidRPr="00BE1ECD">
        <w:t xml:space="preserve"> </w:t>
      </w:r>
      <w:r w:rsidR="002E31C0" w:rsidRPr="00BE1ECD">
        <w:t>Financijske mjere u ovom području na nacionalnoj razini, uključujući potporu EU-a i upotrebu sredstava EU-a</w:t>
      </w:r>
    </w:p>
    <w:bookmarkEnd w:id="418"/>
    <w:bookmarkEnd w:id="419"/>
    <w:bookmarkEnd w:id="420"/>
    <w:p w14:paraId="6F57EB94" w14:textId="6711A3E5" w:rsidR="0087289E" w:rsidRDefault="0087289E" w:rsidP="0087289E">
      <w:r>
        <w:t>Znanstveno-istraživački projekti i projekti kojima se potiče poduzetništvo financirat će se iz nacionalnih sredstava, sredstava osiguranih iz europskih strukturnih i kohezijskih fondova za razdoblj</w:t>
      </w:r>
      <w:r w:rsidR="006328E7">
        <w:t>e</w:t>
      </w:r>
      <w:r>
        <w:t xml:space="preserve"> 2021. – 2027. godina,</w:t>
      </w:r>
      <w:r w:rsidR="007F44CA" w:rsidRPr="007F44CA">
        <w:t xml:space="preserve"> </w:t>
      </w:r>
      <w:r w:rsidR="007F44CA">
        <w:t>sredstvima Inovacijskog fonda</w:t>
      </w:r>
      <w:r>
        <w:t xml:space="preserve"> te izravno iz proračuna Europske unije, a prioritet će se dati niskougljičnim projektima.</w:t>
      </w:r>
    </w:p>
    <w:p w14:paraId="1AF572BF" w14:textId="77777777" w:rsidR="0087289E" w:rsidRDefault="0087289E" w:rsidP="0087289E">
      <w:r>
        <w:t>Uz to, potrebna je financijska podrška znanstveno-istraživačkim projektima koji se prijavljuju na relevantne međunarodne natječaje, kojima se povećava znanje potrebno za stvaranje zelenog i konkurentnog gospodarstva s niskim udjelom ugljika u kojem će se učinkovitije koristiti resursi, a čiji su ciljevi usklađeni s prioritetnim temama. Teme projekata utvrđivat će se u skladu s nacionalnim prioritetima koje će, u suradnji s nadležnim ministarstvima, određivati Povjerenstvo za međusektorsku koordinaciju za politiku i mjere za ublaživanje i prilagodbu klimatskim promjenama (previđeno u okviru mjere MS-1). Financijska podrška davat će se u postotnom dijelu vlastitog sufinanciranja projekata, za troškove organizacija registriranih u Republici Hrvatskoj. Za to će se koristiti sredstva od trgovine emisijskim jedinicama.</w:t>
      </w:r>
    </w:p>
    <w:p w14:paraId="7AFAACA8" w14:textId="6E813EED" w:rsidR="00C21988" w:rsidRDefault="00C21988" w:rsidP="00C21988"/>
    <w:p w14:paraId="49E0288E" w14:textId="4B9B1B60" w:rsidR="00C21988" w:rsidRPr="00725326" w:rsidRDefault="00C21988" w:rsidP="00725326">
      <w:pPr>
        <w:pStyle w:val="Heading1"/>
        <w:rPr>
          <w:b w:val="0"/>
        </w:rPr>
      </w:pPr>
      <w:bookmarkStart w:id="421" w:name="_Toc6302375"/>
      <w:bookmarkStart w:id="422" w:name="_Toc27396114"/>
      <w:r w:rsidRPr="00725326">
        <w:t>ODJELJAK B: ANALITIČKA OSNOVA</w:t>
      </w:r>
      <w:bookmarkEnd w:id="421"/>
      <w:bookmarkEnd w:id="422"/>
    </w:p>
    <w:p w14:paraId="2F28EB98" w14:textId="1876166E" w:rsidR="00C21988" w:rsidRDefault="00C21988">
      <w:pPr>
        <w:suppressAutoHyphens w:val="0"/>
        <w:spacing w:before="0" w:after="0" w:line="240" w:lineRule="auto"/>
        <w:jc w:val="left"/>
      </w:pPr>
      <w:r>
        <w:br w:type="page"/>
      </w:r>
    </w:p>
    <w:p w14:paraId="12C1119B" w14:textId="066D3539" w:rsidR="00C21988" w:rsidRPr="00E534AA" w:rsidRDefault="004E40FF" w:rsidP="00840E2E">
      <w:pPr>
        <w:pStyle w:val="Heading1"/>
        <w:numPr>
          <w:ilvl w:val="0"/>
          <w:numId w:val="43"/>
        </w:numPr>
      </w:pPr>
      <w:bookmarkStart w:id="423" w:name="_Toc531935168"/>
      <w:bookmarkStart w:id="424" w:name="_Toc531945118"/>
      <w:bookmarkStart w:id="425" w:name="_Toc6302376"/>
      <w:r>
        <w:tab/>
      </w:r>
      <w:bookmarkStart w:id="426" w:name="_Toc27396115"/>
      <w:r w:rsidR="00C21988" w:rsidRPr="00DB7DF8">
        <w:t>TRENUTAČNO STANJE I PROJEKCIJE NA TEMELJU POSTOJEĆIH POLITIKA I MJERA</w:t>
      </w:r>
      <w:bookmarkEnd w:id="423"/>
      <w:bookmarkEnd w:id="424"/>
      <w:bookmarkEnd w:id="425"/>
      <w:bookmarkEnd w:id="426"/>
      <w:r w:rsidR="00461782">
        <w:t xml:space="preserve"> </w:t>
      </w:r>
    </w:p>
    <w:p w14:paraId="13CD1E62" w14:textId="182FA899" w:rsidR="00C21988" w:rsidRDefault="004E40FF" w:rsidP="00C21988">
      <w:pPr>
        <w:pStyle w:val="Heading2"/>
      </w:pPr>
      <w:bookmarkStart w:id="427" w:name="_Toc531935169"/>
      <w:bookmarkStart w:id="428" w:name="_Toc531945119"/>
      <w:bookmarkStart w:id="429" w:name="_Toc6302377"/>
      <w:bookmarkStart w:id="430" w:name="_Toc27396116"/>
      <w:r>
        <w:t>4.1</w:t>
      </w:r>
      <w:r>
        <w:tab/>
      </w:r>
      <w:r w:rsidR="00C21988">
        <w:t>Predviđeni razvoj glavnih egzogenih čimbenika koji utječu na energetski sustav i trendove u pogledu emisija stakleničkih plinova</w:t>
      </w:r>
      <w:bookmarkEnd w:id="427"/>
      <w:bookmarkEnd w:id="428"/>
      <w:bookmarkEnd w:id="429"/>
      <w:bookmarkEnd w:id="430"/>
      <w:r w:rsidR="00C21988">
        <w:t xml:space="preserve"> </w:t>
      </w:r>
    </w:p>
    <w:p w14:paraId="58D1F1F8" w14:textId="77777777" w:rsidR="00A728AD" w:rsidRPr="00BE1ECD" w:rsidRDefault="00A728AD" w:rsidP="00840E2E">
      <w:pPr>
        <w:pStyle w:val="Heading3"/>
        <w:numPr>
          <w:ilvl w:val="0"/>
          <w:numId w:val="78"/>
        </w:numPr>
      </w:pPr>
      <w:r w:rsidRPr="00BE1ECD">
        <w:t>Makroekonomske prognoze (BDP i broj stanovnika)</w:t>
      </w:r>
    </w:p>
    <w:p w14:paraId="64CFD471" w14:textId="77777777" w:rsidR="00DB7A62" w:rsidRPr="00DB7A62" w:rsidRDefault="00C21988" w:rsidP="00DB7A62">
      <w:r>
        <w:t>Najvažniji čimbenici koji utječu na energetski sustav i trendove u pogledu emisija stakleničkih plinova su demografska i gospodarska kretanja.</w:t>
      </w:r>
    </w:p>
    <w:p w14:paraId="22B3E899" w14:textId="7FED4BEE" w:rsidR="00C21988" w:rsidRDefault="009450F5" w:rsidP="00154150">
      <w:r w:rsidRPr="00462AD9">
        <w:t xml:space="preserve">Za usmjeravanje ukupnog razvoja neophodno je poznavati broj, dinamiku i prostorni razmještaj stanovništva prema različitim demografskim i gospodarskim obilježjima. </w:t>
      </w:r>
      <w:r w:rsidR="00381645">
        <w:t>Izrađene su tri varijante projekcije broja stanovnika (</w:t>
      </w:r>
      <w:r w:rsidR="006A3C63">
        <w:t>niska, srednja i visoka)</w:t>
      </w:r>
      <w:r w:rsidR="00630566">
        <w:t xml:space="preserve">. </w:t>
      </w:r>
    </w:p>
    <w:p w14:paraId="6AEEFD49" w14:textId="631F93BA" w:rsidR="004040BA" w:rsidRPr="004040BA" w:rsidRDefault="001B2FB4" w:rsidP="004040BA">
      <w:r>
        <w:t xml:space="preserve">Također, </w:t>
      </w:r>
      <w:r w:rsidR="005F496B">
        <w:t>i</w:t>
      </w:r>
      <w:r w:rsidR="005F496B" w:rsidRPr="005F496B">
        <w:t>zrađene su</w:t>
      </w:r>
      <w:r w:rsidR="005F496B">
        <w:t xml:space="preserve"> i</w:t>
      </w:r>
      <w:r w:rsidR="005F496B" w:rsidRPr="005F496B">
        <w:t xml:space="preserve"> projekcije gospodarskih kretanja u razdoblju do 2050. godine. Aktivnosti predviđene projektnim zadatkom obuhvaćaju izradu projekcije bruto domaćeg proizvoda (BDP, engl.</w:t>
      </w:r>
      <w:r w:rsidR="0003667A" w:rsidRPr="005F496B">
        <w:t xml:space="preserve"> </w:t>
      </w:r>
      <w:r w:rsidR="0003667A">
        <w:rPr>
          <w:i/>
          <w:iCs/>
        </w:rPr>
        <w:t>G</w:t>
      </w:r>
      <w:r w:rsidR="0003667A" w:rsidRPr="003E33F5">
        <w:rPr>
          <w:i/>
          <w:iCs/>
        </w:rPr>
        <w:t xml:space="preserve">ross </w:t>
      </w:r>
      <w:r w:rsidR="0003667A">
        <w:rPr>
          <w:i/>
          <w:iCs/>
        </w:rPr>
        <w:t>D</w:t>
      </w:r>
      <w:r w:rsidR="0003667A" w:rsidRPr="003E33F5">
        <w:rPr>
          <w:i/>
          <w:iCs/>
        </w:rPr>
        <w:t xml:space="preserve">omestic </w:t>
      </w:r>
      <w:r w:rsidR="0003667A">
        <w:rPr>
          <w:i/>
          <w:iCs/>
        </w:rPr>
        <w:t>P</w:t>
      </w:r>
      <w:r w:rsidR="0003667A" w:rsidRPr="003E33F5">
        <w:rPr>
          <w:i/>
          <w:iCs/>
        </w:rPr>
        <w:t>roduct</w:t>
      </w:r>
      <w:r w:rsidR="0003667A">
        <w:t>,</w:t>
      </w:r>
      <w:r w:rsidR="005F496B" w:rsidRPr="005F496B">
        <w:t xml:space="preserve"> GDP) i bruto dodane vrijednosti (BDV, engl. </w:t>
      </w:r>
      <w:r w:rsidR="0003667A">
        <w:rPr>
          <w:i/>
          <w:iCs/>
        </w:rPr>
        <w:t>G</w:t>
      </w:r>
      <w:r w:rsidR="0003667A" w:rsidRPr="003E33F5">
        <w:rPr>
          <w:i/>
          <w:iCs/>
        </w:rPr>
        <w:t xml:space="preserve">ross </w:t>
      </w:r>
      <w:r w:rsidR="0003667A">
        <w:rPr>
          <w:i/>
          <w:iCs/>
        </w:rPr>
        <w:t>V</w:t>
      </w:r>
      <w:r w:rsidR="0003667A" w:rsidRPr="003E33F5">
        <w:rPr>
          <w:i/>
          <w:iCs/>
        </w:rPr>
        <w:t xml:space="preserve">alue </w:t>
      </w:r>
      <w:r w:rsidR="0003667A">
        <w:rPr>
          <w:i/>
          <w:iCs/>
        </w:rPr>
        <w:t>A</w:t>
      </w:r>
      <w:r w:rsidR="0003667A" w:rsidRPr="003E33F5">
        <w:rPr>
          <w:i/>
          <w:iCs/>
        </w:rPr>
        <w:t>dded</w:t>
      </w:r>
      <w:r w:rsidR="0003667A">
        <w:rPr>
          <w:i/>
          <w:iCs/>
        </w:rPr>
        <w:t>,</w:t>
      </w:r>
      <w:r w:rsidR="0003667A" w:rsidRPr="005F496B">
        <w:t xml:space="preserve"> </w:t>
      </w:r>
      <w:r w:rsidR="005F496B" w:rsidRPr="005F496B">
        <w:t>GVA) Republike Hrvatske po sektorima djelatnosti: industrija, poljoprivreda, transport, hoteli i restorani, ostale usluge i kućanstva</w:t>
      </w:r>
      <w:r w:rsidR="00086B0E">
        <w:t>.</w:t>
      </w:r>
    </w:p>
    <w:p w14:paraId="01EAB053" w14:textId="4BFDA25A" w:rsidR="002B0F87" w:rsidRDefault="006366D4" w:rsidP="002B0F87">
      <w:r w:rsidRPr="006366D4">
        <w:t xml:space="preserve">Korištenjem demografskih projekcija koje podrazumijevaju srednju dinamiku kretanja stanovništva, </w:t>
      </w:r>
      <w:r w:rsidR="00D13806">
        <w:t>izrađene su projekcije porasta BDP-a za baznu i rastuću produktivnost (</w:t>
      </w:r>
      <w:r w:rsidR="003204EE">
        <w:fldChar w:fldCharType="begin"/>
      </w:r>
      <w:r w:rsidR="003204EE">
        <w:instrText xml:space="preserve"> REF _Ref531868951 \h </w:instrText>
      </w:r>
      <w:r w:rsidR="003204EE">
        <w:fldChar w:fldCharType="separate"/>
      </w:r>
      <w:r w:rsidR="00154150">
        <w:t xml:space="preserve">Slika </w:t>
      </w:r>
      <w:r w:rsidR="00154150">
        <w:rPr>
          <w:noProof/>
        </w:rPr>
        <w:t>4</w:t>
      </w:r>
      <w:r w:rsidR="00154150">
        <w:noBreakHyphen/>
      </w:r>
      <w:r w:rsidR="00154150">
        <w:rPr>
          <w:noProof/>
        </w:rPr>
        <w:t>1</w:t>
      </w:r>
      <w:r w:rsidR="00154150" w:rsidRPr="00462AD9">
        <w:t>.</w:t>
      </w:r>
      <w:r w:rsidR="003204EE">
        <w:fldChar w:fldCharType="end"/>
      </w:r>
      <w:r w:rsidR="00D13806">
        <w:t>).</w:t>
      </w:r>
    </w:p>
    <w:p w14:paraId="76606EC1" w14:textId="66CD6D67" w:rsidR="00D13806" w:rsidRDefault="00173DE9" w:rsidP="00C21988">
      <w:r w:rsidRPr="00462AD9">
        <w:rPr>
          <w:noProof/>
        </w:rPr>
        <w:drawing>
          <wp:inline distT="0" distB="0" distL="0" distR="0" wp14:anchorId="71EAFA62" wp14:editId="5E946601">
            <wp:extent cx="5758180" cy="3669030"/>
            <wp:effectExtent l="0" t="0" r="0" b="7620"/>
            <wp:docPr id="1520171665" name="Picture 152017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58180" cy="3669030"/>
                    </a:xfrm>
                    <a:prstGeom prst="rect">
                      <a:avLst/>
                    </a:prstGeom>
                    <a:noFill/>
                    <a:ln>
                      <a:noFill/>
                    </a:ln>
                  </pic:spPr>
                </pic:pic>
              </a:graphicData>
            </a:graphic>
          </wp:inline>
        </w:drawing>
      </w:r>
    </w:p>
    <w:p w14:paraId="50872EC3" w14:textId="5C4A34BB" w:rsidR="003204EE" w:rsidRPr="00462AD9" w:rsidRDefault="003204EE" w:rsidP="00CF2D4C">
      <w:pPr>
        <w:pStyle w:val="Caption"/>
      </w:pPr>
      <w:bookmarkStart w:id="431" w:name="_Ref531868951"/>
      <w:bookmarkStart w:id="432" w:name="_Toc528672937"/>
      <w:bookmarkStart w:id="433" w:name="_Toc27396153"/>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w:t>
      </w:r>
      <w:r w:rsidR="005A7E31">
        <w:rPr>
          <w:noProof/>
        </w:rPr>
        <w:fldChar w:fldCharType="end"/>
      </w:r>
      <w:r w:rsidRPr="00462AD9">
        <w:t>.</w:t>
      </w:r>
      <w:bookmarkEnd w:id="431"/>
      <w:r w:rsidRPr="00462AD9">
        <w:t xml:space="preserve"> Projekcija BDP-a </w:t>
      </w:r>
      <w:r w:rsidR="008715CC">
        <w:t>na temelju</w:t>
      </w:r>
      <w:r w:rsidR="008715CC" w:rsidRPr="00462AD9">
        <w:t xml:space="preserve"> </w:t>
      </w:r>
      <w:r w:rsidRPr="00462AD9">
        <w:t>srednjih demografskih projekcija (za baznu i rastuću</w:t>
      </w:r>
      <w:r w:rsidR="009F688B">
        <w:t xml:space="preserve"> </w:t>
      </w:r>
      <w:r w:rsidRPr="00462AD9">
        <w:t>produktivnost)</w:t>
      </w:r>
      <w:bookmarkEnd w:id="432"/>
      <w:bookmarkEnd w:id="433"/>
    </w:p>
    <w:p w14:paraId="70FD895E" w14:textId="244CB08A" w:rsidR="003204EE" w:rsidRDefault="003204EE" w:rsidP="003204EE">
      <w:r w:rsidRPr="00462AD9">
        <w:t xml:space="preserve">Scenarij konvergencije omogućava Hrvatskoj da u određenoj mjeri smanji jaz u razvijenosti prema drugim članicama EU, iako ni ta brzina ne osigurava dostizanje prosjeka EU. Ipak konvergencija </w:t>
      </w:r>
      <w:r w:rsidR="0003667A">
        <w:t xml:space="preserve">ukupne faktorske produktivnosti (engl. </w:t>
      </w:r>
      <w:r w:rsidR="0003667A" w:rsidRPr="003E33F5">
        <w:rPr>
          <w:i/>
          <w:iCs/>
        </w:rPr>
        <w:t>total factor productivity</w:t>
      </w:r>
      <w:r w:rsidR="0003667A">
        <w:t xml:space="preserve">, </w:t>
      </w:r>
      <w:r w:rsidRPr="00462AD9">
        <w:t>TFP</w:t>
      </w:r>
      <w:r w:rsidR="0003667A">
        <w:t>)</w:t>
      </w:r>
      <w:r w:rsidRPr="00462AD9">
        <w:t xml:space="preserve"> omogućuje hvatanje priključka s novim člancima koje su već prošle razdoblje transformacije gospodarstva i za većinu kojih se očekuje da će do kraja projiciranog razdoblja biti na razini razvijenosti od oko 90 % prosjeka EU28.</w:t>
      </w:r>
    </w:p>
    <w:p w14:paraId="31BE340A" w14:textId="1852AF17" w:rsidR="003204EE" w:rsidRPr="00462AD9" w:rsidRDefault="00214B02" w:rsidP="00223709">
      <w:pPr>
        <w:pStyle w:val="Caption"/>
        <w:keepNext/>
      </w:pPr>
      <w:bookmarkStart w:id="434" w:name="_Toc528673079"/>
      <w:bookmarkStart w:id="435" w:name="_Toc27396215"/>
      <w:r>
        <w:t xml:space="preserve">Tablica </w:t>
      </w:r>
      <w:r w:rsidR="00182C96">
        <w:rPr>
          <w:noProof/>
        </w:rPr>
        <w:fldChar w:fldCharType="begin"/>
      </w:r>
      <w:r w:rsidR="00182C96">
        <w:rPr>
          <w:noProof/>
        </w:rPr>
        <w:instrText xml:space="preserve"> STYLEREF 1 \s </w:instrText>
      </w:r>
      <w:r w:rsidR="00182C96">
        <w:rPr>
          <w:noProof/>
        </w:rPr>
        <w:fldChar w:fldCharType="separate"/>
      </w:r>
      <w:r w:rsidR="00154150">
        <w:rPr>
          <w:noProof/>
        </w:rPr>
        <w:t>4</w:t>
      </w:r>
      <w:r w:rsidR="00182C96">
        <w:rPr>
          <w:noProof/>
        </w:rPr>
        <w:fldChar w:fldCharType="end"/>
      </w:r>
      <w:r w:rsidR="00562DF0">
        <w:t>–</w:t>
      </w:r>
      <w:r w:rsidR="00182C96">
        <w:rPr>
          <w:noProof/>
        </w:rPr>
        <w:fldChar w:fldCharType="begin"/>
      </w:r>
      <w:r w:rsidR="00182C96">
        <w:rPr>
          <w:noProof/>
        </w:rPr>
        <w:instrText xml:space="preserve"> SEQ Tablica \* ARABIC \s 1 </w:instrText>
      </w:r>
      <w:r w:rsidR="00182C96">
        <w:rPr>
          <w:noProof/>
        </w:rPr>
        <w:fldChar w:fldCharType="separate"/>
      </w:r>
      <w:r w:rsidR="00154150">
        <w:rPr>
          <w:noProof/>
        </w:rPr>
        <w:t>1</w:t>
      </w:r>
      <w:r w:rsidR="00182C96">
        <w:rPr>
          <w:noProof/>
        </w:rPr>
        <w:fldChar w:fldCharType="end"/>
      </w:r>
      <w:r>
        <w:t>.:</w:t>
      </w:r>
      <w:r w:rsidR="00A87274">
        <w:t xml:space="preserve"> </w:t>
      </w:r>
      <w:r w:rsidR="003204EE" w:rsidRPr="00462AD9">
        <w:t xml:space="preserve">Projekcije ekonomskih parametara </w:t>
      </w:r>
      <w:r w:rsidR="00C01D66">
        <w:t>na temelju</w:t>
      </w:r>
      <w:r w:rsidR="00C01D66" w:rsidRPr="00462AD9">
        <w:t xml:space="preserve"> </w:t>
      </w:r>
      <w:r w:rsidR="003204EE" w:rsidRPr="00462AD9">
        <w:t>srednjih demografskih projekcija</w:t>
      </w:r>
      <w:bookmarkEnd w:id="434"/>
      <w:bookmarkEnd w:id="435"/>
    </w:p>
    <w:tbl>
      <w:tblPr>
        <w:tblW w:w="8768" w:type="dxa"/>
        <w:jc w:val="center"/>
        <w:tblCellMar>
          <w:left w:w="57" w:type="dxa"/>
          <w:right w:w="57" w:type="dxa"/>
        </w:tblCellMar>
        <w:tblLook w:val="04A0" w:firstRow="1" w:lastRow="0" w:firstColumn="1" w:lastColumn="0" w:noHBand="0" w:noVBand="1"/>
      </w:tblPr>
      <w:tblGrid>
        <w:gridCol w:w="3615"/>
        <w:gridCol w:w="1110"/>
        <w:gridCol w:w="1035"/>
        <w:gridCol w:w="1095"/>
        <w:gridCol w:w="975"/>
        <w:gridCol w:w="938"/>
      </w:tblGrid>
      <w:tr w:rsidR="003204EE" w:rsidRPr="00462AD9" w14:paraId="6FD26289" w14:textId="77777777" w:rsidTr="00725326">
        <w:trPr>
          <w:trHeight w:val="285"/>
          <w:tblHeader/>
          <w:jc w:val="center"/>
        </w:trPr>
        <w:tc>
          <w:tcPr>
            <w:tcW w:w="3615" w:type="dxa"/>
            <w:tcBorders>
              <w:top w:val="single" w:sz="12" w:space="0" w:color="auto"/>
              <w:left w:val="single" w:sz="12" w:space="0" w:color="auto"/>
              <w:bottom w:val="single" w:sz="8" w:space="0" w:color="auto"/>
              <w:right w:val="single" w:sz="8" w:space="0" w:color="auto"/>
            </w:tcBorders>
            <w:shd w:val="clear" w:color="auto" w:fill="DEEAF6" w:themeFill="accent1" w:themeFillTint="33"/>
            <w:noWrap/>
            <w:hideMark/>
          </w:tcPr>
          <w:p w14:paraId="68DF2305" w14:textId="77777777" w:rsidR="003204EE" w:rsidRPr="00462AD9" w:rsidRDefault="003204EE" w:rsidP="003204EE">
            <w:pPr>
              <w:keepNext/>
              <w:spacing w:before="0" w:after="0"/>
              <w:rPr>
                <w:rFonts w:cs="Arial"/>
                <w:b/>
                <w:sz w:val="20"/>
                <w:szCs w:val="20"/>
              </w:rPr>
            </w:pPr>
          </w:p>
        </w:tc>
        <w:tc>
          <w:tcPr>
            <w:tcW w:w="1110" w:type="dxa"/>
            <w:tcBorders>
              <w:top w:val="single" w:sz="12" w:space="0" w:color="auto"/>
              <w:left w:val="nil"/>
              <w:bottom w:val="single" w:sz="8" w:space="0" w:color="auto"/>
              <w:right w:val="single" w:sz="8" w:space="0" w:color="auto"/>
            </w:tcBorders>
            <w:shd w:val="clear" w:color="auto" w:fill="DEEAF6" w:themeFill="accent1" w:themeFillTint="33"/>
            <w:noWrap/>
            <w:vAlign w:val="center"/>
            <w:hideMark/>
          </w:tcPr>
          <w:p w14:paraId="534F6A48"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2016.</w:t>
            </w:r>
          </w:p>
        </w:tc>
        <w:tc>
          <w:tcPr>
            <w:tcW w:w="1035" w:type="dxa"/>
            <w:tcBorders>
              <w:top w:val="single" w:sz="12" w:space="0" w:color="auto"/>
              <w:left w:val="nil"/>
              <w:bottom w:val="single" w:sz="8" w:space="0" w:color="auto"/>
              <w:right w:val="single" w:sz="8" w:space="0" w:color="auto"/>
            </w:tcBorders>
            <w:shd w:val="clear" w:color="auto" w:fill="DEEAF6" w:themeFill="accent1" w:themeFillTint="33"/>
            <w:noWrap/>
            <w:vAlign w:val="center"/>
            <w:hideMark/>
          </w:tcPr>
          <w:p w14:paraId="28AD227A"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2020.</w:t>
            </w:r>
          </w:p>
        </w:tc>
        <w:tc>
          <w:tcPr>
            <w:tcW w:w="1095" w:type="dxa"/>
            <w:tcBorders>
              <w:top w:val="single" w:sz="12" w:space="0" w:color="auto"/>
              <w:left w:val="nil"/>
              <w:bottom w:val="single" w:sz="8" w:space="0" w:color="auto"/>
              <w:right w:val="single" w:sz="8" w:space="0" w:color="auto"/>
            </w:tcBorders>
            <w:shd w:val="clear" w:color="auto" w:fill="DEEAF6" w:themeFill="accent1" w:themeFillTint="33"/>
            <w:noWrap/>
            <w:vAlign w:val="center"/>
            <w:hideMark/>
          </w:tcPr>
          <w:p w14:paraId="15105F64"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2030.</w:t>
            </w:r>
          </w:p>
        </w:tc>
        <w:tc>
          <w:tcPr>
            <w:tcW w:w="975" w:type="dxa"/>
            <w:tcBorders>
              <w:top w:val="single" w:sz="12" w:space="0" w:color="auto"/>
              <w:left w:val="nil"/>
              <w:bottom w:val="single" w:sz="8" w:space="0" w:color="auto"/>
              <w:right w:val="single" w:sz="8" w:space="0" w:color="auto"/>
            </w:tcBorders>
            <w:shd w:val="clear" w:color="auto" w:fill="DEEAF6" w:themeFill="accent1" w:themeFillTint="33"/>
            <w:noWrap/>
            <w:vAlign w:val="center"/>
            <w:hideMark/>
          </w:tcPr>
          <w:p w14:paraId="3028343B"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2040.</w:t>
            </w:r>
          </w:p>
        </w:tc>
        <w:tc>
          <w:tcPr>
            <w:tcW w:w="938" w:type="dxa"/>
            <w:tcBorders>
              <w:top w:val="single" w:sz="12" w:space="0" w:color="auto"/>
              <w:left w:val="nil"/>
              <w:bottom w:val="single" w:sz="8" w:space="0" w:color="auto"/>
              <w:right w:val="single" w:sz="12" w:space="0" w:color="auto"/>
            </w:tcBorders>
            <w:shd w:val="clear" w:color="auto" w:fill="DEEAF6" w:themeFill="accent1" w:themeFillTint="33"/>
            <w:noWrap/>
            <w:vAlign w:val="center"/>
            <w:hideMark/>
          </w:tcPr>
          <w:p w14:paraId="1168780E"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2050.</w:t>
            </w:r>
          </w:p>
        </w:tc>
      </w:tr>
      <w:tr w:rsidR="003204EE" w:rsidRPr="00462AD9" w14:paraId="2D801CE3"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751B1D79" w14:textId="77777777" w:rsidR="003204EE" w:rsidRPr="00462AD9" w:rsidRDefault="003204EE" w:rsidP="003204EE">
            <w:pPr>
              <w:keepNext/>
              <w:spacing w:before="0" w:after="0"/>
              <w:rPr>
                <w:rFonts w:cs="Arial"/>
                <w:sz w:val="20"/>
                <w:szCs w:val="20"/>
              </w:rPr>
            </w:pPr>
          </w:p>
        </w:tc>
        <w:tc>
          <w:tcPr>
            <w:tcW w:w="5153" w:type="dxa"/>
            <w:gridSpan w:val="5"/>
            <w:tcBorders>
              <w:top w:val="single" w:sz="8" w:space="0" w:color="auto"/>
              <w:left w:val="nil"/>
              <w:bottom w:val="single" w:sz="8" w:space="0" w:color="auto"/>
              <w:right w:val="single" w:sz="12" w:space="0" w:color="000000" w:themeColor="text1"/>
            </w:tcBorders>
            <w:shd w:val="clear" w:color="auto" w:fill="auto"/>
            <w:noWrap/>
            <w:vAlign w:val="center"/>
            <w:hideMark/>
          </w:tcPr>
          <w:p w14:paraId="2C46A6F7"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Bazna produktivnost</w:t>
            </w:r>
          </w:p>
        </w:tc>
      </w:tr>
      <w:tr w:rsidR="003204EE" w:rsidRPr="00462AD9" w14:paraId="55E5697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26E0EB10" w14:textId="2891A37F" w:rsidR="003204EE" w:rsidRPr="00462AD9" w:rsidRDefault="003204EE" w:rsidP="002705D1">
            <w:pPr>
              <w:keepNext/>
              <w:spacing w:before="0" w:after="0"/>
              <w:jc w:val="left"/>
              <w:rPr>
                <w:rFonts w:cs="Arial"/>
                <w:sz w:val="20"/>
                <w:szCs w:val="20"/>
              </w:rPr>
            </w:pPr>
            <w:r w:rsidRPr="00462AD9">
              <w:rPr>
                <w:rFonts w:cs="Arial"/>
                <w:sz w:val="20"/>
                <w:szCs w:val="20"/>
              </w:rPr>
              <w:t>BDP, stalne cijene 2010., milij</w:t>
            </w:r>
            <w:r w:rsidR="002705D1">
              <w:rPr>
                <w:rFonts w:cs="Arial"/>
                <w:sz w:val="20"/>
                <w:szCs w:val="20"/>
              </w:rPr>
              <w:t>arde</w:t>
            </w:r>
            <w:r w:rsidRPr="00462AD9">
              <w:rPr>
                <w:rFonts w:cs="Arial"/>
                <w:sz w:val="20"/>
                <w:szCs w:val="20"/>
              </w:rPr>
              <w:t xml:space="preserve"> </w:t>
            </w:r>
            <w:r w:rsidR="00DE7226">
              <w:rPr>
                <w:rFonts w:cs="Arial"/>
                <w:sz w:val="20"/>
                <w:szCs w:val="20"/>
              </w:rPr>
              <w:t>kn</w:t>
            </w:r>
          </w:p>
        </w:tc>
        <w:tc>
          <w:tcPr>
            <w:tcW w:w="1110" w:type="dxa"/>
            <w:tcBorders>
              <w:top w:val="nil"/>
              <w:left w:val="nil"/>
              <w:bottom w:val="single" w:sz="8" w:space="0" w:color="auto"/>
              <w:right w:val="single" w:sz="8" w:space="0" w:color="auto"/>
            </w:tcBorders>
            <w:shd w:val="clear" w:color="auto" w:fill="auto"/>
            <w:noWrap/>
            <w:vAlign w:val="center"/>
            <w:hideMark/>
          </w:tcPr>
          <w:p w14:paraId="1DA679F0" w14:textId="77777777" w:rsidR="003204EE" w:rsidRPr="00462AD9" w:rsidRDefault="003204EE" w:rsidP="003204EE">
            <w:pPr>
              <w:keepNext/>
              <w:spacing w:before="0" w:after="0"/>
              <w:jc w:val="center"/>
              <w:rPr>
                <w:rFonts w:cs="Arial"/>
                <w:sz w:val="20"/>
                <w:szCs w:val="20"/>
              </w:rPr>
            </w:pPr>
            <w:r w:rsidRPr="00462AD9">
              <w:rPr>
                <w:rFonts w:cs="Arial"/>
                <w:sz w:val="20"/>
                <w:szCs w:val="20"/>
              </w:rPr>
              <w:t>335,902</w:t>
            </w:r>
          </w:p>
        </w:tc>
        <w:tc>
          <w:tcPr>
            <w:tcW w:w="1035" w:type="dxa"/>
            <w:tcBorders>
              <w:top w:val="nil"/>
              <w:left w:val="nil"/>
              <w:bottom w:val="single" w:sz="8" w:space="0" w:color="auto"/>
              <w:right w:val="single" w:sz="8" w:space="0" w:color="auto"/>
            </w:tcBorders>
            <w:shd w:val="clear" w:color="auto" w:fill="auto"/>
            <w:noWrap/>
            <w:vAlign w:val="center"/>
            <w:hideMark/>
          </w:tcPr>
          <w:p w14:paraId="16A0BDB6" w14:textId="77777777" w:rsidR="003204EE" w:rsidRPr="00462AD9" w:rsidRDefault="003204EE" w:rsidP="003204EE">
            <w:pPr>
              <w:keepNext/>
              <w:spacing w:before="0" w:after="0"/>
              <w:jc w:val="center"/>
              <w:rPr>
                <w:rFonts w:cs="Arial"/>
                <w:sz w:val="20"/>
                <w:szCs w:val="20"/>
              </w:rPr>
            </w:pPr>
            <w:r w:rsidRPr="00462AD9">
              <w:rPr>
                <w:rFonts w:cs="Arial"/>
                <w:sz w:val="20"/>
                <w:szCs w:val="20"/>
              </w:rPr>
              <w:t>373,595</w:t>
            </w:r>
          </w:p>
        </w:tc>
        <w:tc>
          <w:tcPr>
            <w:tcW w:w="1095" w:type="dxa"/>
            <w:tcBorders>
              <w:top w:val="nil"/>
              <w:left w:val="nil"/>
              <w:bottom w:val="single" w:sz="8" w:space="0" w:color="auto"/>
              <w:right w:val="single" w:sz="8" w:space="0" w:color="auto"/>
            </w:tcBorders>
            <w:shd w:val="clear" w:color="auto" w:fill="auto"/>
            <w:noWrap/>
            <w:vAlign w:val="center"/>
            <w:hideMark/>
          </w:tcPr>
          <w:p w14:paraId="2F9ABA92" w14:textId="77777777" w:rsidR="003204EE" w:rsidRPr="00462AD9" w:rsidRDefault="003204EE" w:rsidP="003204EE">
            <w:pPr>
              <w:keepNext/>
              <w:spacing w:before="0" w:after="0"/>
              <w:jc w:val="center"/>
              <w:rPr>
                <w:rFonts w:cs="Arial"/>
                <w:sz w:val="20"/>
                <w:szCs w:val="20"/>
              </w:rPr>
            </w:pPr>
            <w:r w:rsidRPr="00462AD9">
              <w:rPr>
                <w:rFonts w:cs="Arial"/>
                <w:sz w:val="20"/>
                <w:szCs w:val="20"/>
              </w:rPr>
              <w:t>408,987</w:t>
            </w:r>
          </w:p>
        </w:tc>
        <w:tc>
          <w:tcPr>
            <w:tcW w:w="975" w:type="dxa"/>
            <w:tcBorders>
              <w:top w:val="nil"/>
              <w:left w:val="nil"/>
              <w:bottom w:val="single" w:sz="8" w:space="0" w:color="auto"/>
              <w:right w:val="single" w:sz="8" w:space="0" w:color="auto"/>
            </w:tcBorders>
            <w:shd w:val="clear" w:color="auto" w:fill="auto"/>
            <w:noWrap/>
            <w:vAlign w:val="center"/>
            <w:hideMark/>
          </w:tcPr>
          <w:p w14:paraId="5DF44981" w14:textId="77777777" w:rsidR="003204EE" w:rsidRPr="00462AD9" w:rsidRDefault="003204EE" w:rsidP="003204EE">
            <w:pPr>
              <w:keepNext/>
              <w:spacing w:before="0" w:after="0"/>
              <w:jc w:val="center"/>
              <w:rPr>
                <w:rFonts w:cs="Arial"/>
                <w:sz w:val="20"/>
                <w:szCs w:val="20"/>
              </w:rPr>
            </w:pPr>
            <w:r w:rsidRPr="00462AD9">
              <w:rPr>
                <w:rFonts w:cs="Arial"/>
                <w:sz w:val="20"/>
                <w:szCs w:val="20"/>
              </w:rPr>
              <w:t>454,649</w:t>
            </w:r>
          </w:p>
        </w:tc>
        <w:tc>
          <w:tcPr>
            <w:tcW w:w="938" w:type="dxa"/>
            <w:tcBorders>
              <w:top w:val="nil"/>
              <w:left w:val="nil"/>
              <w:bottom w:val="single" w:sz="8" w:space="0" w:color="auto"/>
              <w:right w:val="single" w:sz="12" w:space="0" w:color="auto"/>
            </w:tcBorders>
            <w:shd w:val="clear" w:color="auto" w:fill="auto"/>
            <w:noWrap/>
            <w:vAlign w:val="center"/>
            <w:hideMark/>
          </w:tcPr>
          <w:p w14:paraId="7FB4CB3A" w14:textId="77777777" w:rsidR="003204EE" w:rsidRPr="00462AD9" w:rsidRDefault="003204EE" w:rsidP="003204EE">
            <w:pPr>
              <w:keepNext/>
              <w:spacing w:before="0" w:after="0"/>
              <w:jc w:val="center"/>
              <w:rPr>
                <w:rFonts w:cs="Arial"/>
                <w:sz w:val="20"/>
                <w:szCs w:val="20"/>
              </w:rPr>
            </w:pPr>
            <w:r w:rsidRPr="00462AD9">
              <w:rPr>
                <w:rFonts w:cs="Arial"/>
                <w:sz w:val="20"/>
                <w:szCs w:val="20"/>
              </w:rPr>
              <w:t>520,277</w:t>
            </w:r>
          </w:p>
        </w:tc>
      </w:tr>
      <w:tr w:rsidR="003204EE" w:rsidRPr="00462AD9" w14:paraId="5DD8650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5D0B6ADE" w14:textId="77777777" w:rsidR="003204EE" w:rsidRPr="00462AD9" w:rsidRDefault="003204EE" w:rsidP="003204EE">
            <w:pPr>
              <w:keepNext/>
              <w:spacing w:before="0" w:after="0"/>
              <w:jc w:val="left"/>
              <w:rPr>
                <w:rFonts w:cs="Arial"/>
                <w:sz w:val="20"/>
                <w:szCs w:val="20"/>
              </w:rPr>
            </w:pPr>
            <w:r w:rsidRPr="00462AD9">
              <w:rPr>
                <w:rFonts w:cs="Arial"/>
                <w:sz w:val="20"/>
                <w:szCs w:val="20"/>
              </w:rPr>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1A0FBDC9"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68F09A83" w14:textId="77777777" w:rsidR="003204EE" w:rsidRPr="00462AD9" w:rsidRDefault="003204EE" w:rsidP="003204EE">
            <w:pPr>
              <w:keepNext/>
              <w:spacing w:before="0" w:after="0"/>
              <w:jc w:val="center"/>
              <w:rPr>
                <w:rFonts w:cs="Arial"/>
                <w:sz w:val="20"/>
                <w:szCs w:val="20"/>
              </w:rPr>
            </w:pPr>
            <w:r w:rsidRPr="00462AD9">
              <w:rPr>
                <w:rFonts w:cs="Arial"/>
                <w:sz w:val="20"/>
                <w:szCs w:val="20"/>
              </w:rPr>
              <w:t>111,2</w:t>
            </w:r>
          </w:p>
        </w:tc>
        <w:tc>
          <w:tcPr>
            <w:tcW w:w="1095" w:type="dxa"/>
            <w:tcBorders>
              <w:top w:val="nil"/>
              <w:left w:val="nil"/>
              <w:bottom w:val="single" w:sz="8" w:space="0" w:color="auto"/>
              <w:right w:val="single" w:sz="8" w:space="0" w:color="auto"/>
            </w:tcBorders>
            <w:shd w:val="clear" w:color="auto" w:fill="auto"/>
            <w:noWrap/>
            <w:vAlign w:val="center"/>
            <w:hideMark/>
          </w:tcPr>
          <w:p w14:paraId="71649344" w14:textId="77777777" w:rsidR="003204EE" w:rsidRPr="00462AD9" w:rsidRDefault="003204EE" w:rsidP="003204EE">
            <w:pPr>
              <w:keepNext/>
              <w:spacing w:before="0" w:after="0"/>
              <w:jc w:val="center"/>
              <w:rPr>
                <w:rFonts w:cs="Arial"/>
                <w:sz w:val="20"/>
                <w:szCs w:val="20"/>
              </w:rPr>
            </w:pPr>
            <w:r w:rsidRPr="00462AD9">
              <w:rPr>
                <w:rFonts w:cs="Arial"/>
                <w:sz w:val="20"/>
                <w:szCs w:val="20"/>
              </w:rPr>
              <w:t>121,8</w:t>
            </w:r>
          </w:p>
        </w:tc>
        <w:tc>
          <w:tcPr>
            <w:tcW w:w="975" w:type="dxa"/>
            <w:tcBorders>
              <w:top w:val="nil"/>
              <w:left w:val="nil"/>
              <w:bottom w:val="single" w:sz="8" w:space="0" w:color="auto"/>
              <w:right w:val="single" w:sz="8" w:space="0" w:color="auto"/>
            </w:tcBorders>
            <w:shd w:val="clear" w:color="auto" w:fill="auto"/>
            <w:noWrap/>
            <w:vAlign w:val="center"/>
            <w:hideMark/>
          </w:tcPr>
          <w:p w14:paraId="3A728553" w14:textId="77777777" w:rsidR="003204EE" w:rsidRPr="00462AD9" w:rsidRDefault="003204EE" w:rsidP="003204EE">
            <w:pPr>
              <w:keepNext/>
              <w:spacing w:before="0" w:after="0"/>
              <w:jc w:val="center"/>
              <w:rPr>
                <w:rFonts w:cs="Arial"/>
                <w:sz w:val="20"/>
                <w:szCs w:val="20"/>
              </w:rPr>
            </w:pPr>
            <w:r w:rsidRPr="00462AD9">
              <w:rPr>
                <w:rFonts w:cs="Arial"/>
                <w:sz w:val="20"/>
                <w:szCs w:val="20"/>
              </w:rPr>
              <w:t>135,4</w:t>
            </w:r>
          </w:p>
        </w:tc>
        <w:tc>
          <w:tcPr>
            <w:tcW w:w="938" w:type="dxa"/>
            <w:tcBorders>
              <w:top w:val="nil"/>
              <w:left w:val="nil"/>
              <w:bottom w:val="single" w:sz="8" w:space="0" w:color="auto"/>
              <w:right w:val="single" w:sz="12" w:space="0" w:color="auto"/>
            </w:tcBorders>
            <w:shd w:val="clear" w:color="auto" w:fill="auto"/>
            <w:noWrap/>
            <w:vAlign w:val="center"/>
            <w:hideMark/>
          </w:tcPr>
          <w:p w14:paraId="5671911A" w14:textId="77777777" w:rsidR="003204EE" w:rsidRPr="00462AD9" w:rsidRDefault="003204EE" w:rsidP="003204EE">
            <w:pPr>
              <w:keepNext/>
              <w:spacing w:before="0" w:after="0"/>
              <w:jc w:val="center"/>
              <w:rPr>
                <w:rFonts w:cs="Arial"/>
                <w:sz w:val="20"/>
                <w:szCs w:val="20"/>
              </w:rPr>
            </w:pPr>
            <w:r w:rsidRPr="00462AD9">
              <w:rPr>
                <w:rFonts w:cs="Arial"/>
                <w:sz w:val="20"/>
                <w:szCs w:val="20"/>
              </w:rPr>
              <w:t>154,9</w:t>
            </w:r>
          </w:p>
        </w:tc>
      </w:tr>
      <w:tr w:rsidR="003204EE" w:rsidRPr="00462AD9" w14:paraId="3AAB10DB"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51A82ABC" w14:textId="280F3682" w:rsidR="003204EE" w:rsidRPr="00462AD9" w:rsidRDefault="003204EE" w:rsidP="003204EE">
            <w:pPr>
              <w:keepNext/>
              <w:spacing w:before="0" w:after="0"/>
              <w:jc w:val="left"/>
              <w:rPr>
                <w:rFonts w:cs="Arial"/>
                <w:sz w:val="20"/>
                <w:szCs w:val="20"/>
              </w:rPr>
            </w:pPr>
            <w:r w:rsidRPr="00462AD9">
              <w:rPr>
                <w:rFonts w:cs="Arial"/>
                <w:sz w:val="20"/>
                <w:szCs w:val="20"/>
              </w:rPr>
              <w:t xml:space="preserve">BDP per capita, stalne cijene 2010., tisuća </w:t>
            </w:r>
            <w:r w:rsidR="00DE7226">
              <w:rPr>
                <w:rFonts w:cs="Arial"/>
                <w:sz w:val="20"/>
                <w:szCs w:val="20"/>
              </w:rPr>
              <w:t>kn</w:t>
            </w:r>
          </w:p>
        </w:tc>
        <w:tc>
          <w:tcPr>
            <w:tcW w:w="1110" w:type="dxa"/>
            <w:tcBorders>
              <w:top w:val="nil"/>
              <w:left w:val="nil"/>
              <w:bottom w:val="single" w:sz="8" w:space="0" w:color="auto"/>
              <w:right w:val="single" w:sz="8" w:space="0" w:color="auto"/>
            </w:tcBorders>
            <w:shd w:val="clear" w:color="auto" w:fill="auto"/>
            <w:noWrap/>
            <w:vAlign w:val="center"/>
            <w:hideMark/>
          </w:tcPr>
          <w:p w14:paraId="3B7C57CC" w14:textId="77777777" w:rsidR="003204EE" w:rsidRPr="00462AD9" w:rsidRDefault="003204EE" w:rsidP="003204EE">
            <w:pPr>
              <w:keepNext/>
              <w:spacing w:before="0" w:after="0"/>
              <w:jc w:val="center"/>
              <w:rPr>
                <w:rFonts w:cs="Arial"/>
                <w:sz w:val="20"/>
                <w:szCs w:val="20"/>
              </w:rPr>
            </w:pPr>
            <w:r w:rsidRPr="00462AD9">
              <w:rPr>
                <w:rFonts w:cs="Arial"/>
                <w:sz w:val="20"/>
                <w:szCs w:val="20"/>
              </w:rPr>
              <w:t>82</w:t>
            </w:r>
          </w:p>
        </w:tc>
        <w:tc>
          <w:tcPr>
            <w:tcW w:w="1035" w:type="dxa"/>
            <w:tcBorders>
              <w:top w:val="nil"/>
              <w:left w:val="nil"/>
              <w:bottom w:val="single" w:sz="8" w:space="0" w:color="auto"/>
              <w:right w:val="single" w:sz="8" w:space="0" w:color="auto"/>
            </w:tcBorders>
            <w:shd w:val="clear" w:color="auto" w:fill="auto"/>
            <w:noWrap/>
            <w:vAlign w:val="center"/>
            <w:hideMark/>
          </w:tcPr>
          <w:p w14:paraId="2C40FD5C" w14:textId="77777777" w:rsidR="003204EE" w:rsidRPr="00462AD9" w:rsidRDefault="003204EE" w:rsidP="003204EE">
            <w:pPr>
              <w:keepNext/>
              <w:spacing w:before="0" w:after="0"/>
              <w:jc w:val="center"/>
              <w:rPr>
                <w:rFonts w:cs="Arial"/>
                <w:sz w:val="20"/>
                <w:szCs w:val="20"/>
              </w:rPr>
            </w:pPr>
            <w:r w:rsidRPr="00462AD9">
              <w:rPr>
                <w:rFonts w:cs="Arial"/>
                <w:sz w:val="20"/>
                <w:szCs w:val="20"/>
              </w:rPr>
              <w:t>94</w:t>
            </w:r>
          </w:p>
        </w:tc>
        <w:tc>
          <w:tcPr>
            <w:tcW w:w="1095" w:type="dxa"/>
            <w:tcBorders>
              <w:top w:val="nil"/>
              <w:left w:val="nil"/>
              <w:bottom w:val="single" w:sz="8" w:space="0" w:color="auto"/>
              <w:right w:val="single" w:sz="8" w:space="0" w:color="auto"/>
            </w:tcBorders>
            <w:shd w:val="clear" w:color="auto" w:fill="auto"/>
            <w:noWrap/>
            <w:vAlign w:val="center"/>
            <w:hideMark/>
          </w:tcPr>
          <w:p w14:paraId="54447A81" w14:textId="77777777" w:rsidR="003204EE" w:rsidRPr="00462AD9" w:rsidRDefault="003204EE" w:rsidP="003204EE">
            <w:pPr>
              <w:keepNext/>
              <w:spacing w:before="0" w:after="0"/>
              <w:jc w:val="center"/>
              <w:rPr>
                <w:rFonts w:cs="Arial"/>
                <w:sz w:val="20"/>
                <w:szCs w:val="20"/>
              </w:rPr>
            </w:pPr>
            <w:r w:rsidRPr="00462AD9">
              <w:rPr>
                <w:rFonts w:cs="Arial"/>
                <w:sz w:val="20"/>
                <w:szCs w:val="20"/>
              </w:rPr>
              <w:t>109</w:t>
            </w:r>
          </w:p>
        </w:tc>
        <w:tc>
          <w:tcPr>
            <w:tcW w:w="975" w:type="dxa"/>
            <w:tcBorders>
              <w:top w:val="nil"/>
              <w:left w:val="nil"/>
              <w:bottom w:val="single" w:sz="8" w:space="0" w:color="auto"/>
              <w:right w:val="single" w:sz="8" w:space="0" w:color="auto"/>
            </w:tcBorders>
            <w:shd w:val="clear" w:color="auto" w:fill="auto"/>
            <w:noWrap/>
            <w:vAlign w:val="center"/>
            <w:hideMark/>
          </w:tcPr>
          <w:p w14:paraId="621C76A9" w14:textId="77777777" w:rsidR="003204EE" w:rsidRPr="00462AD9" w:rsidRDefault="003204EE" w:rsidP="003204EE">
            <w:pPr>
              <w:keepNext/>
              <w:spacing w:before="0" w:after="0"/>
              <w:jc w:val="center"/>
              <w:rPr>
                <w:rFonts w:cs="Arial"/>
                <w:sz w:val="20"/>
                <w:szCs w:val="20"/>
              </w:rPr>
            </w:pPr>
            <w:r w:rsidRPr="00462AD9">
              <w:rPr>
                <w:rFonts w:cs="Arial"/>
                <w:sz w:val="20"/>
                <w:szCs w:val="20"/>
              </w:rPr>
              <w:t>129</w:t>
            </w:r>
          </w:p>
        </w:tc>
        <w:tc>
          <w:tcPr>
            <w:tcW w:w="938" w:type="dxa"/>
            <w:tcBorders>
              <w:top w:val="nil"/>
              <w:left w:val="nil"/>
              <w:bottom w:val="single" w:sz="8" w:space="0" w:color="auto"/>
              <w:right w:val="single" w:sz="12" w:space="0" w:color="auto"/>
            </w:tcBorders>
            <w:shd w:val="clear" w:color="auto" w:fill="auto"/>
            <w:noWrap/>
            <w:vAlign w:val="center"/>
            <w:hideMark/>
          </w:tcPr>
          <w:p w14:paraId="79011C64" w14:textId="77777777" w:rsidR="003204EE" w:rsidRPr="00462AD9" w:rsidRDefault="003204EE" w:rsidP="003204EE">
            <w:pPr>
              <w:keepNext/>
              <w:spacing w:before="0" w:after="0"/>
              <w:jc w:val="center"/>
              <w:rPr>
                <w:rFonts w:cs="Arial"/>
                <w:sz w:val="20"/>
                <w:szCs w:val="20"/>
              </w:rPr>
            </w:pPr>
            <w:r w:rsidRPr="00462AD9">
              <w:rPr>
                <w:rFonts w:cs="Arial"/>
                <w:sz w:val="20"/>
                <w:szCs w:val="20"/>
              </w:rPr>
              <w:t>158</w:t>
            </w:r>
          </w:p>
        </w:tc>
      </w:tr>
      <w:tr w:rsidR="003204EE" w:rsidRPr="00462AD9" w14:paraId="5B37C50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4FB26405" w14:textId="77777777" w:rsidR="003204EE" w:rsidRPr="00462AD9" w:rsidRDefault="003204EE" w:rsidP="003204EE">
            <w:pPr>
              <w:keepNext/>
              <w:spacing w:before="0" w:after="0"/>
              <w:jc w:val="left"/>
              <w:rPr>
                <w:rFonts w:cs="Arial"/>
                <w:sz w:val="20"/>
                <w:szCs w:val="20"/>
              </w:rPr>
            </w:pPr>
            <w:r w:rsidRPr="00462AD9">
              <w:rPr>
                <w:rFonts w:cs="Arial"/>
                <w:sz w:val="20"/>
                <w:szCs w:val="20"/>
              </w:rPr>
              <w:t>BDP per capita,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09B3F214"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575AB012" w14:textId="77777777" w:rsidR="003204EE" w:rsidRPr="00462AD9" w:rsidRDefault="003204EE" w:rsidP="003204EE">
            <w:pPr>
              <w:keepNext/>
              <w:spacing w:before="0" w:after="0"/>
              <w:jc w:val="center"/>
              <w:rPr>
                <w:rFonts w:cs="Arial"/>
                <w:sz w:val="20"/>
                <w:szCs w:val="20"/>
              </w:rPr>
            </w:pPr>
            <w:r w:rsidRPr="00462AD9">
              <w:rPr>
                <w:rFonts w:cs="Arial"/>
                <w:sz w:val="20"/>
                <w:szCs w:val="20"/>
              </w:rPr>
              <w:t>114,4</w:t>
            </w:r>
          </w:p>
        </w:tc>
        <w:tc>
          <w:tcPr>
            <w:tcW w:w="1095" w:type="dxa"/>
            <w:tcBorders>
              <w:top w:val="nil"/>
              <w:left w:val="nil"/>
              <w:bottom w:val="single" w:sz="8" w:space="0" w:color="auto"/>
              <w:right w:val="single" w:sz="8" w:space="0" w:color="auto"/>
            </w:tcBorders>
            <w:shd w:val="clear" w:color="auto" w:fill="auto"/>
            <w:noWrap/>
            <w:vAlign w:val="center"/>
            <w:hideMark/>
          </w:tcPr>
          <w:p w14:paraId="4D219554" w14:textId="77777777" w:rsidR="003204EE" w:rsidRPr="00462AD9" w:rsidRDefault="003204EE" w:rsidP="003204EE">
            <w:pPr>
              <w:keepNext/>
              <w:spacing w:before="0" w:after="0"/>
              <w:jc w:val="center"/>
              <w:rPr>
                <w:rFonts w:cs="Arial"/>
                <w:sz w:val="20"/>
                <w:szCs w:val="20"/>
              </w:rPr>
            </w:pPr>
            <w:r w:rsidRPr="00462AD9">
              <w:rPr>
                <w:rFonts w:cs="Arial"/>
                <w:sz w:val="20"/>
                <w:szCs w:val="20"/>
              </w:rPr>
              <w:t>132,9</w:t>
            </w:r>
          </w:p>
        </w:tc>
        <w:tc>
          <w:tcPr>
            <w:tcW w:w="975" w:type="dxa"/>
            <w:tcBorders>
              <w:top w:val="nil"/>
              <w:left w:val="nil"/>
              <w:bottom w:val="single" w:sz="8" w:space="0" w:color="auto"/>
              <w:right w:val="single" w:sz="8" w:space="0" w:color="auto"/>
            </w:tcBorders>
            <w:shd w:val="clear" w:color="auto" w:fill="auto"/>
            <w:noWrap/>
            <w:vAlign w:val="center"/>
            <w:hideMark/>
          </w:tcPr>
          <w:p w14:paraId="1C6A9BD9" w14:textId="77777777" w:rsidR="003204EE" w:rsidRPr="00462AD9" w:rsidRDefault="003204EE" w:rsidP="003204EE">
            <w:pPr>
              <w:keepNext/>
              <w:spacing w:before="0" w:after="0"/>
              <w:jc w:val="center"/>
              <w:rPr>
                <w:rFonts w:cs="Arial"/>
                <w:sz w:val="20"/>
                <w:szCs w:val="20"/>
              </w:rPr>
            </w:pPr>
            <w:r w:rsidRPr="00462AD9">
              <w:rPr>
                <w:rFonts w:cs="Arial"/>
                <w:sz w:val="20"/>
                <w:szCs w:val="20"/>
              </w:rPr>
              <w:t>157,1</w:t>
            </w:r>
          </w:p>
        </w:tc>
        <w:tc>
          <w:tcPr>
            <w:tcW w:w="938" w:type="dxa"/>
            <w:tcBorders>
              <w:top w:val="nil"/>
              <w:left w:val="nil"/>
              <w:bottom w:val="single" w:sz="8" w:space="0" w:color="auto"/>
              <w:right w:val="single" w:sz="12" w:space="0" w:color="auto"/>
            </w:tcBorders>
            <w:shd w:val="clear" w:color="auto" w:fill="auto"/>
            <w:noWrap/>
            <w:vAlign w:val="center"/>
            <w:hideMark/>
          </w:tcPr>
          <w:p w14:paraId="40E98FA0" w14:textId="77777777" w:rsidR="003204EE" w:rsidRPr="00462AD9" w:rsidRDefault="003204EE" w:rsidP="003204EE">
            <w:pPr>
              <w:keepNext/>
              <w:spacing w:before="0" w:after="0"/>
              <w:jc w:val="center"/>
              <w:rPr>
                <w:rFonts w:cs="Arial"/>
                <w:sz w:val="20"/>
                <w:szCs w:val="20"/>
              </w:rPr>
            </w:pPr>
            <w:r w:rsidRPr="00462AD9">
              <w:rPr>
                <w:rFonts w:cs="Arial"/>
                <w:sz w:val="20"/>
                <w:szCs w:val="20"/>
              </w:rPr>
              <w:t>192,7</w:t>
            </w:r>
          </w:p>
        </w:tc>
      </w:tr>
      <w:tr w:rsidR="003204EE" w:rsidRPr="00462AD9" w14:paraId="6518928E"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058E06C5" w14:textId="77777777" w:rsidR="003204EE" w:rsidRPr="00462AD9" w:rsidRDefault="003204EE" w:rsidP="003204EE">
            <w:pPr>
              <w:keepNext/>
              <w:spacing w:before="0" w:after="0"/>
              <w:jc w:val="left"/>
              <w:rPr>
                <w:rFonts w:cs="Arial"/>
                <w:sz w:val="20"/>
                <w:szCs w:val="20"/>
              </w:rPr>
            </w:pPr>
            <w:r w:rsidRPr="00462AD9">
              <w:rPr>
                <w:rFonts w:cs="Arial"/>
                <w:sz w:val="20"/>
                <w:szCs w:val="20"/>
              </w:rPr>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34A65EA7" w14:textId="77777777" w:rsidR="003204EE" w:rsidRPr="00462AD9" w:rsidRDefault="003204EE" w:rsidP="003204EE">
            <w:pPr>
              <w:keepNext/>
              <w:spacing w:before="0" w:after="0"/>
              <w:jc w:val="center"/>
              <w:rPr>
                <w:rFonts w:cs="Arial"/>
                <w:sz w:val="20"/>
                <w:szCs w:val="20"/>
              </w:rPr>
            </w:pPr>
            <w:r w:rsidRPr="00462AD9">
              <w:rPr>
                <w:rFonts w:cs="Arial"/>
                <w:sz w:val="20"/>
                <w:szCs w:val="20"/>
              </w:rPr>
              <w:t>4,099</w:t>
            </w:r>
          </w:p>
        </w:tc>
        <w:tc>
          <w:tcPr>
            <w:tcW w:w="1035" w:type="dxa"/>
            <w:tcBorders>
              <w:top w:val="nil"/>
              <w:left w:val="nil"/>
              <w:bottom w:val="single" w:sz="8" w:space="0" w:color="auto"/>
              <w:right w:val="single" w:sz="8" w:space="0" w:color="auto"/>
            </w:tcBorders>
            <w:shd w:val="clear" w:color="auto" w:fill="auto"/>
            <w:noWrap/>
            <w:vAlign w:val="center"/>
            <w:hideMark/>
          </w:tcPr>
          <w:p w14:paraId="6D89F126" w14:textId="77777777" w:rsidR="003204EE" w:rsidRPr="00462AD9" w:rsidRDefault="003204EE" w:rsidP="003204EE">
            <w:pPr>
              <w:keepNext/>
              <w:spacing w:before="0" w:after="0"/>
              <w:jc w:val="center"/>
              <w:rPr>
                <w:rFonts w:cs="Arial"/>
                <w:sz w:val="20"/>
                <w:szCs w:val="20"/>
              </w:rPr>
            </w:pPr>
            <w:r w:rsidRPr="00462AD9">
              <w:rPr>
                <w:rFonts w:cs="Arial"/>
                <w:sz w:val="20"/>
                <w:szCs w:val="20"/>
              </w:rPr>
              <w:t>3,984</w:t>
            </w:r>
          </w:p>
        </w:tc>
        <w:tc>
          <w:tcPr>
            <w:tcW w:w="1095" w:type="dxa"/>
            <w:tcBorders>
              <w:top w:val="nil"/>
              <w:left w:val="nil"/>
              <w:bottom w:val="single" w:sz="8" w:space="0" w:color="auto"/>
              <w:right w:val="single" w:sz="8" w:space="0" w:color="auto"/>
            </w:tcBorders>
            <w:shd w:val="clear" w:color="auto" w:fill="auto"/>
            <w:noWrap/>
            <w:vAlign w:val="center"/>
            <w:hideMark/>
          </w:tcPr>
          <w:p w14:paraId="5FF53FC1" w14:textId="77777777" w:rsidR="003204EE" w:rsidRPr="00462AD9" w:rsidRDefault="003204EE" w:rsidP="003204EE">
            <w:pPr>
              <w:keepNext/>
              <w:spacing w:before="0" w:after="0"/>
              <w:jc w:val="center"/>
              <w:rPr>
                <w:rFonts w:cs="Arial"/>
                <w:sz w:val="20"/>
                <w:szCs w:val="20"/>
              </w:rPr>
            </w:pPr>
            <w:r w:rsidRPr="00462AD9">
              <w:rPr>
                <w:rFonts w:cs="Arial"/>
                <w:sz w:val="20"/>
                <w:szCs w:val="20"/>
              </w:rPr>
              <w:t>3,755</w:t>
            </w:r>
          </w:p>
        </w:tc>
        <w:tc>
          <w:tcPr>
            <w:tcW w:w="975" w:type="dxa"/>
            <w:tcBorders>
              <w:top w:val="nil"/>
              <w:left w:val="nil"/>
              <w:bottom w:val="single" w:sz="8" w:space="0" w:color="auto"/>
              <w:right w:val="single" w:sz="8" w:space="0" w:color="auto"/>
            </w:tcBorders>
            <w:shd w:val="clear" w:color="auto" w:fill="auto"/>
            <w:noWrap/>
            <w:vAlign w:val="center"/>
            <w:hideMark/>
          </w:tcPr>
          <w:p w14:paraId="5E9BC02E" w14:textId="77777777" w:rsidR="003204EE" w:rsidRPr="00462AD9" w:rsidRDefault="003204EE" w:rsidP="003204EE">
            <w:pPr>
              <w:keepNext/>
              <w:spacing w:before="0" w:after="0"/>
              <w:jc w:val="center"/>
              <w:rPr>
                <w:rFonts w:cs="Arial"/>
                <w:sz w:val="20"/>
                <w:szCs w:val="20"/>
              </w:rPr>
            </w:pPr>
            <w:r w:rsidRPr="00462AD9">
              <w:rPr>
                <w:rFonts w:cs="Arial"/>
                <w:sz w:val="20"/>
                <w:szCs w:val="20"/>
              </w:rPr>
              <w:t>3,532</w:t>
            </w:r>
          </w:p>
        </w:tc>
        <w:tc>
          <w:tcPr>
            <w:tcW w:w="938" w:type="dxa"/>
            <w:tcBorders>
              <w:top w:val="nil"/>
              <w:left w:val="nil"/>
              <w:bottom w:val="single" w:sz="8" w:space="0" w:color="auto"/>
              <w:right w:val="single" w:sz="12" w:space="0" w:color="auto"/>
            </w:tcBorders>
            <w:shd w:val="clear" w:color="auto" w:fill="auto"/>
            <w:noWrap/>
            <w:vAlign w:val="center"/>
            <w:hideMark/>
          </w:tcPr>
          <w:p w14:paraId="18288239" w14:textId="77777777" w:rsidR="003204EE" w:rsidRPr="00462AD9" w:rsidRDefault="003204EE" w:rsidP="003204EE">
            <w:pPr>
              <w:keepNext/>
              <w:spacing w:before="0" w:after="0"/>
              <w:jc w:val="center"/>
              <w:rPr>
                <w:rFonts w:cs="Arial"/>
                <w:sz w:val="20"/>
                <w:szCs w:val="20"/>
              </w:rPr>
            </w:pPr>
            <w:r w:rsidRPr="00462AD9">
              <w:rPr>
                <w:rFonts w:cs="Arial"/>
                <w:sz w:val="20"/>
                <w:szCs w:val="20"/>
              </w:rPr>
              <w:t>3,295</w:t>
            </w:r>
          </w:p>
        </w:tc>
      </w:tr>
      <w:tr w:rsidR="003204EE" w:rsidRPr="00462AD9" w14:paraId="100376C5"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7ABB4738" w14:textId="77777777" w:rsidR="003204EE" w:rsidRPr="00462AD9" w:rsidRDefault="003204EE" w:rsidP="003204EE">
            <w:pPr>
              <w:keepNext/>
              <w:spacing w:before="0" w:after="0"/>
              <w:jc w:val="left"/>
              <w:rPr>
                <w:rFonts w:cs="Arial"/>
                <w:sz w:val="20"/>
                <w:szCs w:val="20"/>
              </w:rPr>
            </w:pPr>
            <w:r w:rsidRPr="00462AD9">
              <w:rPr>
                <w:rFonts w:cs="Arial"/>
                <w:sz w:val="20"/>
                <w:szCs w:val="20"/>
              </w:rPr>
              <w:t>Broj zaposlenih, konstantna aktivnost,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7DA83649" w14:textId="77777777" w:rsidR="003204EE" w:rsidRPr="00462AD9" w:rsidRDefault="003204EE" w:rsidP="003204EE">
            <w:pPr>
              <w:keepNext/>
              <w:spacing w:before="0" w:after="0"/>
              <w:jc w:val="center"/>
              <w:rPr>
                <w:rFonts w:cs="Arial"/>
                <w:sz w:val="20"/>
                <w:szCs w:val="20"/>
              </w:rPr>
            </w:pPr>
            <w:r w:rsidRPr="00462AD9">
              <w:rPr>
                <w:rFonts w:cs="Arial"/>
                <w:sz w:val="20"/>
                <w:szCs w:val="20"/>
              </w:rPr>
              <w:t>1,550</w:t>
            </w:r>
          </w:p>
        </w:tc>
        <w:tc>
          <w:tcPr>
            <w:tcW w:w="1035" w:type="dxa"/>
            <w:tcBorders>
              <w:top w:val="nil"/>
              <w:left w:val="nil"/>
              <w:bottom w:val="single" w:sz="8" w:space="0" w:color="auto"/>
              <w:right w:val="single" w:sz="8" w:space="0" w:color="auto"/>
            </w:tcBorders>
            <w:shd w:val="clear" w:color="auto" w:fill="auto"/>
            <w:noWrap/>
            <w:vAlign w:val="center"/>
            <w:hideMark/>
          </w:tcPr>
          <w:p w14:paraId="393793F8" w14:textId="77777777" w:rsidR="003204EE" w:rsidRPr="00462AD9" w:rsidRDefault="003204EE" w:rsidP="003204EE">
            <w:pPr>
              <w:keepNext/>
              <w:spacing w:before="0" w:after="0"/>
              <w:jc w:val="center"/>
              <w:rPr>
                <w:rFonts w:cs="Arial"/>
                <w:sz w:val="20"/>
                <w:szCs w:val="20"/>
              </w:rPr>
            </w:pPr>
            <w:r w:rsidRPr="00462AD9">
              <w:rPr>
                <w:rFonts w:cs="Arial"/>
                <w:sz w:val="20"/>
                <w:szCs w:val="20"/>
              </w:rPr>
              <w:t>1,559</w:t>
            </w:r>
          </w:p>
        </w:tc>
        <w:tc>
          <w:tcPr>
            <w:tcW w:w="1095" w:type="dxa"/>
            <w:tcBorders>
              <w:top w:val="nil"/>
              <w:left w:val="nil"/>
              <w:bottom w:val="single" w:sz="8" w:space="0" w:color="auto"/>
              <w:right w:val="single" w:sz="8" w:space="0" w:color="auto"/>
            </w:tcBorders>
            <w:shd w:val="clear" w:color="auto" w:fill="auto"/>
            <w:noWrap/>
            <w:vAlign w:val="center"/>
            <w:hideMark/>
          </w:tcPr>
          <w:p w14:paraId="243457E7" w14:textId="77777777" w:rsidR="003204EE" w:rsidRPr="00462AD9" w:rsidRDefault="003204EE" w:rsidP="003204EE">
            <w:pPr>
              <w:keepNext/>
              <w:spacing w:before="0" w:after="0"/>
              <w:jc w:val="center"/>
              <w:rPr>
                <w:rFonts w:cs="Arial"/>
                <w:sz w:val="20"/>
                <w:szCs w:val="20"/>
              </w:rPr>
            </w:pPr>
            <w:r w:rsidRPr="00462AD9">
              <w:rPr>
                <w:rFonts w:cs="Arial"/>
                <w:sz w:val="20"/>
                <w:szCs w:val="20"/>
              </w:rPr>
              <w:t>1,434</w:t>
            </w:r>
          </w:p>
        </w:tc>
        <w:tc>
          <w:tcPr>
            <w:tcW w:w="975" w:type="dxa"/>
            <w:tcBorders>
              <w:top w:val="nil"/>
              <w:left w:val="nil"/>
              <w:bottom w:val="single" w:sz="8" w:space="0" w:color="auto"/>
              <w:right w:val="single" w:sz="8" w:space="0" w:color="auto"/>
            </w:tcBorders>
            <w:shd w:val="clear" w:color="auto" w:fill="auto"/>
            <w:noWrap/>
            <w:vAlign w:val="center"/>
            <w:hideMark/>
          </w:tcPr>
          <w:p w14:paraId="071D0559" w14:textId="77777777" w:rsidR="003204EE" w:rsidRPr="00462AD9" w:rsidRDefault="003204EE" w:rsidP="003204EE">
            <w:pPr>
              <w:keepNext/>
              <w:spacing w:before="0" w:after="0"/>
              <w:jc w:val="center"/>
              <w:rPr>
                <w:rFonts w:cs="Arial"/>
                <w:sz w:val="20"/>
                <w:szCs w:val="20"/>
              </w:rPr>
            </w:pPr>
            <w:r w:rsidRPr="00462AD9">
              <w:rPr>
                <w:rFonts w:cs="Arial"/>
                <w:sz w:val="20"/>
                <w:szCs w:val="20"/>
              </w:rPr>
              <w:t>1,315</w:t>
            </w:r>
          </w:p>
        </w:tc>
        <w:tc>
          <w:tcPr>
            <w:tcW w:w="938" w:type="dxa"/>
            <w:tcBorders>
              <w:top w:val="nil"/>
              <w:left w:val="nil"/>
              <w:bottom w:val="single" w:sz="8" w:space="0" w:color="auto"/>
              <w:right w:val="single" w:sz="12" w:space="0" w:color="auto"/>
            </w:tcBorders>
            <w:shd w:val="clear" w:color="auto" w:fill="auto"/>
            <w:noWrap/>
            <w:vAlign w:val="center"/>
            <w:hideMark/>
          </w:tcPr>
          <w:p w14:paraId="7F62E54B" w14:textId="77777777" w:rsidR="003204EE" w:rsidRPr="00462AD9" w:rsidRDefault="003204EE" w:rsidP="003204EE">
            <w:pPr>
              <w:keepNext/>
              <w:spacing w:before="0" w:after="0"/>
              <w:jc w:val="center"/>
              <w:rPr>
                <w:rFonts w:cs="Arial"/>
                <w:sz w:val="20"/>
                <w:szCs w:val="20"/>
              </w:rPr>
            </w:pPr>
            <w:r w:rsidRPr="00462AD9">
              <w:rPr>
                <w:rFonts w:cs="Arial"/>
                <w:sz w:val="20"/>
                <w:szCs w:val="20"/>
              </w:rPr>
              <w:t>1,191</w:t>
            </w:r>
          </w:p>
        </w:tc>
      </w:tr>
      <w:tr w:rsidR="003204EE" w:rsidRPr="00462AD9" w14:paraId="0BF4D64A"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6FF0153E" w14:textId="77777777" w:rsidR="003204EE" w:rsidRPr="00462AD9" w:rsidRDefault="003204EE" w:rsidP="003204EE">
            <w:pPr>
              <w:keepNext/>
              <w:spacing w:before="0" w:after="0"/>
              <w:jc w:val="left"/>
              <w:rPr>
                <w:rFonts w:cs="Arial"/>
                <w:sz w:val="20"/>
                <w:szCs w:val="20"/>
              </w:rPr>
            </w:pPr>
          </w:p>
        </w:tc>
        <w:tc>
          <w:tcPr>
            <w:tcW w:w="5153" w:type="dxa"/>
            <w:gridSpan w:val="5"/>
            <w:tcBorders>
              <w:top w:val="single" w:sz="8" w:space="0" w:color="auto"/>
              <w:left w:val="nil"/>
              <w:bottom w:val="single" w:sz="8" w:space="0" w:color="auto"/>
              <w:right w:val="single" w:sz="12" w:space="0" w:color="000000" w:themeColor="text1"/>
            </w:tcBorders>
            <w:shd w:val="clear" w:color="auto" w:fill="auto"/>
            <w:noWrap/>
            <w:vAlign w:val="center"/>
            <w:hideMark/>
          </w:tcPr>
          <w:p w14:paraId="686BD5C5" w14:textId="77777777" w:rsidR="003204EE" w:rsidRPr="00462AD9" w:rsidRDefault="003204EE" w:rsidP="003204EE">
            <w:pPr>
              <w:keepNext/>
              <w:spacing w:before="0" w:after="0"/>
              <w:jc w:val="center"/>
              <w:rPr>
                <w:rFonts w:cs="Arial"/>
                <w:b/>
                <w:sz w:val="20"/>
                <w:szCs w:val="20"/>
              </w:rPr>
            </w:pPr>
            <w:r w:rsidRPr="00462AD9">
              <w:rPr>
                <w:rFonts w:cs="Arial"/>
                <w:b/>
                <w:bCs/>
                <w:sz w:val="20"/>
                <w:szCs w:val="20"/>
              </w:rPr>
              <w:t xml:space="preserve">Konvergencija produktivnosti </w:t>
            </w:r>
          </w:p>
        </w:tc>
      </w:tr>
      <w:tr w:rsidR="003204EE" w:rsidRPr="00462AD9" w14:paraId="57FFF7A4"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4ACD81B1" w14:textId="21CE3DE4" w:rsidR="003204EE" w:rsidRPr="00462AD9" w:rsidRDefault="003204EE" w:rsidP="002705D1">
            <w:pPr>
              <w:keepNext/>
              <w:spacing w:before="0" w:after="0"/>
              <w:jc w:val="left"/>
              <w:rPr>
                <w:rFonts w:cs="Arial"/>
                <w:sz w:val="20"/>
                <w:szCs w:val="20"/>
              </w:rPr>
            </w:pPr>
            <w:r w:rsidRPr="00462AD9">
              <w:rPr>
                <w:rFonts w:cs="Arial"/>
                <w:sz w:val="20"/>
                <w:szCs w:val="20"/>
              </w:rPr>
              <w:t>BDP, stalne cijene 2010, milij</w:t>
            </w:r>
            <w:r w:rsidR="002705D1">
              <w:rPr>
                <w:rFonts w:cs="Arial"/>
                <w:sz w:val="20"/>
                <w:szCs w:val="20"/>
              </w:rPr>
              <w:t>arde</w:t>
            </w:r>
            <w:r w:rsidRPr="00462AD9">
              <w:rPr>
                <w:rFonts w:cs="Arial"/>
                <w:sz w:val="20"/>
                <w:szCs w:val="20"/>
              </w:rPr>
              <w:t xml:space="preserve"> </w:t>
            </w:r>
            <w:r w:rsidR="00DE7226">
              <w:rPr>
                <w:rFonts w:cs="Arial"/>
                <w:sz w:val="20"/>
                <w:szCs w:val="20"/>
              </w:rPr>
              <w:t>kn</w:t>
            </w:r>
          </w:p>
        </w:tc>
        <w:tc>
          <w:tcPr>
            <w:tcW w:w="1110" w:type="dxa"/>
            <w:tcBorders>
              <w:top w:val="nil"/>
              <w:left w:val="nil"/>
              <w:bottom w:val="single" w:sz="8" w:space="0" w:color="auto"/>
              <w:right w:val="single" w:sz="8" w:space="0" w:color="auto"/>
            </w:tcBorders>
            <w:shd w:val="clear" w:color="auto" w:fill="auto"/>
            <w:noWrap/>
            <w:vAlign w:val="center"/>
            <w:hideMark/>
          </w:tcPr>
          <w:p w14:paraId="48F52E9A" w14:textId="77777777" w:rsidR="003204EE" w:rsidRPr="00462AD9" w:rsidRDefault="003204EE" w:rsidP="003204EE">
            <w:pPr>
              <w:keepNext/>
              <w:spacing w:before="0" w:after="0"/>
              <w:jc w:val="center"/>
              <w:rPr>
                <w:rFonts w:cs="Arial"/>
                <w:sz w:val="20"/>
                <w:szCs w:val="20"/>
              </w:rPr>
            </w:pPr>
            <w:r w:rsidRPr="00462AD9">
              <w:rPr>
                <w:rFonts w:cs="Arial"/>
                <w:sz w:val="20"/>
                <w:szCs w:val="20"/>
              </w:rPr>
              <w:t>335,902</w:t>
            </w:r>
          </w:p>
        </w:tc>
        <w:tc>
          <w:tcPr>
            <w:tcW w:w="1035" w:type="dxa"/>
            <w:tcBorders>
              <w:top w:val="nil"/>
              <w:left w:val="nil"/>
              <w:bottom w:val="single" w:sz="8" w:space="0" w:color="auto"/>
              <w:right w:val="single" w:sz="8" w:space="0" w:color="auto"/>
            </w:tcBorders>
            <w:shd w:val="clear" w:color="auto" w:fill="auto"/>
            <w:noWrap/>
            <w:vAlign w:val="center"/>
            <w:hideMark/>
          </w:tcPr>
          <w:p w14:paraId="0109B8D8" w14:textId="77777777" w:rsidR="003204EE" w:rsidRPr="00462AD9" w:rsidRDefault="003204EE" w:rsidP="003204EE">
            <w:pPr>
              <w:keepNext/>
              <w:spacing w:before="0" w:after="0"/>
              <w:jc w:val="center"/>
              <w:rPr>
                <w:rFonts w:cs="Arial"/>
                <w:sz w:val="20"/>
                <w:szCs w:val="20"/>
              </w:rPr>
            </w:pPr>
            <w:r w:rsidRPr="00462AD9">
              <w:rPr>
                <w:rFonts w:cs="Arial"/>
                <w:sz w:val="20"/>
                <w:szCs w:val="20"/>
              </w:rPr>
              <w:t>373,595</w:t>
            </w:r>
          </w:p>
        </w:tc>
        <w:tc>
          <w:tcPr>
            <w:tcW w:w="1095" w:type="dxa"/>
            <w:tcBorders>
              <w:top w:val="nil"/>
              <w:left w:val="nil"/>
              <w:bottom w:val="single" w:sz="8" w:space="0" w:color="auto"/>
              <w:right w:val="single" w:sz="8" w:space="0" w:color="auto"/>
            </w:tcBorders>
            <w:shd w:val="clear" w:color="auto" w:fill="auto"/>
            <w:noWrap/>
            <w:vAlign w:val="center"/>
            <w:hideMark/>
          </w:tcPr>
          <w:p w14:paraId="6D04E359" w14:textId="77777777" w:rsidR="003204EE" w:rsidRPr="00462AD9" w:rsidRDefault="003204EE" w:rsidP="003204EE">
            <w:pPr>
              <w:keepNext/>
              <w:spacing w:before="0" w:after="0"/>
              <w:jc w:val="center"/>
              <w:rPr>
                <w:rFonts w:cs="Arial"/>
                <w:sz w:val="20"/>
                <w:szCs w:val="20"/>
              </w:rPr>
            </w:pPr>
            <w:r w:rsidRPr="00462AD9">
              <w:rPr>
                <w:rFonts w:cs="Arial"/>
                <w:sz w:val="20"/>
                <w:szCs w:val="20"/>
              </w:rPr>
              <w:t>462,111</w:t>
            </w:r>
          </w:p>
        </w:tc>
        <w:tc>
          <w:tcPr>
            <w:tcW w:w="975" w:type="dxa"/>
            <w:tcBorders>
              <w:top w:val="nil"/>
              <w:left w:val="nil"/>
              <w:bottom w:val="single" w:sz="8" w:space="0" w:color="auto"/>
              <w:right w:val="single" w:sz="8" w:space="0" w:color="auto"/>
            </w:tcBorders>
            <w:shd w:val="clear" w:color="auto" w:fill="auto"/>
            <w:noWrap/>
            <w:vAlign w:val="center"/>
            <w:hideMark/>
          </w:tcPr>
          <w:p w14:paraId="6F92C5F7" w14:textId="77777777" w:rsidR="003204EE" w:rsidRPr="00462AD9" w:rsidRDefault="003204EE" w:rsidP="003204EE">
            <w:pPr>
              <w:keepNext/>
              <w:spacing w:before="0" w:after="0"/>
              <w:jc w:val="center"/>
              <w:rPr>
                <w:rFonts w:cs="Arial"/>
                <w:sz w:val="20"/>
                <w:szCs w:val="20"/>
              </w:rPr>
            </w:pPr>
            <w:r w:rsidRPr="00462AD9">
              <w:rPr>
                <w:rFonts w:cs="Arial"/>
                <w:sz w:val="20"/>
                <w:szCs w:val="20"/>
              </w:rPr>
              <w:t>551,311</w:t>
            </w:r>
          </w:p>
        </w:tc>
        <w:tc>
          <w:tcPr>
            <w:tcW w:w="938" w:type="dxa"/>
            <w:tcBorders>
              <w:top w:val="nil"/>
              <w:left w:val="nil"/>
              <w:bottom w:val="single" w:sz="8" w:space="0" w:color="auto"/>
              <w:right w:val="single" w:sz="12" w:space="0" w:color="auto"/>
            </w:tcBorders>
            <w:shd w:val="clear" w:color="auto" w:fill="auto"/>
            <w:noWrap/>
            <w:vAlign w:val="center"/>
            <w:hideMark/>
          </w:tcPr>
          <w:p w14:paraId="6CC18B0A" w14:textId="77777777" w:rsidR="003204EE" w:rsidRPr="00462AD9" w:rsidRDefault="003204EE" w:rsidP="003204EE">
            <w:pPr>
              <w:keepNext/>
              <w:spacing w:before="0" w:after="0"/>
              <w:jc w:val="center"/>
              <w:rPr>
                <w:rFonts w:cs="Arial"/>
                <w:sz w:val="20"/>
                <w:szCs w:val="20"/>
              </w:rPr>
            </w:pPr>
            <w:r w:rsidRPr="00462AD9">
              <w:rPr>
                <w:rFonts w:cs="Arial"/>
                <w:sz w:val="20"/>
                <w:szCs w:val="20"/>
              </w:rPr>
              <w:t>649,695</w:t>
            </w:r>
          </w:p>
        </w:tc>
      </w:tr>
      <w:tr w:rsidR="003204EE" w:rsidRPr="00462AD9" w14:paraId="17C80680"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11CC35E8" w14:textId="77777777" w:rsidR="003204EE" w:rsidRPr="00462AD9" w:rsidRDefault="003204EE" w:rsidP="003204EE">
            <w:pPr>
              <w:keepNext/>
              <w:spacing w:before="0" w:after="0"/>
              <w:jc w:val="left"/>
              <w:rPr>
                <w:rFonts w:cs="Arial"/>
                <w:sz w:val="20"/>
                <w:szCs w:val="20"/>
              </w:rPr>
            </w:pPr>
            <w:r w:rsidRPr="00462AD9">
              <w:rPr>
                <w:rFonts w:cs="Arial"/>
                <w:sz w:val="20"/>
                <w:szCs w:val="20"/>
              </w:rPr>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623CCB43"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514EBC34" w14:textId="77777777" w:rsidR="003204EE" w:rsidRPr="00462AD9" w:rsidRDefault="003204EE" w:rsidP="003204EE">
            <w:pPr>
              <w:keepNext/>
              <w:spacing w:before="0" w:after="0"/>
              <w:jc w:val="center"/>
              <w:rPr>
                <w:rFonts w:cs="Arial"/>
                <w:sz w:val="20"/>
                <w:szCs w:val="20"/>
              </w:rPr>
            </w:pPr>
            <w:r w:rsidRPr="00462AD9">
              <w:rPr>
                <w:rFonts w:cs="Arial"/>
                <w:sz w:val="20"/>
                <w:szCs w:val="20"/>
              </w:rPr>
              <w:t>111,2</w:t>
            </w:r>
          </w:p>
        </w:tc>
        <w:tc>
          <w:tcPr>
            <w:tcW w:w="1095" w:type="dxa"/>
            <w:tcBorders>
              <w:top w:val="nil"/>
              <w:left w:val="nil"/>
              <w:bottom w:val="single" w:sz="8" w:space="0" w:color="auto"/>
              <w:right w:val="single" w:sz="8" w:space="0" w:color="auto"/>
            </w:tcBorders>
            <w:shd w:val="clear" w:color="auto" w:fill="auto"/>
            <w:noWrap/>
            <w:vAlign w:val="center"/>
            <w:hideMark/>
          </w:tcPr>
          <w:p w14:paraId="54970230" w14:textId="77777777" w:rsidR="003204EE" w:rsidRPr="00462AD9" w:rsidRDefault="003204EE" w:rsidP="003204EE">
            <w:pPr>
              <w:keepNext/>
              <w:spacing w:before="0" w:after="0"/>
              <w:jc w:val="center"/>
              <w:rPr>
                <w:rFonts w:cs="Arial"/>
                <w:sz w:val="20"/>
                <w:szCs w:val="20"/>
              </w:rPr>
            </w:pPr>
            <w:r w:rsidRPr="00462AD9">
              <w:rPr>
                <w:rFonts w:cs="Arial"/>
                <w:sz w:val="20"/>
                <w:szCs w:val="20"/>
              </w:rPr>
              <w:t>137,6</w:t>
            </w:r>
          </w:p>
        </w:tc>
        <w:tc>
          <w:tcPr>
            <w:tcW w:w="975" w:type="dxa"/>
            <w:tcBorders>
              <w:top w:val="nil"/>
              <w:left w:val="nil"/>
              <w:bottom w:val="single" w:sz="8" w:space="0" w:color="auto"/>
              <w:right w:val="single" w:sz="8" w:space="0" w:color="auto"/>
            </w:tcBorders>
            <w:shd w:val="clear" w:color="auto" w:fill="auto"/>
            <w:noWrap/>
            <w:vAlign w:val="center"/>
            <w:hideMark/>
          </w:tcPr>
          <w:p w14:paraId="403BC979" w14:textId="77777777" w:rsidR="003204EE" w:rsidRPr="00462AD9" w:rsidRDefault="003204EE" w:rsidP="003204EE">
            <w:pPr>
              <w:keepNext/>
              <w:spacing w:before="0" w:after="0"/>
              <w:jc w:val="center"/>
              <w:rPr>
                <w:rFonts w:cs="Arial"/>
                <w:sz w:val="20"/>
                <w:szCs w:val="20"/>
              </w:rPr>
            </w:pPr>
            <w:r w:rsidRPr="00462AD9">
              <w:rPr>
                <w:rFonts w:cs="Arial"/>
                <w:sz w:val="20"/>
                <w:szCs w:val="20"/>
              </w:rPr>
              <w:t>164,1</w:t>
            </w:r>
          </w:p>
        </w:tc>
        <w:tc>
          <w:tcPr>
            <w:tcW w:w="938" w:type="dxa"/>
            <w:tcBorders>
              <w:top w:val="nil"/>
              <w:left w:val="nil"/>
              <w:bottom w:val="single" w:sz="8" w:space="0" w:color="auto"/>
              <w:right w:val="single" w:sz="12" w:space="0" w:color="auto"/>
            </w:tcBorders>
            <w:shd w:val="clear" w:color="auto" w:fill="auto"/>
            <w:noWrap/>
            <w:vAlign w:val="center"/>
            <w:hideMark/>
          </w:tcPr>
          <w:p w14:paraId="50ACFF39" w14:textId="77777777" w:rsidR="003204EE" w:rsidRPr="00462AD9" w:rsidRDefault="003204EE" w:rsidP="003204EE">
            <w:pPr>
              <w:keepNext/>
              <w:spacing w:before="0" w:after="0"/>
              <w:jc w:val="center"/>
              <w:rPr>
                <w:rFonts w:cs="Arial"/>
                <w:sz w:val="20"/>
                <w:szCs w:val="20"/>
              </w:rPr>
            </w:pPr>
            <w:r w:rsidRPr="00462AD9">
              <w:rPr>
                <w:rFonts w:cs="Arial"/>
                <w:sz w:val="20"/>
                <w:szCs w:val="20"/>
              </w:rPr>
              <w:t>193,4</w:t>
            </w:r>
          </w:p>
        </w:tc>
      </w:tr>
      <w:tr w:rsidR="003204EE" w:rsidRPr="00462AD9" w14:paraId="257270B9"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6FAE1957" w14:textId="54BECC70" w:rsidR="003204EE" w:rsidRPr="00462AD9" w:rsidRDefault="003204EE" w:rsidP="003204EE">
            <w:pPr>
              <w:keepNext/>
              <w:spacing w:before="0" w:after="0"/>
              <w:jc w:val="left"/>
              <w:rPr>
                <w:rFonts w:cs="Arial"/>
                <w:sz w:val="20"/>
                <w:szCs w:val="20"/>
              </w:rPr>
            </w:pPr>
            <w:r w:rsidRPr="00462AD9">
              <w:rPr>
                <w:rFonts w:cs="Arial"/>
                <w:sz w:val="20"/>
                <w:szCs w:val="20"/>
              </w:rPr>
              <w:t>BDP per capita, stalne cijene 2010.</w:t>
            </w:r>
            <w:r w:rsidR="00564D97">
              <w:rPr>
                <w:rFonts w:cs="Arial"/>
                <w:sz w:val="20"/>
                <w:szCs w:val="20"/>
              </w:rPr>
              <w:t xml:space="preserve"> </w:t>
            </w:r>
            <w:r w:rsidR="00124C8F">
              <w:rPr>
                <w:rFonts w:cs="Arial"/>
                <w:sz w:val="20"/>
                <w:szCs w:val="20"/>
              </w:rPr>
              <w:t xml:space="preserve">tisuća </w:t>
            </w:r>
            <w:r w:rsidR="00DE7226">
              <w:rPr>
                <w:rFonts w:cs="Arial"/>
                <w:sz w:val="20"/>
                <w:szCs w:val="20"/>
              </w:rPr>
              <w:t>kn</w:t>
            </w:r>
          </w:p>
        </w:tc>
        <w:tc>
          <w:tcPr>
            <w:tcW w:w="1110" w:type="dxa"/>
            <w:tcBorders>
              <w:top w:val="nil"/>
              <w:left w:val="nil"/>
              <w:bottom w:val="single" w:sz="8" w:space="0" w:color="auto"/>
              <w:right w:val="single" w:sz="8" w:space="0" w:color="auto"/>
            </w:tcBorders>
            <w:shd w:val="clear" w:color="auto" w:fill="auto"/>
            <w:noWrap/>
            <w:vAlign w:val="center"/>
            <w:hideMark/>
          </w:tcPr>
          <w:p w14:paraId="050F0B55" w14:textId="77777777" w:rsidR="003204EE" w:rsidRPr="00462AD9" w:rsidRDefault="003204EE" w:rsidP="003204EE">
            <w:pPr>
              <w:keepNext/>
              <w:spacing w:before="0" w:after="0"/>
              <w:jc w:val="center"/>
              <w:rPr>
                <w:rFonts w:cs="Arial"/>
                <w:sz w:val="20"/>
                <w:szCs w:val="20"/>
              </w:rPr>
            </w:pPr>
            <w:r w:rsidRPr="00462AD9">
              <w:rPr>
                <w:rFonts w:cs="Arial"/>
                <w:sz w:val="20"/>
                <w:szCs w:val="20"/>
              </w:rPr>
              <w:t>82</w:t>
            </w:r>
          </w:p>
        </w:tc>
        <w:tc>
          <w:tcPr>
            <w:tcW w:w="1035" w:type="dxa"/>
            <w:tcBorders>
              <w:top w:val="nil"/>
              <w:left w:val="nil"/>
              <w:bottom w:val="single" w:sz="8" w:space="0" w:color="auto"/>
              <w:right w:val="single" w:sz="8" w:space="0" w:color="auto"/>
            </w:tcBorders>
            <w:shd w:val="clear" w:color="auto" w:fill="auto"/>
            <w:noWrap/>
            <w:vAlign w:val="center"/>
            <w:hideMark/>
          </w:tcPr>
          <w:p w14:paraId="2D325E92" w14:textId="77777777" w:rsidR="003204EE" w:rsidRPr="00462AD9" w:rsidRDefault="003204EE" w:rsidP="003204EE">
            <w:pPr>
              <w:keepNext/>
              <w:spacing w:before="0" w:after="0"/>
              <w:jc w:val="center"/>
              <w:rPr>
                <w:rFonts w:cs="Arial"/>
                <w:sz w:val="20"/>
                <w:szCs w:val="20"/>
              </w:rPr>
            </w:pPr>
            <w:r w:rsidRPr="00462AD9">
              <w:rPr>
                <w:rFonts w:cs="Arial"/>
                <w:sz w:val="20"/>
                <w:szCs w:val="20"/>
              </w:rPr>
              <w:t>94</w:t>
            </w:r>
          </w:p>
        </w:tc>
        <w:tc>
          <w:tcPr>
            <w:tcW w:w="1095" w:type="dxa"/>
            <w:tcBorders>
              <w:top w:val="nil"/>
              <w:left w:val="nil"/>
              <w:bottom w:val="single" w:sz="8" w:space="0" w:color="auto"/>
              <w:right w:val="single" w:sz="8" w:space="0" w:color="auto"/>
            </w:tcBorders>
            <w:shd w:val="clear" w:color="auto" w:fill="auto"/>
            <w:noWrap/>
            <w:vAlign w:val="center"/>
            <w:hideMark/>
          </w:tcPr>
          <w:p w14:paraId="0062E4B4" w14:textId="77777777" w:rsidR="003204EE" w:rsidRPr="00462AD9" w:rsidRDefault="003204EE" w:rsidP="003204EE">
            <w:pPr>
              <w:keepNext/>
              <w:spacing w:before="0" w:after="0"/>
              <w:jc w:val="center"/>
              <w:rPr>
                <w:rFonts w:cs="Arial"/>
                <w:sz w:val="20"/>
                <w:szCs w:val="20"/>
              </w:rPr>
            </w:pPr>
            <w:r w:rsidRPr="00462AD9">
              <w:rPr>
                <w:rFonts w:cs="Arial"/>
                <w:sz w:val="20"/>
                <w:szCs w:val="20"/>
              </w:rPr>
              <w:t>123</w:t>
            </w:r>
          </w:p>
        </w:tc>
        <w:tc>
          <w:tcPr>
            <w:tcW w:w="975" w:type="dxa"/>
            <w:tcBorders>
              <w:top w:val="nil"/>
              <w:left w:val="nil"/>
              <w:bottom w:val="single" w:sz="8" w:space="0" w:color="auto"/>
              <w:right w:val="single" w:sz="8" w:space="0" w:color="auto"/>
            </w:tcBorders>
            <w:shd w:val="clear" w:color="auto" w:fill="auto"/>
            <w:noWrap/>
            <w:vAlign w:val="center"/>
            <w:hideMark/>
          </w:tcPr>
          <w:p w14:paraId="6CEC82D0" w14:textId="77777777" w:rsidR="003204EE" w:rsidRPr="00462AD9" w:rsidRDefault="003204EE" w:rsidP="003204EE">
            <w:pPr>
              <w:keepNext/>
              <w:spacing w:before="0" w:after="0"/>
              <w:jc w:val="center"/>
              <w:rPr>
                <w:rFonts w:cs="Arial"/>
                <w:sz w:val="20"/>
                <w:szCs w:val="20"/>
              </w:rPr>
            </w:pPr>
            <w:r w:rsidRPr="00462AD9">
              <w:rPr>
                <w:rFonts w:cs="Arial"/>
                <w:sz w:val="20"/>
                <w:szCs w:val="20"/>
              </w:rPr>
              <w:t>156</w:t>
            </w:r>
          </w:p>
        </w:tc>
        <w:tc>
          <w:tcPr>
            <w:tcW w:w="938" w:type="dxa"/>
            <w:tcBorders>
              <w:top w:val="nil"/>
              <w:left w:val="nil"/>
              <w:bottom w:val="single" w:sz="8" w:space="0" w:color="auto"/>
              <w:right w:val="single" w:sz="12" w:space="0" w:color="auto"/>
            </w:tcBorders>
            <w:shd w:val="clear" w:color="auto" w:fill="auto"/>
            <w:noWrap/>
            <w:vAlign w:val="center"/>
            <w:hideMark/>
          </w:tcPr>
          <w:p w14:paraId="486352F6" w14:textId="77777777" w:rsidR="003204EE" w:rsidRPr="00462AD9" w:rsidRDefault="003204EE" w:rsidP="003204EE">
            <w:pPr>
              <w:keepNext/>
              <w:spacing w:before="0" w:after="0"/>
              <w:jc w:val="center"/>
              <w:rPr>
                <w:rFonts w:cs="Arial"/>
                <w:sz w:val="20"/>
                <w:szCs w:val="20"/>
              </w:rPr>
            </w:pPr>
            <w:r w:rsidRPr="00462AD9">
              <w:rPr>
                <w:rFonts w:cs="Arial"/>
                <w:sz w:val="20"/>
                <w:szCs w:val="20"/>
              </w:rPr>
              <w:t>197</w:t>
            </w:r>
          </w:p>
        </w:tc>
      </w:tr>
      <w:tr w:rsidR="003204EE" w:rsidRPr="00462AD9" w14:paraId="583B86AB"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325B3C61" w14:textId="77777777" w:rsidR="003204EE" w:rsidRPr="00462AD9" w:rsidRDefault="003204EE" w:rsidP="003204EE">
            <w:pPr>
              <w:keepNext/>
              <w:spacing w:before="0" w:after="0"/>
              <w:jc w:val="left"/>
              <w:rPr>
                <w:rFonts w:cs="Arial"/>
                <w:sz w:val="20"/>
                <w:szCs w:val="20"/>
              </w:rPr>
            </w:pPr>
            <w:r w:rsidRPr="00462AD9">
              <w:rPr>
                <w:rFonts w:cs="Arial"/>
                <w:sz w:val="20"/>
                <w:szCs w:val="20"/>
              </w:rPr>
              <w:t>BDP per capita,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7128208A" w14:textId="77777777" w:rsidR="003204EE" w:rsidRPr="00462AD9" w:rsidRDefault="003204EE" w:rsidP="003204EE">
            <w:pPr>
              <w:keepNext/>
              <w:spacing w:before="0" w:after="0"/>
              <w:jc w:val="center"/>
              <w:rPr>
                <w:rFonts w:cs="Arial"/>
                <w:sz w:val="20"/>
                <w:szCs w:val="20"/>
              </w:rPr>
            </w:pPr>
            <w:r w:rsidRPr="00462AD9">
              <w:rPr>
                <w:rFonts w:cs="Arial"/>
                <w:sz w:val="20"/>
                <w:szCs w:val="20"/>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2B753D07" w14:textId="77777777" w:rsidR="003204EE" w:rsidRPr="00462AD9" w:rsidRDefault="003204EE" w:rsidP="003204EE">
            <w:pPr>
              <w:keepNext/>
              <w:spacing w:before="0" w:after="0"/>
              <w:jc w:val="center"/>
              <w:rPr>
                <w:rFonts w:cs="Arial"/>
                <w:sz w:val="20"/>
                <w:szCs w:val="20"/>
              </w:rPr>
            </w:pPr>
            <w:r w:rsidRPr="00462AD9">
              <w:rPr>
                <w:rFonts w:cs="Arial"/>
                <w:sz w:val="20"/>
                <w:szCs w:val="20"/>
              </w:rPr>
              <w:t>114,4</w:t>
            </w:r>
          </w:p>
        </w:tc>
        <w:tc>
          <w:tcPr>
            <w:tcW w:w="1095" w:type="dxa"/>
            <w:tcBorders>
              <w:top w:val="nil"/>
              <w:left w:val="nil"/>
              <w:bottom w:val="single" w:sz="8" w:space="0" w:color="auto"/>
              <w:right w:val="single" w:sz="8" w:space="0" w:color="auto"/>
            </w:tcBorders>
            <w:shd w:val="clear" w:color="auto" w:fill="auto"/>
            <w:noWrap/>
            <w:vAlign w:val="center"/>
            <w:hideMark/>
          </w:tcPr>
          <w:p w14:paraId="4BB308CA" w14:textId="77777777" w:rsidR="003204EE" w:rsidRPr="00462AD9" w:rsidRDefault="003204EE" w:rsidP="003204EE">
            <w:pPr>
              <w:keepNext/>
              <w:spacing w:before="0" w:after="0"/>
              <w:jc w:val="center"/>
              <w:rPr>
                <w:rFonts w:cs="Arial"/>
                <w:sz w:val="20"/>
                <w:szCs w:val="20"/>
              </w:rPr>
            </w:pPr>
            <w:r w:rsidRPr="00462AD9">
              <w:rPr>
                <w:rFonts w:cs="Arial"/>
                <w:sz w:val="20"/>
                <w:szCs w:val="20"/>
              </w:rPr>
              <w:t>150,2</w:t>
            </w:r>
          </w:p>
        </w:tc>
        <w:tc>
          <w:tcPr>
            <w:tcW w:w="975" w:type="dxa"/>
            <w:tcBorders>
              <w:top w:val="nil"/>
              <w:left w:val="nil"/>
              <w:bottom w:val="single" w:sz="8" w:space="0" w:color="auto"/>
              <w:right w:val="single" w:sz="8" w:space="0" w:color="auto"/>
            </w:tcBorders>
            <w:shd w:val="clear" w:color="auto" w:fill="auto"/>
            <w:noWrap/>
            <w:vAlign w:val="center"/>
            <w:hideMark/>
          </w:tcPr>
          <w:p w14:paraId="2E64FFA8" w14:textId="77777777" w:rsidR="003204EE" w:rsidRPr="00462AD9" w:rsidRDefault="003204EE" w:rsidP="003204EE">
            <w:pPr>
              <w:keepNext/>
              <w:spacing w:before="0" w:after="0"/>
              <w:jc w:val="center"/>
              <w:rPr>
                <w:rFonts w:cs="Arial"/>
                <w:sz w:val="20"/>
                <w:szCs w:val="20"/>
              </w:rPr>
            </w:pPr>
            <w:r w:rsidRPr="00462AD9">
              <w:rPr>
                <w:rFonts w:cs="Arial"/>
                <w:sz w:val="20"/>
                <w:szCs w:val="20"/>
              </w:rPr>
              <w:t>190,5</w:t>
            </w:r>
          </w:p>
        </w:tc>
        <w:tc>
          <w:tcPr>
            <w:tcW w:w="938" w:type="dxa"/>
            <w:tcBorders>
              <w:top w:val="nil"/>
              <w:left w:val="nil"/>
              <w:bottom w:val="single" w:sz="8" w:space="0" w:color="auto"/>
              <w:right w:val="single" w:sz="12" w:space="0" w:color="auto"/>
            </w:tcBorders>
            <w:shd w:val="clear" w:color="auto" w:fill="auto"/>
            <w:noWrap/>
            <w:vAlign w:val="center"/>
            <w:hideMark/>
          </w:tcPr>
          <w:p w14:paraId="73B09470" w14:textId="77777777" w:rsidR="003204EE" w:rsidRPr="00462AD9" w:rsidRDefault="003204EE" w:rsidP="003204EE">
            <w:pPr>
              <w:keepNext/>
              <w:spacing w:before="0" w:after="0"/>
              <w:jc w:val="center"/>
              <w:rPr>
                <w:rFonts w:cs="Arial"/>
                <w:sz w:val="20"/>
                <w:szCs w:val="20"/>
              </w:rPr>
            </w:pPr>
            <w:r w:rsidRPr="00462AD9">
              <w:rPr>
                <w:rFonts w:cs="Arial"/>
                <w:sz w:val="20"/>
                <w:szCs w:val="20"/>
              </w:rPr>
              <w:t>240,6</w:t>
            </w:r>
          </w:p>
        </w:tc>
      </w:tr>
      <w:tr w:rsidR="003204EE" w:rsidRPr="00462AD9" w14:paraId="2479B63B" w14:textId="77777777" w:rsidTr="003204EE">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7EAA433B" w14:textId="77777777" w:rsidR="003204EE" w:rsidRPr="00462AD9" w:rsidRDefault="003204EE" w:rsidP="003204EE">
            <w:pPr>
              <w:keepNext/>
              <w:spacing w:before="0" w:after="0"/>
              <w:jc w:val="left"/>
              <w:rPr>
                <w:rFonts w:cs="Arial"/>
                <w:sz w:val="20"/>
                <w:szCs w:val="20"/>
              </w:rPr>
            </w:pPr>
            <w:r w:rsidRPr="00462AD9">
              <w:rPr>
                <w:rFonts w:cs="Arial"/>
                <w:sz w:val="20"/>
                <w:szCs w:val="20"/>
              </w:rPr>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64E22AF6" w14:textId="77777777" w:rsidR="003204EE" w:rsidRPr="00462AD9" w:rsidRDefault="003204EE" w:rsidP="003204EE">
            <w:pPr>
              <w:keepNext/>
              <w:spacing w:before="0" w:after="0"/>
              <w:jc w:val="center"/>
              <w:rPr>
                <w:rFonts w:cs="Arial"/>
                <w:sz w:val="20"/>
                <w:szCs w:val="20"/>
              </w:rPr>
            </w:pPr>
            <w:r w:rsidRPr="00462AD9">
              <w:rPr>
                <w:rFonts w:cs="Arial"/>
                <w:sz w:val="20"/>
                <w:szCs w:val="20"/>
              </w:rPr>
              <w:t>4,099</w:t>
            </w:r>
          </w:p>
        </w:tc>
        <w:tc>
          <w:tcPr>
            <w:tcW w:w="1035" w:type="dxa"/>
            <w:tcBorders>
              <w:top w:val="nil"/>
              <w:left w:val="nil"/>
              <w:bottom w:val="single" w:sz="8" w:space="0" w:color="auto"/>
              <w:right w:val="single" w:sz="8" w:space="0" w:color="auto"/>
            </w:tcBorders>
            <w:shd w:val="clear" w:color="auto" w:fill="auto"/>
            <w:noWrap/>
            <w:vAlign w:val="center"/>
            <w:hideMark/>
          </w:tcPr>
          <w:p w14:paraId="53971B5F" w14:textId="77777777" w:rsidR="003204EE" w:rsidRPr="00462AD9" w:rsidRDefault="003204EE" w:rsidP="003204EE">
            <w:pPr>
              <w:keepNext/>
              <w:spacing w:before="0" w:after="0"/>
              <w:jc w:val="center"/>
              <w:rPr>
                <w:rFonts w:cs="Arial"/>
                <w:sz w:val="20"/>
                <w:szCs w:val="20"/>
              </w:rPr>
            </w:pPr>
            <w:r w:rsidRPr="00462AD9">
              <w:rPr>
                <w:rFonts w:cs="Arial"/>
                <w:sz w:val="20"/>
                <w:szCs w:val="20"/>
              </w:rPr>
              <w:t>3,984</w:t>
            </w:r>
          </w:p>
        </w:tc>
        <w:tc>
          <w:tcPr>
            <w:tcW w:w="1095" w:type="dxa"/>
            <w:tcBorders>
              <w:top w:val="nil"/>
              <w:left w:val="nil"/>
              <w:bottom w:val="single" w:sz="8" w:space="0" w:color="auto"/>
              <w:right w:val="single" w:sz="8" w:space="0" w:color="auto"/>
            </w:tcBorders>
            <w:shd w:val="clear" w:color="auto" w:fill="auto"/>
            <w:noWrap/>
            <w:vAlign w:val="center"/>
            <w:hideMark/>
          </w:tcPr>
          <w:p w14:paraId="6701FCF3" w14:textId="77777777" w:rsidR="003204EE" w:rsidRPr="00462AD9" w:rsidRDefault="003204EE" w:rsidP="003204EE">
            <w:pPr>
              <w:keepNext/>
              <w:spacing w:before="0" w:after="0"/>
              <w:jc w:val="center"/>
              <w:rPr>
                <w:rFonts w:cs="Arial"/>
                <w:sz w:val="20"/>
                <w:szCs w:val="20"/>
              </w:rPr>
            </w:pPr>
            <w:r w:rsidRPr="00462AD9">
              <w:rPr>
                <w:rFonts w:cs="Arial"/>
                <w:sz w:val="20"/>
                <w:szCs w:val="20"/>
              </w:rPr>
              <w:t>3,755</w:t>
            </w:r>
          </w:p>
        </w:tc>
        <w:tc>
          <w:tcPr>
            <w:tcW w:w="975" w:type="dxa"/>
            <w:tcBorders>
              <w:top w:val="nil"/>
              <w:left w:val="nil"/>
              <w:bottom w:val="single" w:sz="8" w:space="0" w:color="auto"/>
              <w:right w:val="single" w:sz="8" w:space="0" w:color="auto"/>
            </w:tcBorders>
            <w:shd w:val="clear" w:color="auto" w:fill="auto"/>
            <w:noWrap/>
            <w:vAlign w:val="center"/>
            <w:hideMark/>
          </w:tcPr>
          <w:p w14:paraId="5251F6A1" w14:textId="77777777" w:rsidR="003204EE" w:rsidRPr="00462AD9" w:rsidRDefault="003204EE" w:rsidP="003204EE">
            <w:pPr>
              <w:keepNext/>
              <w:spacing w:before="0" w:after="0"/>
              <w:jc w:val="center"/>
              <w:rPr>
                <w:rFonts w:cs="Arial"/>
                <w:sz w:val="20"/>
                <w:szCs w:val="20"/>
              </w:rPr>
            </w:pPr>
            <w:r w:rsidRPr="00462AD9">
              <w:rPr>
                <w:rFonts w:cs="Arial"/>
                <w:sz w:val="20"/>
                <w:szCs w:val="20"/>
              </w:rPr>
              <w:t>3,532</w:t>
            </w:r>
          </w:p>
        </w:tc>
        <w:tc>
          <w:tcPr>
            <w:tcW w:w="938" w:type="dxa"/>
            <w:tcBorders>
              <w:top w:val="nil"/>
              <w:left w:val="nil"/>
              <w:bottom w:val="single" w:sz="8" w:space="0" w:color="auto"/>
              <w:right w:val="single" w:sz="12" w:space="0" w:color="auto"/>
            </w:tcBorders>
            <w:shd w:val="clear" w:color="auto" w:fill="auto"/>
            <w:noWrap/>
            <w:vAlign w:val="center"/>
            <w:hideMark/>
          </w:tcPr>
          <w:p w14:paraId="2D6F5E19" w14:textId="77777777" w:rsidR="003204EE" w:rsidRPr="00462AD9" w:rsidRDefault="003204EE" w:rsidP="003204EE">
            <w:pPr>
              <w:keepNext/>
              <w:spacing w:before="0" w:after="0"/>
              <w:jc w:val="center"/>
              <w:rPr>
                <w:rFonts w:cs="Arial"/>
                <w:sz w:val="20"/>
                <w:szCs w:val="20"/>
              </w:rPr>
            </w:pPr>
            <w:r w:rsidRPr="00462AD9">
              <w:rPr>
                <w:rFonts w:cs="Arial"/>
                <w:sz w:val="20"/>
                <w:szCs w:val="20"/>
              </w:rPr>
              <w:t>3,295</w:t>
            </w:r>
          </w:p>
        </w:tc>
      </w:tr>
      <w:tr w:rsidR="003204EE" w:rsidRPr="00462AD9" w14:paraId="32AA7742" w14:textId="77777777" w:rsidTr="003204EE">
        <w:trPr>
          <w:trHeight w:val="270"/>
          <w:jc w:val="center"/>
        </w:trPr>
        <w:tc>
          <w:tcPr>
            <w:tcW w:w="3615" w:type="dxa"/>
            <w:tcBorders>
              <w:top w:val="nil"/>
              <w:left w:val="single" w:sz="12" w:space="0" w:color="auto"/>
              <w:bottom w:val="single" w:sz="12" w:space="0" w:color="auto"/>
              <w:right w:val="single" w:sz="8" w:space="0" w:color="auto"/>
            </w:tcBorders>
            <w:shd w:val="clear" w:color="auto" w:fill="auto"/>
            <w:noWrap/>
            <w:hideMark/>
          </w:tcPr>
          <w:p w14:paraId="6C50C468" w14:textId="77777777" w:rsidR="003204EE" w:rsidRPr="00462AD9" w:rsidRDefault="003204EE" w:rsidP="003204EE">
            <w:pPr>
              <w:spacing w:before="0" w:after="0"/>
              <w:jc w:val="left"/>
              <w:rPr>
                <w:rFonts w:cs="Arial"/>
                <w:sz w:val="20"/>
                <w:szCs w:val="20"/>
              </w:rPr>
            </w:pPr>
            <w:r w:rsidRPr="00462AD9">
              <w:rPr>
                <w:rFonts w:cs="Arial"/>
                <w:sz w:val="20"/>
                <w:szCs w:val="20"/>
              </w:rPr>
              <w:t>Broj zaposlenih, rastuća aktivnost, u milijunima</w:t>
            </w:r>
          </w:p>
        </w:tc>
        <w:tc>
          <w:tcPr>
            <w:tcW w:w="1110" w:type="dxa"/>
            <w:tcBorders>
              <w:top w:val="nil"/>
              <w:left w:val="nil"/>
              <w:bottom w:val="single" w:sz="12" w:space="0" w:color="auto"/>
              <w:right w:val="single" w:sz="8" w:space="0" w:color="auto"/>
            </w:tcBorders>
            <w:shd w:val="clear" w:color="auto" w:fill="auto"/>
            <w:noWrap/>
            <w:vAlign w:val="center"/>
            <w:hideMark/>
          </w:tcPr>
          <w:p w14:paraId="718BB4DA" w14:textId="77777777" w:rsidR="003204EE" w:rsidRPr="00462AD9" w:rsidRDefault="003204EE" w:rsidP="003204EE">
            <w:pPr>
              <w:spacing w:before="0" w:after="0"/>
              <w:jc w:val="center"/>
              <w:rPr>
                <w:rFonts w:cs="Arial"/>
                <w:sz w:val="20"/>
                <w:szCs w:val="20"/>
              </w:rPr>
            </w:pPr>
            <w:r w:rsidRPr="00462AD9">
              <w:rPr>
                <w:rFonts w:cs="Arial"/>
                <w:sz w:val="20"/>
                <w:szCs w:val="20"/>
              </w:rPr>
              <w:t>1,550</w:t>
            </w:r>
          </w:p>
        </w:tc>
        <w:tc>
          <w:tcPr>
            <w:tcW w:w="1035" w:type="dxa"/>
            <w:tcBorders>
              <w:top w:val="nil"/>
              <w:left w:val="nil"/>
              <w:bottom w:val="single" w:sz="12" w:space="0" w:color="auto"/>
              <w:right w:val="single" w:sz="8" w:space="0" w:color="auto"/>
            </w:tcBorders>
            <w:shd w:val="clear" w:color="auto" w:fill="auto"/>
            <w:noWrap/>
            <w:vAlign w:val="center"/>
            <w:hideMark/>
          </w:tcPr>
          <w:p w14:paraId="17A5FEC4" w14:textId="77777777" w:rsidR="003204EE" w:rsidRPr="00462AD9" w:rsidRDefault="003204EE" w:rsidP="003204EE">
            <w:pPr>
              <w:spacing w:before="0" w:after="0"/>
              <w:jc w:val="center"/>
              <w:rPr>
                <w:rFonts w:cs="Arial"/>
                <w:sz w:val="20"/>
                <w:szCs w:val="20"/>
              </w:rPr>
            </w:pPr>
            <w:r w:rsidRPr="00462AD9">
              <w:rPr>
                <w:rFonts w:cs="Arial"/>
                <w:sz w:val="20"/>
                <w:szCs w:val="20"/>
              </w:rPr>
              <w:t>1,576</w:t>
            </w:r>
          </w:p>
        </w:tc>
        <w:tc>
          <w:tcPr>
            <w:tcW w:w="1095" w:type="dxa"/>
            <w:tcBorders>
              <w:top w:val="nil"/>
              <w:left w:val="nil"/>
              <w:bottom w:val="single" w:sz="12" w:space="0" w:color="auto"/>
              <w:right w:val="single" w:sz="8" w:space="0" w:color="auto"/>
            </w:tcBorders>
            <w:shd w:val="clear" w:color="auto" w:fill="auto"/>
            <w:noWrap/>
            <w:vAlign w:val="center"/>
            <w:hideMark/>
          </w:tcPr>
          <w:p w14:paraId="562B6A83" w14:textId="77777777" w:rsidR="003204EE" w:rsidRPr="00462AD9" w:rsidRDefault="003204EE" w:rsidP="003204EE">
            <w:pPr>
              <w:spacing w:before="0" w:after="0"/>
              <w:jc w:val="center"/>
              <w:rPr>
                <w:rFonts w:cs="Arial"/>
                <w:sz w:val="20"/>
                <w:szCs w:val="20"/>
              </w:rPr>
            </w:pPr>
            <w:r w:rsidRPr="00462AD9">
              <w:rPr>
                <w:rFonts w:cs="Arial"/>
                <w:sz w:val="20"/>
                <w:szCs w:val="20"/>
              </w:rPr>
              <w:t>1,502</w:t>
            </w:r>
          </w:p>
        </w:tc>
        <w:tc>
          <w:tcPr>
            <w:tcW w:w="975" w:type="dxa"/>
            <w:tcBorders>
              <w:top w:val="nil"/>
              <w:left w:val="nil"/>
              <w:bottom w:val="single" w:sz="12" w:space="0" w:color="auto"/>
              <w:right w:val="single" w:sz="8" w:space="0" w:color="auto"/>
            </w:tcBorders>
            <w:shd w:val="clear" w:color="auto" w:fill="auto"/>
            <w:noWrap/>
            <w:vAlign w:val="center"/>
            <w:hideMark/>
          </w:tcPr>
          <w:p w14:paraId="5AA1FE1A" w14:textId="77777777" w:rsidR="003204EE" w:rsidRPr="00462AD9" w:rsidRDefault="003204EE" w:rsidP="003204EE">
            <w:pPr>
              <w:spacing w:before="0" w:after="0"/>
              <w:jc w:val="center"/>
              <w:rPr>
                <w:rFonts w:cs="Arial"/>
                <w:sz w:val="20"/>
                <w:szCs w:val="20"/>
              </w:rPr>
            </w:pPr>
            <w:r w:rsidRPr="00462AD9">
              <w:rPr>
                <w:rFonts w:cs="Arial"/>
                <w:sz w:val="20"/>
                <w:szCs w:val="20"/>
              </w:rPr>
              <w:t>1,429</w:t>
            </w:r>
          </w:p>
        </w:tc>
        <w:tc>
          <w:tcPr>
            <w:tcW w:w="938" w:type="dxa"/>
            <w:tcBorders>
              <w:top w:val="nil"/>
              <w:left w:val="nil"/>
              <w:bottom w:val="single" w:sz="12" w:space="0" w:color="auto"/>
              <w:right w:val="single" w:sz="12" w:space="0" w:color="auto"/>
            </w:tcBorders>
            <w:shd w:val="clear" w:color="auto" w:fill="auto"/>
            <w:noWrap/>
            <w:vAlign w:val="center"/>
            <w:hideMark/>
          </w:tcPr>
          <w:p w14:paraId="139E1579" w14:textId="77777777" w:rsidR="003204EE" w:rsidRPr="00462AD9" w:rsidRDefault="003204EE" w:rsidP="003204EE">
            <w:pPr>
              <w:spacing w:before="0" w:after="0"/>
              <w:jc w:val="center"/>
              <w:rPr>
                <w:rFonts w:cs="Arial"/>
                <w:sz w:val="20"/>
                <w:szCs w:val="20"/>
              </w:rPr>
            </w:pPr>
            <w:r w:rsidRPr="00462AD9">
              <w:rPr>
                <w:rFonts w:cs="Arial"/>
                <w:sz w:val="20"/>
                <w:szCs w:val="20"/>
              </w:rPr>
              <w:t>1,342</w:t>
            </w:r>
          </w:p>
        </w:tc>
      </w:tr>
    </w:tbl>
    <w:p w14:paraId="50ADF093" w14:textId="030FD76D" w:rsidR="003204EE" w:rsidRDefault="003204EE" w:rsidP="003204EE">
      <w:r w:rsidRPr="00462AD9">
        <w:t>Projekcija kretanja BDP-a i gospodarske strukture temelji se na uočenim dosadašnjim trendovima u kretanju BDP-a, zaposlenosti i proizvodnosti rada, demografskim projekcijama i zatečenoj strukturi gospodarstva.</w:t>
      </w:r>
    </w:p>
    <w:p w14:paraId="4148AE75" w14:textId="77777777" w:rsidR="00FE3789" w:rsidRDefault="00FE3789" w:rsidP="003204EE"/>
    <w:p w14:paraId="5DE9AE2D" w14:textId="77777777" w:rsidR="00F04EAC" w:rsidRPr="00BE1ECD" w:rsidRDefault="00F04EAC" w:rsidP="00840E2E">
      <w:pPr>
        <w:pStyle w:val="Heading3"/>
        <w:numPr>
          <w:ilvl w:val="0"/>
          <w:numId w:val="78"/>
        </w:numPr>
      </w:pPr>
      <w:r w:rsidRPr="00BE1ECD">
        <w:t>Sektorske promjene za koje se očekuje da će utjecati na energetski sustav i emisije stakleničkih plinova</w:t>
      </w:r>
    </w:p>
    <w:p w14:paraId="2BDEAB6C" w14:textId="77777777" w:rsidR="00C45761" w:rsidRPr="00761CD8" w:rsidRDefault="00C45761" w:rsidP="00C45761">
      <w:r>
        <w:t xml:space="preserve">Projekcija neposredne potrošnje svih oblika energije (npr. fosilna goriva, biomasa, sunčeva energija, električna energija i dr.) izrađena je korištenjem pristupa „odozdo prema gore“ (engl. </w:t>
      </w:r>
      <w:r w:rsidRPr="00D11B75">
        <w:rPr>
          <w:i/>
        </w:rPr>
        <w:t>bottom-up</w:t>
      </w:r>
      <w:r>
        <w:t xml:space="preserve">) koji omogućava sagledavanje strukturnih promjena na strani korištenja energije u različitim sektorima (npr. industrija, kućanstva, uslužni sektor, promet), a koje su nužne za ostvarenje ciljeva ublažavanja klimatskih promjena. Korišten je model MAED (engl. </w:t>
      </w:r>
      <w:r w:rsidRPr="00D11B75">
        <w:rPr>
          <w:i/>
        </w:rPr>
        <w:t>Model for Analysis of Energy Demand</w:t>
      </w:r>
      <w:r>
        <w:t xml:space="preserve">) za analizu neposredne potrošnje energije. </w:t>
      </w:r>
    </w:p>
    <w:p w14:paraId="186320CF" w14:textId="77777777" w:rsidR="00C45761" w:rsidRDefault="00C45761" w:rsidP="00C45761">
      <w:r>
        <w:t>Glavne odrednice promjena u energetskom sektoru primijenjene u izradi projekcija neposredne potrošnje svih oblika energije su sljedeće:</w:t>
      </w:r>
    </w:p>
    <w:p w14:paraId="2DEE5F1F" w14:textId="77777777" w:rsidR="00C45761" w:rsidRPr="00462AD9" w:rsidRDefault="00C45761" w:rsidP="00840E2E">
      <w:pPr>
        <w:pStyle w:val="ListParagraph"/>
        <w:numPr>
          <w:ilvl w:val="0"/>
          <w:numId w:val="52"/>
        </w:numPr>
      </w:pPr>
      <w:r w:rsidRPr="00462AD9">
        <w:t>povećanje energetske učinkovitosti u svim dijelovima energetskog lanca (proizvodnja, transport/prijenos, distribucija i potrošnja svih oblika energije)</w:t>
      </w:r>
      <w:r>
        <w:t xml:space="preserve"> te primjena načela energetska učinkovitost na prvom mjestu</w:t>
      </w:r>
      <w:r w:rsidRPr="00462AD9">
        <w:t>;</w:t>
      </w:r>
    </w:p>
    <w:p w14:paraId="2CC3EB66" w14:textId="77777777" w:rsidR="00C45761" w:rsidRPr="00462AD9" w:rsidRDefault="00C45761" w:rsidP="00840E2E">
      <w:pPr>
        <w:pStyle w:val="ListParagraph"/>
        <w:numPr>
          <w:ilvl w:val="0"/>
          <w:numId w:val="52"/>
        </w:numPr>
      </w:pPr>
      <w:r w:rsidRPr="00462AD9">
        <w:t>prelazak što većeg broja aktivnosti na korištenje električne energije (gdje je to tehnološki moguće i dugoročno troškovno održivo);</w:t>
      </w:r>
    </w:p>
    <w:p w14:paraId="732A784D" w14:textId="19359068" w:rsidR="00C45761" w:rsidRPr="00462AD9" w:rsidRDefault="00C45761" w:rsidP="00840E2E">
      <w:pPr>
        <w:pStyle w:val="ListParagraph"/>
        <w:numPr>
          <w:ilvl w:val="0"/>
          <w:numId w:val="52"/>
        </w:numPr>
      </w:pPr>
      <w:r>
        <w:t xml:space="preserve">sve veća isplativost ulaganja u tehnologije korištenja OIE, uslijed očekivanog </w:t>
      </w:r>
      <w:r w:rsidRPr="009C5233">
        <w:t>pad</w:t>
      </w:r>
      <w:r>
        <w:t>a</w:t>
      </w:r>
      <w:r w:rsidRPr="009C5233">
        <w:t xml:space="preserve"> cijena </w:t>
      </w:r>
      <w:r>
        <w:t xml:space="preserve">tih </w:t>
      </w:r>
      <w:r w:rsidRPr="009C5233">
        <w:t xml:space="preserve">tehnologija </w:t>
      </w:r>
      <w:r>
        <w:t xml:space="preserve">i </w:t>
      </w:r>
      <w:r w:rsidRPr="009C5233">
        <w:t>porast</w:t>
      </w:r>
      <w:r>
        <w:t>a</w:t>
      </w:r>
      <w:r w:rsidRPr="009C5233">
        <w:t xml:space="preserve"> cijena emi</w:t>
      </w:r>
      <w:r w:rsidR="00907213">
        <w:t>sijs</w:t>
      </w:r>
      <w:r w:rsidRPr="009C5233">
        <w:t>kih dozvola</w:t>
      </w:r>
      <w:r w:rsidRPr="00462AD9">
        <w:t>.</w:t>
      </w:r>
    </w:p>
    <w:p w14:paraId="1CFE1B68" w14:textId="77777777" w:rsidR="00C45761" w:rsidRDefault="00C45761" w:rsidP="00C45761">
      <w:r w:rsidRPr="00462AD9">
        <w:t xml:space="preserve">Osim sektorski specifičnih mjera, </w:t>
      </w:r>
      <w:r>
        <w:t xml:space="preserve">analizirani </w:t>
      </w:r>
      <w:r w:rsidRPr="00462AD9">
        <w:t>scenarij razvoja</w:t>
      </w:r>
      <w:r>
        <w:t xml:space="preserve"> energetskog sektora</w:t>
      </w:r>
      <w:r w:rsidRPr="00462AD9">
        <w:t xml:space="preserve"> uzima u obzir i učinke regulatornih mjera, koje će imati međusektorske učinke. U prvom redu se ovo odnosi na uspostavu funkcionalnog sustava obveza energetske učinkovitosti za opskrbljivače energijom u skladu s člankom 7. Direktive 2012/27/EU o energetskoj učinkovitosti, koji bi na snagu trebao stupiti u 2019. godini. </w:t>
      </w:r>
      <w:r w:rsidRPr="00127F1E">
        <w:rPr>
          <w:bCs/>
        </w:rPr>
        <w:t>Zaključno se može utvrditi da je energetska učinkovitost na strani potrošnje energije temelj scenarija razvoja energetskog sektora</w:t>
      </w:r>
      <w:r w:rsidRPr="00127F1E">
        <w:t>.</w:t>
      </w:r>
      <w:r w:rsidRPr="00462AD9">
        <w:t xml:space="preserve"> Dodatno, na strani proizvodnje energije također se očekuje povećanje učinkovitosti transformacije energije izgradnjom novih</w:t>
      </w:r>
      <w:r>
        <w:t xml:space="preserve"> kogeneracijskih postrojenja i </w:t>
      </w:r>
      <w:r w:rsidRPr="00462AD9">
        <w:t xml:space="preserve">plinskih </w:t>
      </w:r>
      <w:r>
        <w:t>termoelektrana (</w:t>
      </w:r>
      <w:r w:rsidRPr="00462AD9">
        <w:t>TE</w:t>
      </w:r>
      <w:r>
        <w:t>)</w:t>
      </w:r>
      <w:r w:rsidRPr="00462AD9">
        <w:t xml:space="preserve"> s većim stupnjem korisnog djelovanja</w:t>
      </w:r>
      <w:r>
        <w:t xml:space="preserve"> te </w:t>
      </w:r>
      <w:r w:rsidRPr="00462AD9">
        <w:t>povećanje udjela OIE. Na strani prijenosa i distribucije električne i toplinske energije očekuje se daljnje smanjenje gubitaka na razinu razvijenih energetskih sustava do 2030. godine.</w:t>
      </w:r>
    </w:p>
    <w:p w14:paraId="5B6E2FA2" w14:textId="77777777" w:rsidR="00C45761" w:rsidRDefault="00C45761" w:rsidP="00C45761">
      <w:r>
        <w:t>Projekcije neposredne potrošnje svih oblika energije uzimaju u obzir povratne utjecaje očekivanih klimatskih promjena na načine i dinamiku potrošnje različitih oblika energije (npr. promjene u sezonskom načinu korištenja energije, promjena potreba za grijanjem i hlađenjem prostora i sl.). Potrošnja energije i pokretački parametri (npr. broj i struktura stanovnika, struktura BDP- a i dr.) obrađeni su podjelom teritorija RH na dva zemljopisna područja – kontinentalna Hrvatska i jadranska Hrvatska (službene statističke regije).</w:t>
      </w:r>
    </w:p>
    <w:p w14:paraId="2D26454D" w14:textId="77777777" w:rsidR="00C45761" w:rsidRDefault="00C45761" w:rsidP="00C45761">
      <w:r>
        <w:t xml:space="preserve">Polazeći od raspoloživosti lokalnih resursa i izvora primarnih oblika energije, analizirana je mogućnosti zadovoljenja potreba svim oblicima energije (npr. toplinska, električna, prirodni plin, biomasa i dr.). Za umrežene sustave (npr. električna energija, prirodni plin) provedena je analiza i optimizacija rada i razvoja sustava proizvodnje, prijenosa/transporta i distribucije energije do krajnjih korisnika po načelu minimalnog troška, a uzimajući u obzir ograničenja utjecaja na okoliš (uključivo emisije stakleničkih plinova), strateške odrednice u dijelu sigurnosti opskrbe energijom i utjecaj sudjelovanja u radu regionalnog tržišta (moguća suradnja u iskorištenju regionalnog energetskog potencijala i dijeljenje infrastrukture). Uzeti su u obzir raspoloživost i stanje postojeće energetske infrastrukture, potrebna zamjena elemenata i izgradnja novih elemenata sustava (npr. elektrane, dalekovodi, cjevovodi i dr.). </w:t>
      </w:r>
    </w:p>
    <w:p w14:paraId="303D6095" w14:textId="77777777" w:rsidR="00C45761" w:rsidRDefault="00C45761" w:rsidP="00C45761">
      <w:r>
        <w:t>Korišten je model MESSAGE za optimizaciju sustava električne energije i centraliziranih toplinskih sustava (u dijelu proizvodnje toplinske energije), kao i model PLEXOS za analizu/potvrdu ostvarivosti rada EES-a na satnoj razini u odabranim karakterističnim godinama.</w:t>
      </w:r>
    </w:p>
    <w:p w14:paraId="3DAF0427" w14:textId="77777777" w:rsidR="00C45761" w:rsidRPr="0060576D" w:rsidRDefault="00C45761" w:rsidP="00C45761">
      <w:r>
        <w:t>Konverzijske faktore prikazuje donja tablica.</w:t>
      </w:r>
    </w:p>
    <w:p w14:paraId="7E3F25B4" w14:textId="4E7014AA" w:rsidR="00C45761" w:rsidRDefault="00C45761" w:rsidP="00C45761">
      <w:pPr>
        <w:pStyle w:val="Caption"/>
      </w:pPr>
      <w:bookmarkStart w:id="436" w:name="_Toc27396216"/>
      <w:r>
        <w:t xml:space="preserve">Tablica </w:t>
      </w:r>
      <w:fldSimple w:instr=" STYLEREF 1 \s ">
        <w:r w:rsidR="00154150">
          <w:rPr>
            <w:noProof/>
          </w:rPr>
          <w:t>4</w:t>
        </w:r>
      </w:fldSimple>
      <w:r>
        <w:t>–</w:t>
      </w:r>
      <w:fldSimple w:instr=" SEQ Tablica \* ARABIC \s 1 ">
        <w:r w:rsidR="00154150">
          <w:rPr>
            <w:noProof/>
          </w:rPr>
          <w:t>2</w:t>
        </w:r>
      </w:fldSimple>
      <w:r>
        <w:tab/>
        <w:t>Pregled korištenih konverzijskih faktora</w:t>
      </w:r>
      <w:bookmarkEnd w:id="436"/>
    </w:p>
    <w:tbl>
      <w:tblPr>
        <w:tblStyle w:val="Svijetlatablicareetke11"/>
        <w:tblW w:w="5000" w:type="pct"/>
        <w:tblLook w:val="04A0" w:firstRow="1" w:lastRow="0" w:firstColumn="1" w:lastColumn="0" w:noHBand="0" w:noVBand="1"/>
      </w:tblPr>
      <w:tblGrid>
        <w:gridCol w:w="3256"/>
        <w:gridCol w:w="1276"/>
        <w:gridCol w:w="2265"/>
        <w:gridCol w:w="2263"/>
      </w:tblGrid>
      <w:tr w:rsidR="00C45761" w:rsidRPr="00382856" w14:paraId="5A1731A3" w14:textId="77777777" w:rsidTr="006B3F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shd w:val="clear" w:color="auto" w:fill="DEEAF6" w:themeFill="accent1" w:themeFillTint="33"/>
          </w:tcPr>
          <w:p w14:paraId="57966CEA" w14:textId="77777777" w:rsidR="00C45761" w:rsidRPr="00382856" w:rsidRDefault="00C45761" w:rsidP="006B3FBE">
            <w:pPr>
              <w:spacing w:before="0" w:after="0" w:line="240" w:lineRule="auto"/>
              <w:rPr>
                <w:rFonts w:cstheme="minorHAnsi"/>
                <w:sz w:val="20"/>
                <w:szCs w:val="20"/>
              </w:rPr>
            </w:pPr>
          </w:p>
        </w:tc>
        <w:tc>
          <w:tcPr>
            <w:tcW w:w="0" w:type="pct"/>
            <w:shd w:val="clear" w:color="auto" w:fill="DEEAF6" w:themeFill="accent1" w:themeFillTint="33"/>
          </w:tcPr>
          <w:p w14:paraId="40DD3708" w14:textId="77777777" w:rsidR="00C45761" w:rsidRPr="00382856" w:rsidRDefault="00C45761" w:rsidP="006B3FB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82856">
              <w:rPr>
                <w:sz w:val="20"/>
                <w:szCs w:val="20"/>
              </w:rPr>
              <w:t>Jedinica</w:t>
            </w:r>
          </w:p>
        </w:tc>
        <w:tc>
          <w:tcPr>
            <w:tcW w:w="0" w:type="pct"/>
            <w:shd w:val="clear" w:color="auto" w:fill="DEEAF6" w:themeFill="accent1" w:themeFillTint="33"/>
          </w:tcPr>
          <w:p w14:paraId="01950893" w14:textId="77777777" w:rsidR="00C45761" w:rsidRPr="00382856" w:rsidRDefault="00C45761" w:rsidP="006B3FB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82856">
              <w:rPr>
                <w:sz w:val="20"/>
                <w:szCs w:val="20"/>
              </w:rPr>
              <w:t>MJ</w:t>
            </w:r>
          </w:p>
        </w:tc>
        <w:tc>
          <w:tcPr>
            <w:tcW w:w="0" w:type="pct"/>
            <w:shd w:val="clear" w:color="auto" w:fill="DEEAF6" w:themeFill="accent1" w:themeFillTint="33"/>
          </w:tcPr>
          <w:p w14:paraId="4D769AA3" w14:textId="77777777" w:rsidR="00C45761" w:rsidRPr="00382856" w:rsidRDefault="00C45761" w:rsidP="006B3FB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82856">
              <w:rPr>
                <w:sz w:val="20"/>
                <w:szCs w:val="20"/>
              </w:rPr>
              <w:t>kgen</w:t>
            </w:r>
          </w:p>
        </w:tc>
      </w:tr>
      <w:tr w:rsidR="00C45761" w:rsidRPr="00382856" w14:paraId="1EE0A66E"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46D81806"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Kameni ugljen</w:t>
            </w:r>
          </w:p>
        </w:tc>
        <w:tc>
          <w:tcPr>
            <w:tcW w:w="704" w:type="pct"/>
          </w:tcPr>
          <w:p w14:paraId="6B1E87E7" w14:textId="77777777" w:rsidR="00C45761" w:rsidRPr="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0D508E13" w14:textId="77777777" w:rsidR="00C45761" w:rsidRPr="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24,28-29,31</w:t>
            </w:r>
          </w:p>
        </w:tc>
        <w:tc>
          <w:tcPr>
            <w:tcW w:w="1249" w:type="pct"/>
          </w:tcPr>
          <w:p w14:paraId="66672AC5" w14:textId="77777777" w:rsidR="00C45761" w:rsidRPr="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0,580-0,700</w:t>
            </w:r>
          </w:p>
        </w:tc>
      </w:tr>
      <w:tr w:rsidR="00C45761" w:rsidRPr="00382856" w14:paraId="794D4504"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2B5D7BCA"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Kameni ugljen za koksiranje</w:t>
            </w:r>
          </w:p>
        </w:tc>
        <w:tc>
          <w:tcPr>
            <w:tcW w:w="704" w:type="pct"/>
          </w:tcPr>
          <w:p w14:paraId="3C62C634"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45AA038"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29,31</w:t>
            </w:r>
          </w:p>
        </w:tc>
        <w:tc>
          <w:tcPr>
            <w:tcW w:w="1249" w:type="pct"/>
          </w:tcPr>
          <w:p w14:paraId="13C14A54"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0,700</w:t>
            </w:r>
          </w:p>
        </w:tc>
      </w:tr>
      <w:tr w:rsidR="00C45761" w:rsidRPr="00382856" w14:paraId="302B81FB"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245D95C1"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Mrki ugljen</w:t>
            </w:r>
          </w:p>
        </w:tc>
        <w:tc>
          <w:tcPr>
            <w:tcW w:w="704" w:type="pct"/>
          </w:tcPr>
          <w:p w14:paraId="3546C4C9"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76F82B48"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16,75-19,26</w:t>
            </w:r>
          </w:p>
        </w:tc>
        <w:tc>
          <w:tcPr>
            <w:tcW w:w="1249" w:type="pct"/>
          </w:tcPr>
          <w:p w14:paraId="29A16850"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0,400-0,460</w:t>
            </w:r>
          </w:p>
        </w:tc>
      </w:tr>
      <w:tr w:rsidR="00C45761" w:rsidRPr="00382856" w14:paraId="7C40D2F8"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10264783"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Lignit</w:t>
            </w:r>
          </w:p>
        </w:tc>
        <w:tc>
          <w:tcPr>
            <w:tcW w:w="704" w:type="pct"/>
          </w:tcPr>
          <w:p w14:paraId="27923173"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2E7FDFD8"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9,63-12,56</w:t>
            </w:r>
          </w:p>
        </w:tc>
        <w:tc>
          <w:tcPr>
            <w:tcW w:w="1249" w:type="pct"/>
          </w:tcPr>
          <w:p w14:paraId="7ABB3DDA"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0,230-0,300</w:t>
            </w:r>
          </w:p>
        </w:tc>
      </w:tr>
      <w:tr w:rsidR="00C45761" w:rsidRPr="00382856" w14:paraId="6864D86A"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5DEA812F"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Koks</w:t>
            </w:r>
          </w:p>
        </w:tc>
        <w:tc>
          <w:tcPr>
            <w:tcW w:w="704" w:type="pct"/>
          </w:tcPr>
          <w:p w14:paraId="086AC31E"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02CBFD9D"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26,38-29,31</w:t>
            </w:r>
          </w:p>
        </w:tc>
        <w:tc>
          <w:tcPr>
            <w:tcW w:w="1249" w:type="pct"/>
          </w:tcPr>
          <w:p w14:paraId="66CD2DD9"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0,630-0,700</w:t>
            </w:r>
          </w:p>
        </w:tc>
      </w:tr>
      <w:tr w:rsidR="00C45761" w:rsidRPr="00382856" w14:paraId="741D3586"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7FCF51A4"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Ogrjevno drvo</w:t>
            </w:r>
          </w:p>
        </w:tc>
        <w:tc>
          <w:tcPr>
            <w:tcW w:w="704" w:type="pct"/>
          </w:tcPr>
          <w:p w14:paraId="4F7BF970"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dm</w:t>
            </w:r>
            <w:r w:rsidRPr="000C4A55">
              <w:rPr>
                <w:rFonts w:cs="Arial"/>
                <w:sz w:val="20"/>
                <w:szCs w:val="20"/>
                <w:vertAlign w:val="superscript"/>
              </w:rPr>
              <w:t>3</w:t>
            </w:r>
          </w:p>
        </w:tc>
        <w:tc>
          <w:tcPr>
            <w:tcW w:w="1250" w:type="pct"/>
          </w:tcPr>
          <w:p w14:paraId="621D1713"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9,00</w:t>
            </w:r>
          </w:p>
        </w:tc>
        <w:tc>
          <w:tcPr>
            <w:tcW w:w="1249" w:type="pct"/>
          </w:tcPr>
          <w:p w14:paraId="110B287E"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0,215</w:t>
            </w:r>
          </w:p>
        </w:tc>
      </w:tr>
      <w:tr w:rsidR="00C45761" w:rsidRPr="00382856" w14:paraId="0750575A"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1F9B4806"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Biodizel</w:t>
            </w:r>
          </w:p>
        </w:tc>
        <w:tc>
          <w:tcPr>
            <w:tcW w:w="704" w:type="pct"/>
          </w:tcPr>
          <w:p w14:paraId="2326C8DA"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21F40F4A"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36,90</w:t>
            </w:r>
          </w:p>
        </w:tc>
        <w:tc>
          <w:tcPr>
            <w:tcW w:w="1249" w:type="pct"/>
          </w:tcPr>
          <w:p w14:paraId="2AFB5749"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0,884</w:t>
            </w:r>
          </w:p>
        </w:tc>
      </w:tr>
      <w:tr w:rsidR="00C45761" w:rsidRPr="00382856" w14:paraId="0B0E7BAD"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3033C447"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Bioetanol</w:t>
            </w:r>
          </w:p>
        </w:tc>
        <w:tc>
          <w:tcPr>
            <w:tcW w:w="704" w:type="pct"/>
          </w:tcPr>
          <w:p w14:paraId="4CFDB48E"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C04807B"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26,67</w:t>
            </w:r>
          </w:p>
        </w:tc>
        <w:tc>
          <w:tcPr>
            <w:tcW w:w="1249" w:type="pct"/>
          </w:tcPr>
          <w:p w14:paraId="13C1C0C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0,637</w:t>
            </w:r>
          </w:p>
        </w:tc>
      </w:tr>
      <w:tr w:rsidR="00C45761" w:rsidRPr="00382856" w14:paraId="7CF12D7E"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45AB5159"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Deponijski plin</w:t>
            </w:r>
          </w:p>
        </w:tc>
        <w:tc>
          <w:tcPr>
            <w:tcW w:w="704" w:type="pct"/>
          </w:tcPr>
          <w:p w14:paraId="585C9155"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72404716"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17,00</w:t>
            </w:r>
          </w:p>
        </w:tc>
        <w:tc>
          <w:tcPr>
            <w:tcW w:w="1249" w:type="pct"/>
          </w:tcPr>
          <w:p w14:paraId="26F415B3"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0,406</w:t>
            </w:r>
          </w:p>
        </w:tc>
      </w:tr>
      <w:tr w:rsidR="00C45761" w:rsidRPr="00382856" w14:paraId="62E18C17"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4B6B4730"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Bioplin</w:t>
            </w:r>
          </w:p>
        </w:tc>
        <w:tc>
          <w:tcPr>
            <w:tcW w:w="704" w:type="pct"/>
          </w:tcPr>
          <w:p w14:paraId="6D96E58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50F19915"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18-20</w:t>
            </w:r>
          </w:p>
        </w:tc>
        <w:tc>
          <w:tcPr>
            <w:tcW w:w="1249" w:type="pct"/>
          </w:tcPr>
          <w:p w14:paraId="5F8A9777"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0,430-0,478</w:t>
            </w:r>
          </w:p>
        </w:tc>
      </w:tr>
      <w:tr w:rsidR="00C45761" w:rsidRPr="00382856" w14:paraId="1A058684"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01C842B9"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Prirodni plin</w:t>
            </w:r>
          </w:p>
        </w:tc>
        <w:tc>
          <w:tcPr>
            <w:tcW w:w="704" w:type="pct"/>
          </w:tcPr>
          <w:p w14:paraId="7AB46A0D"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7655736D"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34-35,88</w:t>
            </w:r>
          </w:p>
        </w:tc>
        <w:tc>
          <w:tcPr>
            <w:tcW w:w="1249" w:type="pct"/>
          </w:tcPr>
          <w:p w14:paraId="473A135C"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0,812-0,857</w:t>
            </w:r>
          </w:p>
        </w:tc>
      </w:tr>
      <w:tr w:rsidR="00C45761" w:rsidRPr="00382856" w14:paraId="5E9717B5"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6106447A"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Sirova nafta</w:t>
            </w:r>
          </w:p>
        </w:tc>
        <w:tc>
          <w:tcPr>
            <w:tcW w:w="704" w:type="pct"/>
          </w:tcPr>
          <w:p w14:paraId="487DE3F2"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209E9CC6"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42,40</w:t>
            </w:r>
          </w:p>
        </w:tc>
        <w:tc>
          <w:tcPr>
            <w:tcW w:w="1249" w:type="pct"/>
          </w:tcPr>
          <w:p w14:paraId="7FF113F2"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1,013</w:t>
            </w:r>
          </w:p>
        </w:tc>
      </w:tr>
      <w:tr w:rsidR="00C45761" w:rsidRPr="00382856" w14:paraId="1FE73703"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65757110"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Ukapljeni plin</w:t>
            </w:r>
          </w:p>
        </w:tc>
        <w:tc>
          <w:tcPr>
            <w:tcW w:w="704" w:type="pct"/>
          </w:tcPr>
          <w:p w14:paraId="657F6BB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64555EAB"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46,89</w:t>
            </w:r>
          </w:p>
        </w:tc>
        <w:tc>
          <w:tcPr>
            <w:tcW w:w="1249" w:type="pct"/>
          </w:tcPr>
          <w:p w14:paraId="3A1DAF9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1,120</w:t>
            </w:r>
          </w:p>
        </w:tc>
      </w:tr>
      <w:tr w:rsidR="00C45761" w:rsidRPr="00382856" w14:paraId="096E67A1"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0436362D"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Motorni benzin</w:t>
            </w:r>
          </w:p>
        </w:tc>
        <w:tc>
          <w:tcPr>
            <w:tcW w:w="704" w:type="pct"/>
          </w:tcPr>
          <w:p w14:paraId="2EC905C9"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70EFB4A7"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44,59</w:t>
            </w:r>
          </w:p>
        </w:tc>
        <w:tc>
          <w:tcPr>
            <w:tcW w:w="1249" w:type="pct"/>
          </w:tcPr>
          <w:p w14:paraId="36F25332"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1,065</w:t>
            </w:r>
          </w:p>
        </w:tc>
      </w:tr>
      <w:tr w:rsidR="00C45761" w:rsidRPr="00382856" w14:paraId="033F2404"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6B8A4362"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Primarni benzin</w:t>
            </w:r>
          </w:p>
        </w:tc>
        <w:tc>
          <w:tcPr>
            <w:tcW w:w="704" w:type="pct"/>
          </w:tcPr>
          <w:p w14:paraId="3247F3C6"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0D5FBF6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44,59</w:t>
            </w:r>
          </w:p>
        </w:tc>
        <w:tc>
          <w:tcPr>
            <w:tcW w:w="1249" w:type="pct"/>
          </w:tcPr>
          <w:p w14:paraId="2D3FCA42"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1,065</w:t>
            </w:r>
          </w:p>
        </w:tc>
      </w:tr>
      <w:tr w:rsidR="00C45761" w:rsidRPr="00382856" w14:paraId="000A64A3"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28555F5B"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Petrolej</w:t>
            </w:r>
          </w:p>
        </w:tc>
        <w:tc>
          <w:tcPr>
            <w:tcW w:w="704" w:type="pct"/>
          </w:tcPr>
          <w:p w14:paraId="6E37FED9"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7538C50A"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43,96</w:t>
            </w:r>
          </w:p>
        </w:tc>
        <w:tc>
          <w:tcPr>
            <w:tcW w:w="1249" w:type="pct"/>
          </w:tcPr>
          <w:p w14:paraId="1DEBF45D"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1,050</w:t>
            </w:r>
          </w:p>
        </w:tc>
      </w:tr>
      <w:tr w:rsidR="00C45761" w:rsidRPr="00382856" w14:paraId="2864DD76"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29C37451"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Mlazno gorivo</w:t>
            </w:r>
          </w:p>
        </w:tc>
        <w:tc>
          <w:tcPr>
            <w:tcW w:w="704" w:type="pct"/>
          </w:tcPr>
          <w:p w14:paraId="4A521C9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4B20D508"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43,96</w:t>
            </w:r>
          </w:p>
        </w:tc>
        <w:tc>
          <w:tcPr>
            <w:tcW w:w="1249" w:type="pct"/>
          </w:tcPr>
          <w:p w14:paraId="45996282"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1,050</w:t>
            </w:r>
          </w:p>
        </w:tc>
      </w:tr>
      <w:tr w:rsidR="00C45761" w:rsidRPr="00382856" w14:paraId="3B0C58BB"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4090AF3D"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Ekstralako loživo ulje</w:t>
            </w:r>
          </w:p>
        </w:tc>
        <w:tc>
          <w:tcPr>
            <w:tcW w:w="704" w:type="pct"/>
          </w:tcPr>
          <w:p w14:paraId="099F99EB"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4AE08F48"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42,71</w:t>
            </w:r>
          </w:p>
        </w:tc>
        <w:tc>
          <w:tcPr>
            <w:tcW w:w="1249" w:type="pct"/>
          </w:tcPr>
          <w:p w14:paraId="23E59EDD"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1,020</w:t>
            </w:r>
          </w:p>
        </w:tc>
      </w:tr>
      <w:tr w:rsidR="00C45761" w:rsidRPr="00382856" w14:paraId="59EBC75D"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63B4CC9B"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Dizelsko gorivo</w:t>
            </w:r>
          </w:p>
        </w:tc>
        <w:tc>
          <w:tcPr>
            <w:tcW w:w="704" w:type="pct"/>
          </w:tcPr>
          <w:p w14:paraId="2A1A4BD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4DDD83A0"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42,71</w:t>
            </w:r>
          </w:p>
        </w:tc>
        <w:tc>
          <w:tcPr>
            <w:tcW w:w="1249" w:type="pct"/>
          </w:tcPr>
          <w:p w14:paraId="460F7441"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1,020</w:t>
            </w:r>
          </w:p>
        </w:tc>
      </w:tr>
      <w:tr w:rsidR="00C45761" w:rsidRPr="00382856" w14:paraId="0E9D3D86"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454C2E40"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Loživo ulje</w:t>
            </w:r>
          </w:p>
        </w:tc>
        <w:tc>
          <w:tcPr>
            <w:tcW w:w="704" w:type="pct"/>
          </w:tcPr>
          <w:p w14:paraId="16972392"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F3C551B"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40,19</w:t>
            </w:r>
          </w:p>
        </w:tc>
        <w:tc>
          <w:tcPr>
            <w:tcW w:w="1249" w:type="pct"/>
          </w:tcPr>
          <w:p w14:paraId="0899C813"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0,960</w:t>
            </w:r>
          </w:p>
        </w:tc>
      </w:tr>
      <w:tr w:rsidR="00C45761" w:rsidRPr="00382856" w14:paraId="13069165"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414DEF22"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Naftni koks</w:t>
            </w:r>
          </w:p>
        </w:tc>
        <w:tc>
          <w:tcPr>
            <w:tcW w:w="704" w:type="pct"/>
          </w:tcPr>
          <w:p w14:paraId="65DBC0B1"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A7C423C"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31,0</w:t>
            </w:r>
          </w:p>
        </w:tc>
        <w:tc>
          <w:tcPr>
            <w:tcW w:w="1249" w:type="pct"/>
          </w:tcPr>
          <w:p w14:paraId="4C05BBE8"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0,740</w:t>
            </w:r>
          </w:p>
        </w:tc>
      </w:tr>
      <w:tr w:rsidR="00C45761" w:rsidRPr="00382856" w14:paraId="0F731828"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7E04888F"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Ostali derivati</w:t>
            </w:r>
          </w:p>
        </w:tc>
        <w:tc>
          <w:tcPr>
            <w:tcW w:w="704" w:type="pct"/>
          </w:tcPr>
          <w:p w14:paraId="0EF7D0FC"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541910EA"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33,49-40,19</w:t>
            </w:r>
          </w:p>
        </w:tc>
        <w:tc>
          <w:tcPr>
            <w:tcW w:w="1249" w:type="pct"/>
          </w:tcPr>
          <w:p w14:paraId="60AAB1C7"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0,800-0,960</w:t>
            </w:r>
          </w:p>
        </w:tc>
      </w:tr>
      <w:tr w:rsidR="00C45761" w:rsidRPr="00382856" w14:paraId="263DC4C0"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4D72697B"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Rafinerijski plin</w:t>
            </w:r>
          </w:p>
        </w:tc>
        <w:tc>
          <w:tcPr>
            <w:tcW w:w="704" w:type="pct"/>
          </w:tcPr>
          <w:p w14:paraId="3945814E"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3A7E5D36"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48,57</w:t>
            </w:r>
          </w:p>
        </w:tc>
        <w:tc>
          <w:tcPr>
            <w:tcW w:w="1249" w:type="pct"/>
          </w:tcPr>
          <w:p w14:paraId="1CCAAC39"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1,160</w:t>
            </w:r>
          </w:p>
        </w:tc>
      </w:tr>
      <w:tr w:rsidR="00C45761" w:rsidRPr="00382856" w14:paraId="74839031"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2AB1BC83"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Etan</w:t>
            </w:r>
          </w:p>
        </w:tc>
        <w:tc>
          <w:tcPr>
            <w:tcW w:w="704" w:type="pct"/>
          </w:tcPr>
          <w:p w14:paraId="7F99C15B"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kg</w:t>
            </w:r>
          </w:p>
        </w:tc>
        <w:tc>
          <w:tcPr>
            <w:tcW w:w="1250" w:type="pct"/>
          </w:tcPr>
          <w:p w14:paraId="489BC31C"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47,31</w:t>
            </w:r>
          </w:p>
        </w:tc>
        <w:tc>
          <w:tcPr>
            <w:tcW w:w="1249" w:type="pct"/>
          </w:tcPr>
          <w:p w14:paraId="1A98D72D"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1,130</w:t>
            </w:r>
          </w:p>
        </w:tc>
      </w:tr>
      <w:tr w:rsidR="00C45761" w:rsidRPr="00382856" w14:paraId="4C86DC4E"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763FA680"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Koksni plin</w:t>
            </w:r>
          </w:p>
        </w:tc>
        <w:tc>
          <w:tcPr>
            <w:tcW w:w="704" w:type="pct"/>
          </w:tcPr>
          <w:p w14:paraId="02E382B3"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6D19CCCA"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17,91</w:t>
            </w:r>
          </w:p>
        </w:tc>
        <w:tc>
          <w:tcPr>
            <w:tcW w:w="1249" w:type="pct"/>
          </w:tcPr>
          <w:p w14:paraId="11D25155"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0,428</w:t>
            </w:r>
          </w:p>
        </w:tc>
      </w:tr>
      <w:tr w:rsidR="00C45761" w:rsidRPr="00382856" w14:paraId="484E7773"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6CBE7F8A"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Gradski plin</w:t>
            </w:r>
          </w:p>
        </w:tc>
        <w:tc>
          <w:tcPr>
            <w:tcW w:w="704" w:type="pct"/>
          </w:tcPr>
          <w:p w14:paraId="632FBDDA"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3993439D"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27,76</w:t>
            </w:r>
          </w:p>
        </w:tc>
        <w:tc>
          <w:tcPr>
            <w:tcW w:w="1249" w:type="pct"/>
          </w:tcPr>
          <w:p w14:paraId="6195BBB2"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0,663</w:t>
            </w:r>
          </w:p>
        </w:tc>
      </w:tr>
      <w:tr w:rsidR="00C45761" w:rsidRPr="00382856" w14:paraId="656004BD"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0549642D"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Visokopećni plin</w:t>
            </w:r>
          </w:p>
        </w:tc>
        <w:tc>
          <w:tcPr>
            <w:tcW w:w="704" w:type="pct"/>
          </w:tcPr>
          <w:p w14:paraId="6B94CD50"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m</w:t>
            </w:r>
            <w:r w:rsidRPr="000C4A55">
              <w:rPr>
                <w:rFonts w:cs="Arial"/>
                <w:sz w:val="20"/>
                <w:szCs w:val="20"/>
                <w:vertAlign w:val="superscript"/>
              </w:rPr>
              <w:t>3</w:t>
            </w:r>
          </w:p>
        </w:tc>
        <w:tc>
          <w:tcPr>
            <w:tcW w:w="1250" w:type="pct"/>
          </w:tcPr>
          <w:p w14:paraId="46957464"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3,60</w:t>
            </w:r>
          </w:p>
        </w:tc>
        <w:tc>
          <w:tcPr>
            <w:tcW w:w="1249" w:type="pct"/>
          </w:tcPr>
          <w:p w14:paraId="6E9F03C1"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0,086</w:t>
            </w:r>
          </w:p>
        </w:tc>
      </w:tr>
      <w:tr w:rsidR="00C45761" w:rsidRPr="00382856" w14:paraId="789528F3" w14:textId="77777777" w:rsidTr="006B3FBE">
        <w:tc>
          <w:tcPr>
            <w:cnfStyle w:val="001000000000" w:firstRow="0" w:lastRow="0" w:firstColumn="1" w:lastColumn="0" w:oddVBand="0" w:evenVBand="0" w:oddHBand="0" w:evenHBand="0" w:firstRowFirstColumn="0" w:firstRowLastColumn="0" w:lastRowFirstColumn="0" w:lastRowLastColumn="0"/>
            <w:tcW w:w="1797" w:type="pct"/>
          </w:tcPr>
          <w:p w14:paraId="2FA2A9CB" w14:textId="77777777" w:rsidR="00C45761" w:rsidRPr="00382856" w:rsidRDefault="00C45761" w:rsidP="006B3FBE">
            <w:pPr>
              <w:spacing w:before="0" w:after="0" w:line="240" w:lineRule="auto"/>
              <w:rPr>
                <w:rFonts w:cstheme="minorHAnsi"/>
                <w:b w:val="0"/>
                <w:sz w:val="20"/>
                <w:szCs w:val="20"/>
              </w:rPr>
            </w:pPr>
            <w:r w:rsidRPr="000C4A55">
              <w:rPr>
                <w:rFonts w:cs="Arial"/>
                <w:sz w:val="20"/>
                <w:szCs w:val="20"/>
              </w:rPr>
              <w:t>Električna energija</w:t>
            </w:r>
          </w:p>
        </w:tc>
        <w:tc>
          <w:tcPr>
            <w:tcW w:w="704" w:type="pct"/>
          </w:tcPr>
          <w:p w14:paraId="0E589024"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kWh</w:t>
            </w:r>
          </w:p>
        </w:tc>
        <w:tc>
          <w:tcPr>
            <w:tcW w:w="1250" w:type="pct"/>
          </w:tcPr>
          <w:p w14:paraId="769E5BD0"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3,60</w:t>
            </w:r>
          </w:p>
        </w:tc>
        <w:tc>
          <w:tcPr>
            <w:tcW w:w="1249" w:type="pct"/>
          </w:tcPr>
          <w:p w14:paraId="3435373F" w14:textId="77777777" w:rsidR="00C45761" w:rsidRPr="00382856" w:rsidDel="00382856" w:rsidRDefault="00C45761" w:rsidP="006B3F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C4A55">
              <w:rPr>
                <w:rFonts w:cs="Arial"/>
                <w:sz w:val="20"/>
                <w:szCs w:val="20"/>
              </w:rPr>
              <w:t>0,086</w:t>
            </w:r>
          </w:p>
        </w:tc>
      </w:tr>
    </w:tbl>
    <w:p w14:paraId="5A355497" w14:textId="77777777" w:rsidR="009335DC" w:rsidRDefault="009335DC" w:rsidP="003204EE"/>
    <w:p w14:paraId="2CC43C3A" w14:textId="77777777" w:rsidR="001D4726" w:rsidRPr="00BE1ECD" w:rsidRDefault="001D4726" w:rsidP="00840E2E">
      <w:pPr>
        <w:pStyle w:val="Heading3"/>
        <w:numPr>
          <w:ilvl w:val="0"/>
          <w:numId w:val="78"/>
        </w:numPr>
      </w:pPr>
      <w:r w:rsidRPr="00BE1ECD">
        <w:t>Globalni energetski trendovi, međunarodne cijene fosilnih goriva, cijena ugljika u okviru sustava EU-a za trgovanje emisijama</w:t>
      </w:r>
    </w:p>
    <w:p w14:paraId="37753069" w14:textId="77777777" w:rsidR="00FE10C9" w:rsidRPr="00462AD9" w:rsidRDefault="00FE10C9" w:rsidP="00FE10C9">
      <w:r w:rsidRPr="00462AD9">
        <w:t xml:space="preserve">Cijene fosilnih goriva do 2050. godine pretpostavljene su u skladu s predviđanjima Međunarodne agencije za energiju (IEA, World Energy Outlook 2017). Promatra se tzv. scenarij „novih politika“ (engl. </w:t>
      </w:r>
      <w:r w:rsidRPr="00462AD9">
        <w:rPr>
          <w:i/>
        </w:rPr>
        <w:t>New Policies Scenario</w:t>
      </w:r>
      <w:r w:rsidRPr="00462AD9">
        <w:t xml:space="preserve">). </w:t>
      </w:r>
    </w:p>
    <w:p w14:paraId="25CEF6C6" w14:textId="63035256" w:rsidR="00FE10C9" w:rsidRPr="00462AD9" w:rsidRDefault="00FE10C9" w:rsidP="00223709">
      <w:pPr>
        <w:pStyle w:val="Caption"/>
        <w:keepNext/>
        <w:spacing w:before="0"/>
      </w:pPr>
      <w:bookmarkStart w:id="437" w:name="_Toc27396217"/>
      <w:r>
        <w:t xml:space="preserve">Tablica </w:t>
      </w:r>
      <w:fldSimple w:instr=" STYLEREF 1 \s ">
        <w:r w:rsidR="00154150">
          <w:rPr>
            <w:noProof/>
          </w:rPr>
          <w:t>4</w:t>
        </w:r>
      </w:fldSimple>
      <w:r w:rsidR="00562DF0">
        <w:t>–</w:t>
      </w:r>
      <w:fldSimple w:instr=" SEQ Tablica \* ARABIC \s 1 ">
        <w:r w:rsidR="00154150">
          <w:rPr>
            <w:noProof/>
          </w:rPr>
          <w:t>3</w:t>
        </w:r>
      </w:fldSimple>
      <w:r w:rsidRPr="00462AD9">
        <w:t>.</w:t>
      </w:r>
      <w:r w:rsidR="00214B02">
        <w:t>:</w:t>
      </w:r>
      <w:r w:rsidRPr="00462AD9">
        <w:t xml:space="preserve"> Cijene fosilnih goriva do 2040. godine</w:t>
      </w:r>
      <w:bookmarkEnd w:id="4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6"/>
        <w:gridCol w:w="1739"/>
        <w:gridCol w:w="717"/>
        <w:gridCol w:w="717"/>
        <w:gridCol w:w="717"/>
        <w:gridCol w:w="717"/>
        <w:gridCol w:w="717"/>
        <w:gridCol w:w="717"/>
        <w:gridCol w:w="717"/>
      </w:tblGrid>
      <w:tr w:rsidR="00FE10C9" w:rsidRPr="00462AD9" w14:paraId="4DF953EE" w14:textId="77777777" w:rsidTr="00725326">
        <w:trPr>
          <w:trHeight w:val="300"/>
        </w:trPr>
        <w:tc>
          <w:tcPr>
            <w:tcW w:w="0" w:type="auto"/>
            <w:gridSpan w:val="9"/>
            <w:shd w:val="clear" w:color="auto" w:fill="DEEAF6" w:themeFill="accent1" w:themeFillTint="33"/>
            <w:vAlign w:val="bottom"/>
            <w:hideMark/>
          </w:tcPr>
          <w:p w14:paraId="0FDDE07A" w14:textId="77777777" w:rsidR="00FE10C9" w:rsidRPr="00462AD9" w:rsidRDefault="00FE10C9" w:rsidP="00FE10C9">
            <w:pPr>
              <w:keepNext/>
              <w:spacing w:before="0" w:after="0" w:line="240" w:lineRule="auto"/>
              <w:rPr>
                <w:rFonts w:cs="Arial"/>
                <w:sz w:val="20"/>
                <w:szCs w:val="20"/>
              </w:rPr>
            </w:pPr>
            <w:r w:rsidRPr="00462AD9">
              <w:rPr>
                <w:rFonts w:cs="Arial"/>
                <w:b/>
                <w:color w:val="000000"/>
                <w:sz w:val="20"/>
                <w:szCs w:val="20"/>
              </w:rPr>
              <w:t>IEA – Scenarij „Novih politika“ (New policies scenario)</w:t>
            </w:r>
          </w:p>
        </w:tc>
      </w:tr>
      <w:tr w:rsidR="00FE10C9" w:rsidRPr="00462AD9" w14:paraId="4B22D3AE" w14:textId="77777777" w:rsidTr="00FE10C9">
        <w:trPr>
          <w:trHeight w:val="300"/>
        </w:trPr>
        <w:tc>
          <w:tcPr>
            <w:tcW w:w="0" w:type="auto"/>
            <w:shd w:val="clear" w:color="auto" w:fill="auto"/>
            <w:vAlign w:val="bottom"/>
            <w:hideMark/>
          </w:tcPr>
          <w:p w14:paraId="7115A05C" w14:textId="77777777" w:rsidR="00FE10C9" w:rsidRPr="00462AD9" w:rsidRDefault="00FE10C9" w:rsidP="00FE10C9">
            <w:pPr>
              <w:keepNext/>
              <w:spacing w:before="0" w:after="0" w:line="240" w:lineRule="auto"/>
              <w:jc w:val="center"/>
              <w:rPr>
                <w:rFonts w:cs="Arial"/>
                <w:b/>
                <w:i/>
                <w:color w:val="000000" w:themeColor="text1"/>
                <w:sz w:val="20"/>
                <w:szCs w:val="20"/>
              </w:rPr>
            </w:pPr>
            <w:r w:rsidRPr="00462AD9">
              <w:rPr>
                <w:rFonts w:cs="Arial"/>
                <w:b/>
                <w:i/>
                <w:color w:val="000000"/>
                <w:sz w:val="20"/>
                <w:szCs w:val="20"/>
              </w:rPr>
              <w:t>USD 2016. godine</w:t>
            </w:r>
          </w:p>
        </w:tc>
        <w:tc>
          <w:tcPr>
            <w:tcW w:w="0" w:type="auto"/>
            <w:shd w:val="clear" w:color="auto" w:fill="auto"/>
            <w:vAlign w:val="bottom"/>
            <w:hideMark/>
          </w:tcPr>
          <w:p w14:paraId="65B5CD86" w14:textId="77777777" w:rsidR="00FE10C9" w:rsidRPr="00462AD9" w:rsidRDefault="00FE10C9" w:rsidP="00FE10C9">
            <w:pPr>
              <w:keepNext/>
              <w:spacing w:before="0" w:after="0" w:line="240" w:lineRule="auto"/>
              <w:jc w:val="center"/>
              <w:rPr>
                <w:rFonts w:cs="Arial"/>
                <w:b/>
                <w:i/>
                <w:color w:val="000000" w:themeColor="text1"/>
                <w:sz w:val="20"/>
                <w:szCs w:val="20"/>
              </w:rPr>
            </w:pPr>
            <w:r w:rsidRPr="00462AD9">
              <w:rPr>
                <w:rFonts w:cs="Arial"/>
                <w:b/>
                <w:i/>
                <w:color w:val="000000"/>
                <w:sz w:val="20"/>
                <w:szCs w:val="20"/>
              </w:rPr>
              <w:t>Gorivo</w:t>
            </w:r>
          </w:p>
        </w:tc>
        <w:tc>
          <w:tcPr>
            <w:tcW w:w="0" w:type="auto"/>
            <w:shd w:val="clear" w:color="auto" w:fill="auto"/>
            <w:vAlign w:val="bottom"/>
            <w:hideMark/>
          </w:tcPr>
          <w:p w14:paraId="0A9A814C"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2000.</w:t>
            </w:r>
          </w:p>
        </w:tc>
        <w:tc>
          <w:tcPr>
            <w:tcW w:w="0" w:type="auto"/>
            <w:shd w:val="clear" w:color="auto" w:fill="auto"/>
            <w:vAlign w:val="bottom"/>
            <w:hideMark/>
          </w:tcPr>
          <w:p w14:paraId="645EFE80"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2010.</w:t>
            </w:r>
          </w:p>
        </w:tc>
        <w:tc>
          <w:tcPr>
            <w:tcW w:w="0" w:type="auto"/>
            <w:shd w:val="clear" w:color="auto" w:fill="auto"/>
            <w:vAlign w:val="bottom"/>
            <w:hideMark/>
          </w:tcPr>
          <w:p w14:paraId="2B564FB0"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2016.</w:t>
            </w:r>
          </w:p>
        </w:tc>
        <w:tc>
          <w:tcPr>
            <w:tcW w:w="0" w:type="auto"/>
            <w:shd w:val="clear" w:color="auto" w:fill="auto"/>
            <w:vAlign w:val="bottom"/>
            <w:hideMark/>
          </w:tcPr>
          <w:p w14:paraId="293BEEF3"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2025.</w:t>
            </w:r>
          </w:p>
        </w:tc>
        <w:tc>
          <w:tcPr>
            <w:tcW w:w="0" w:type="auto"/>
            <w:shd w:val="clear" w:color="auto" w:fill="auto"/>
            <w:vAlign w:val="bottom"/>
            <w:hideMark/>
          </w:tcPr>
          <w:p w14:paraId="7B4ABC36"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2030.</w:t>
            </w:r>
          </w:p>
        </w:tc>
        <w:tc>
          <w:tcPr>
            <w:tcW w:w="0" w:type="auto"/>
            <w:shd w:val="clear" w:color="auto" w:fill="auto"/>
            <w:vAlign w:val="bottom"/>
            <w:hideMark/>
          </w:tcPr>
          <w:p w14:paraId="7D235EF2"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2035.</w:t>
            </w:r>
          </w:p>
        </w:tc>
        <w:tc>
          <w:tcPr>
            <w:tcW w:w="0" w:type="auto"/>
            <w:shd w:val="clear" w:color="auto" w:fill="auto"/>
            <w:vAlign w:val="bottom"/>
            <w:hideMark/>
          </w:tcPr>
          <w:p w14:paraId="50FE6984" w14:textId="77777777" w:rsidR="00FE10C9" w:rsidRPr="00462AD9" w:rsidRDefault="00FE10C9" w:rsidP="00FE10C9">
            <w:pPr>
              <w:keepNext/>
              <w:spacing w:before="0" w:after="0" w:line="240" w:lineRule="auto"/>
              <w:jc w:val="right"/>
              <w:rPr>
                <w:rFonts w:cs="Arial"/>
                <w:b/>
                <w:color w:val="000000" w:themeColor="text1"/>
                <w:sz w:val="20"/>
                <w:szCs w:val="20"/>
              </w:rPr>
            </w:pPr>
            <w:r w:rsidRPr="00462AD9">
              <w:rPr>
                <w:rFonts w:cs="Arial"/>
                <w:b/>
                <w:color w:val="000000"/>
                <w:sz w:val="20"/>
                <w:szCs w:val="20"/>
              </w:rPr>
              <w:t>2040.</w:t>
            </w:r>
          </w:p>
        </w:tc>
      </w:tr>
      <w:tr w:rsidR="00FE10C9" w:rsidRPr="00462AD9" w14:paraId="2E5A8E4E" w14:textId="77777777" w:rsidTr="00FE10C9">
        <w:trPr>
          <w:trHeight w:val="300"/>
        </w:trPr>
        <w:tc>
          <w:tcPr>
            <w:tcW w:w="0" w:type="auto"/>
            <w:shd w:val="clear" w:color="auto" w:fill="auto"/>
            <w:vAlign w:val="bottom"/>
            <w:hideMark/>
          </w:tcPr>
          <w:p w14:paraId="121F952D"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USD/barrel</w:t>
            </w:r>
          </w:p>
        </w:tc>
        <w:tc>
          <w:tcPr>
            <w:tcW w:w="0" w:type="auto"/>
            <w:shd w:val="clear" w:color="auto" w:fill="auto"/>
            <w:vAlign w:val="bottom"/>
            <w:hideMark/>
          </w:tcPr>
          <w:p w14:paraId="60AAA674"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Sirova nafta</w:t>
            </w:r>
          </w:p>
        </w:tc>
        <w:tc>
          <w:tcPr>
            <w:tcW w:w="0" w:type="auto"/>
            <w:shd w:val="clear" w:color="auto" w:fill="auto"/>
            <w:vAlign w:val="bottom"/>
            <w:hideMark/>
          </w:tcPr>
          <w:p w14:paraId="0DC09872"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38</w:t>
            </w:r>
          </w:p>
        </w:tc>
        <w:tc>
          <w:tcPr>
            <w:tcW w:w="0" w:type="auto"/>
            <w:shd w:val="clear" w:color="auto" w:fill="auto"/>
            <w:vAlign w:val="bottom"/>
            <w:hideMark/>
          </w:tcPr>
          <w:p w14:paraId="30A4FAE6"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86</w:t>
            </w:r>
          </w:p>
        </w:tc>
        <w:tc>
          <w:tcPr>
            <w:tcW w:w="0" w:type="auto"/>
            <w:shd w:val="clear" w:color="auto" w:fill="auto"/>
            <w:vAlign w:val="bottom"/>
            <w:hideMark/>
          </w:tcPr>
          <w:p w14:paraId="443A06D9"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41</w:t>
            </w:r>
          </w:p>
        </w:tc>
        <w:tc>
          <w:tcPr>
            <w:tcW w:w="0" w:type="auto"/>
            <w:shd w:val="clear" w:color="auto" w:fill="auto"/>
            <w:vAlign w:val="bottom"/>
            <w:hideMark/>
          </w:tcPr>
          <w:p w14:paraId="01257CA4"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83</w:t>
            </w:r>
          </w:p>
        </w:tc>
        <w:tc>
          <w:tcPr>
            <w:tcW w:w="0" w:type="auto"/>
            <w:shd w:val="clear" w:color="auto" w:fill="auto"/>
            <w:vAlign w:val="bottom"/>
            <w:hideMark/>
          </w:tcPr>
          <w:p w14:paraId="162B4FD6"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94</w:t>
            </w:r>
          </w:p>
        </w:tc>
        <w:tc>
          <w:tcPr>
            <w:tcW w:w="0" w:type="auto"/>
            <w:shd w:val="clear" w:color="auto" w:fill="auto"/>
            <w:vAlign w:val="bottom"/>
            <w:hideMark/>
          </w:tcPr>
          <w:p w14:paraId="16A27753"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103</w:t>
            </w:r>
          </w:p>
        </w:tc>
        <w:tc>
          <w:tcPr>
            <w:tcW w:w="0" w:type="auto"/>
            <w:shd w:val="clear" w:color="auto" w:fill="auto"/>
            <w:vAlign w:val="bottom"/>
            <w:hideMark/>
          </w:tcPr>
          <w:p w14:paraId="71C85B11"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111</w:t>
            </w:r>
          </w:p>
        </w:tc>
      </w:tr>
      <w:tr w:rsidR="00FE10C9" w:rsidRPr="00462AD9" w14:paraId="372B9FC4" w14:textId="77777777" w:rsidTr="00FE10C9">
        <w:trPr>
          <w:trHeight w:val="300"/>
        </w:trPr>
        <w:tc>
          <w:tcPr>
            <w:tcW w:w="0" w:type="auto"/>
            <w:shd w:val="clear" w:color="auto" w:fill="auto"/>
            <w:vAlign w:val="bottom"/>
            <w:hideMark/>
          </w:tcPr>
          <w:p w14:paraId="63121097"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USD/Mbtu</w:t>
            </w:r>
          </w:p>
        </w:tc>
        <w:tc>
          <w:tcPr>
            <w:tcW w:w="0" w:type="auto"/>
            <w:shd w:val="clear" w:color="auto" w:fill="auto"/>
            <w:vAlign w:val="bottom"/>
            <w:hideMark/>
          </w:tcPr>
          <w:p w14:paraId="47134AEB" w14:textId="77777777" w:rsidR="00FE10C9" w:rsidRPr="00462AD9" w:rsidRDefault="00FE10C9" w:rsidP="00FE10C9">
            <w:pPr>
              <w:keepNext/>
              <w:spacing w:before="0" w:after="0" w:line="240" w:lineRule="auto"/>
              <w:jc w:val="center"/>
              <w:rPr>
                <w:rFonts w:cs="Arial"/>
                <w:color w:val="000000" w:themeColor="text1"/>
                <w:sz w:val="20"/>
                <w:szCs w:val="20"/>
              </w:rPr>
            </w:pPr>
            <w:r w:rsidRPr="00462AD9">
              <w:rPr>
                <w:rFonts w:cs="Arial"/>
                <w:color w:val="000000"/>
                <w:sz w:val="20"/>
                <w:szCs w:val="20"/>
              </w:rPr>
              <w:t>Prirodni plin (EU)</w:t>
            </w:r>
          </w:p>
        </w:tc>
        <w:tc>
          <w:tcPr>
            <w:tcW w:w="0" w:type="auto"/>
            <w:shd w:val="clear" w:color="auto" w:fill="auto"/>
            <w:vAlign w:val="bottom"/>
            <w:hideMark/>
          </w:tcPr>
          <w:p w14:paraId="4A2DFFF3"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3,8</w:t>
            </w:r>
          </w:p>
        </w:tc>
        <w:tc>
          <w:tcPr>
            <w:tcW w:w="0" w:type="auto"/>
            <w:shd w:val="clear" w:color="auto" w:fill="auto"/>
            <w:vAlign w:val="bottom"/>
            <w:hideMark/>
          </w:tcPr>
          <w:p w14:paraId="61C0DA4D"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8,2</w:t>
            </w:r>
          </w:p>
        </w:tc>
        <w:tc>
          <w:tcPr>
            <w:tcW w:w="0" w:type="auto"/>
            <w:shd w:val="clear" w:color="auto" w:fill="auto"/>
            <w:vAlign w:val="bottom"/>
            <w:hideMark/>
          </w:tcPr>
          <w:p w14:paraId="3E83B1AF"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4,9</w:t>
            </w:r>
          </w:p>
        </w:tc>
        <w:tc>
          <w:tcPr>
            <w:tcW w:w="0" w:type="auto"/>
            <w:shd w:val="clear" w:color="auto" w:fill="auto"/>
            <w:vAlign w:val="bottom"/>
            <w:hideMark/>
          </w:tcPr>
          <w:p w14:paraId="5D446E20"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7,9</w:t>
            </w:r>
          </w:p>
        </w:tc>
        <w:tc>
          <w:tcPr>
            <w:tcW w:w="0" w:type="auto"/>
            <w:shd w:val="clear" w:color="auto" w:fill="auto"/>
            <w:vAlign w:val="bottom"/>
            <w:hideMark/>
          </w:tcPr>
          <w:p w14:paraId="25419C84"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8,6</w:t>
            </w:r>
          </w:p>
        </w:tc>
        <w:tc>
          <w:tcPr>
            <w:tcW w:w="0" w:type="auto"/>
            <w:shd w:val="clear" w:color="auto" w:fill="auto"/>
            <w:vAlign w:val="bottom"/>
            <w:hideMark/>
          </w:tcPr>
          <w:p w14:paraId="611E3417"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9,1</w:t>
            </w:r>
          </w:p>
        </w:tc>
        <w:tc>
          <w:tcPr>
            <w:tcW w:w="0" w:type="auto"/>
            <w:shd w:val="clear" w:color="auto" w:fill="auto"/>
            <w:vAlign w:val="bottom"/>
            <w:hideMark/>
          </w:tcPr>
          <w:p w14:paraId="5EC142C6" w14:textId="77777777" w:rsidR="00FE10C9" w:rsidRPr="00462AD9" w:rsidRDefault="00FE10C9" w:rsidP="00FE10C9">
            <w:pPr>
              <w:keepNext/>
              <w:spacing w:before="0" w:after="0" w:line="240" w:lineRule="auto"/>
              <w:jc w:val="right"/>
              <w:rPr>
                <w:rFonts w:cs="Arial"/>
                <w:color w:val="000000" w:themeColor="text1"/>
                <w:sz w:val="20"/>
                <w:szCs w:val="20"/>
              </w:rPr>
            </w:pPr>
            <w:r w:rsidRPr="00462AD9">
              <w:rPr>
                <w:rFonts w:cs="Arial"/>
                <w:color w:val="000000"/>
                <w:sz w:val="20"/>
                <w:szCs w:val="20"/>
              </w:rPr>
              <w:t>9,6</w:t>
            </w:r>
          </w:p>
        </w:tc>
      </w:tr>
      <w:tr w:rsidR="00FE10C9" w:rsidRPr="00462AD9" w14:paraId="299DA982" w14:textId="77777777" w:rsidTr="00FE10C9">
        <w:trPr>
          <w:trHeight w:val="300"/>
        </w:trPr>
        <w:tc>
          <w:tcPr>
            <w:tcW w:w="0" w:type="auto"/>
            <w:shd w:val="clear" w:color="auto" w:fill="auto"/>
            <w:vAlign w:val="bottom"/>
            <w:hideMark/>
          </w:tcPr>
          <w:p w14:paraId="1F9CE305" w14:textId="77777777" w:rsidR="00FE10C9" w:rsidRPr="00462AD9" w:rsidRDefault="00FE10C9" w:rsidP="00FE10C9">
            <w:pPr>
              <w:spacing w:before="0" w:after="0" w:line="240" w:lineRule="auto"/>
              <w:jc w:val="center"/>
              <w:rPr>
                <w:rFonts w:cs="Arial"/>
                <w:color w:val="000000" w:themeColor="text1"/>
                <w:sz w:val="20"/>
                <w:szCs w:val="20"/>
              </w:rPr>
            </w:pPr>
            <w:r w:rsidRPr="00462AD9">
              <w:rPr>
                <w:rFonts w:cs="Arial"/>
                <w:color w:val="000000"/>
                <w:sz w:val="20"/>
                <w:szCs w:val="20"/>
              </w:rPr>
              <w:t>USD/tona</w:t>
            </w:r>
          </w:p>
        </w:tc>
        <w:tc>
          <w:tcPr>
            <w:tcW w:w="0" w:type="auto"/>
            <w:shd w:val="clear" w:color="auto" w:fill="auto"/>
            <w:vAlign w:val="bottom"/>
            <w:hideMark/>
          </w:tcPr>
          <w:p w14:paraId="60BDEEDC" w14:textId="77777777" w:rsidR="00FE10C9" w:rsidRPr="00462AD9" w:rsidRDefault="00FE10C9" w:rsidP="00FE10C9">
            <w:pPr>
              <w:spacing w:before="0" w:after="0" w:line="240" w:lineRule="auto"/>
              <w:jc w:val="center"/>
              <w:rPr>
                <w:rFonts w:cs="Arial"/>
                <w:color w:val="000000" w:themeColor="text1"/>
                <w:sz w:val="20"/>
                <w:szCs w:val="20"/>
              </w:rPr>
            </w:pPr>
            <w:r w:rsidRPr="00462AD9">
              <w:rPr>
                <w:rFonts w:cs="Arial"/>
                <w:color w:val="000000"/>
                <w:sz w:val="20"/>
                <w:szCs w:val="20"/>
              </w:rPr>
              <w:t>Ugljen (EU)</w:t>
            </w:r>
          </w:p>
        </w:tc>
        <w:tc>
          <w:tcPr>
            <w:tcW w:w="0" w:type="auto"/>
            <w:shd w:val="clear" w:color="auto" w:fill="auto"/>
            <w:vAlign w:val="bottom"/>
            <w:hideMark/>
          </w:tcPr>
          <w:p w14:paraId="71816907"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46</w:t>
            </w:r>
          </w:p>
        </w:tc>
        <w:tc>
          <w:tcPr>
            <w:tcW w:w="0" w:type="auto"/>
            <w:shd w:val="clear" w:color="auto" w:fill="auto"/>
            <w:vAlign w:val="bottom"/>
            <w:hideMark/>
          </w:tcPr>
          <w:p w14:paraId="0CA71C18"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101</w:t>
            </w:r>
          </w:p>
        </w:tc>
        <w:tc>
          <w:tcPr>
            <w:tcW w:w="0" w:type="auto"/>
            <w:shd w:val="clear" w:color="auto" w:fill="auto"/>
            <w:vAlign w:val="bottom"/>
            <w:hideMark/>
          </w:tcPr>
          <w:p w14:paraId="01ED839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63</w:t>
            </w:r>
          </w:p>
        </w:tc>
        <w:tc>
          <w:tcPr>
            <w:tcW w:w="0" w:type="auto"/>
            <w:shd w:val="clear" w:color="auto" w:fill="auto"/>
            <w:vAlign w:val="bottom"/>
            <w:hideMark/>
          </w:tcPr>
          <w:p w14:paraId="0FDDD42E"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77</w:t>
            </w:r>
          </w:p>
        </w:tc>
        <w:tc>
          <w:tcPr>
            <w:tcW w:w="0" w:type="auto"/>
            <w:shd w:val="clear" w:color="auto" w:fill="auto"/>
            <w:vAlign w:val="bottom"/>
            <w:hideMark/>
          </w:tcPr>
          <w:p w14:paraId="4C21B584"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80</w:t>
            </w:r>
          </w:p>
        </w:tc>
        <w:tc>
          <w:tcPr>
            <w:tcW w:w="0" w:type="auto"/>
            <w:shd w:val="clear" w:color="auto" w:fill="auto"/>
            <w:vAlign w:val="bottom"/>
            <w:hideMark/>
          </w:tcPr>
          <w:p w14:paraId="443D5A6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81</w:t>
            </w:r>
          </w:p>
        </w:tc>
        <w:tc>
          <w:tcPr>
            <w:tcW w:w="0" w:type="auto"/>
            <w:shd w:val="clear" w:color="auto" w:fill="auto"/>
            <w:vAlign w:val="bottom"/>
            <w:hideMark/>
          </w:tcPr>
          <w:p w14:paraId="00C1E5E8"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82</w:t>
            </w:r>
          </w:p>
        </w:tc>
      </w:tr>
    </w:tbl>
    <w:p w14:paraId="207CAADC" w14:textId="77777777" w:rsidR="00FE10C9" w:rsidRPr="00462AD9" w:rsidRDefault="00FE10C9" w:rsidP="00FE10C9">
      <w:pPr>
        <w:pStyle w:val="Slike"/>
        <w:keepNext w:val="0"/>
      </w:pPr>
      <w:r w:rsidRPr="00462AD9">
        <w:t>Izvor: IEA WEO 2016/2017</w:t>
      </w:r>
    </w:p>
    <w:p w14:paraId="69B3759A" w14:textId="172F6E15" w:rsidR="00FE10C9" w:rsidRPr="00462AD9" w:rsidRDefault="00FE10C9" w:rsidP="00FE10C9">
      <w:r w:rsidRPr="00462AD9">
        <w:t>Cijene za razdoblje nakon 2040. su ekstrapolirane i za potrebe analize svedene na euro iz 2015. godine.</w:t>
      </w:r>
      <w:r w:rsidR="00436032">
        <w:t xml:space="preserve"> </w:t>
      </w:r>
      <w:r w:rsidR="00436032">
        <w:fldChar w:fldCharType="begin"/>
      </w:r>
      <w:r w:rsidR="00436032">
        <w:instrText xml:space="preserve"> REF _Ref533754810 \h </w:instrText>
      </w:r>
      <w:r w:rsidR="00436032">
        <w:fldChar w:fldCharType="separate"/>
      </w:r>
      <w:r w:rsidR="00154150">
        <w:t xml:space="preserve">Slika </w:t>
      </w:r>
      <w:r w:rsidR="00154150">
        <w:rPr>
          <w:noProof/>
        </w:rPr>
        <w:t>4</w:t>
      </w:r>
      <w:r w:rsidR="00154150">
        <w:noBreakHyphen/>
      </w:r>
      <w:r w:rsidR="00154150">
        <w:rPr>
          <w:noProof/>
        </w:rPr>
        <w:t>2</w:t>
      </w:r>
      <w:r w:rsidR="00154150" w:rsidRPr="00462AD9">
        <w:t>.</w:t>
      </w:r>
      <w:r w:rsidR="00436032">
        <w:fldChar w:fldCharType="end"/>
      </w:r>
      <w:r w:rsidRPr="00462AD9">
        <w:t xml:space="preserve"> prikaz</w:t>
      </w:r>
      <w:r w:rsidR="00436032">
        <w:t>uje</w:t>
      </w:r>
      <w:r w:rsidRPr="00462AD9">
        <w:t xml:space="preserve"> ja razina tako pretpostavljenih cijena za fosilna goriva u EUR/GJ.</w:t>
      </w:r>
    </w:p>
    <w:p w14:paraId="24B37591" w14:textId="77777777" w:rsidR="00FE10C9" w:rsidRPr="00462AD9" w:rsidRDefault="00FE10C9" w:rsidP="00FE10C9">
      <w:pPr>
        <w:keepNext/>
      </w:pPr>
      <w:r w:rsidRPr="00462AD9">
        <w:rPr>
          <w:noProof/>
        </w:rPr>
        <w:drawing>
          <wp:inline distT="0" distB="0" distL="0" distR="0" wp14:anchorId="07495C70" wp14:editId="246BF68D">
            <wp:extent cx="5760720" cy="2939351"/>
            <wp:effectExtent l="0" t="0" r="0" b="0"/>
            <wp:docPr id="1771669870" name="Picture 177166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760720" cy="2939351"/>
                    </a:xfrm>
                    <a:prstGeom prst="rect">
                      <a:avLst/>
                    </a:prstGeom>
                    <a:noFill/>
                    <a:ln>
                      <a:noFill/>
                    </a:ln>
                  </pic:spPr>
                </pic:pic>
              </a:graphicData>
            </a:graphic>
          </wp:inline>
        </w:drawing>
      </w:r>
    </w:p>
    <w:p w14:paraId="13B20AF4" w14:textId="119ECF08" w:rsidR="00FE10C9" w:rsidRPr="00462AD9" w:rsidRDefault="00FE10C9">
      <w:pPr>
        <w:pStyle w:val="Caption"/>
      </w:pPr>
      <w:bookmarkStart w:id="438" w:name="_Ref533754810"/>
      <w:bookmarkStart w:id="439" w:name="_Toc27396154"/>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w:t>
      </w:r>
      <w:r w:rsidR="005A7E31">
        <w:rPr>
          <w:noProof/>
        </w:rPr>
        <w:fldChar w:fldCharType="end"/>
      </w:r>
      <w:r w:rsidRPr="00462AD9">
        <w:t>.</w:t>
      </w:r>
      <w:bookmarkEnd w:id="438"/>
      <w:r w:rsidRPr="00462AD9">
        <w:t xml:space="preserve"> Cijene fosilnih goriva do 2050. godine</w:t>
      </w:r>
      <w:bookmarkEnd w:id="439"/>
    </w:p>
    <w:p w14:paraId="305AECDC" w14:textId="77777777" w:rsidR="00FE10C9" w:rsidRPr="00462AD9" w:rsidRDefault="00FE10C9" w:rsidP="00FE10C9">
      <w:pPr>
        <w:pStyle w:val="Slike"/>
        <w:keepNext w:val="0"/>
      </w:pPr>
      <w:r w:rsidRPr="00462AD9">
        <w:t>Izvor: IEA WEO 2016/2017 i EIHP obrada</w:t>
      </w:r>
    </w:p>
    <w:p w14:paraId="743A9A96" w14:textId="6587ADAC" w:rsidR="00FE10C9" w:rsidRPr="00462AD9" w:rsidRDefault="00FE10C9" w:rsidP="00FE10C9">
      <w:r w:rsidRPr="00462AD9">
        <w:t>Za prirodni plin i za ugljen preuzete su cijene relevantne za područje EU</w:t>
      </w:r>
      <w:r>
        <w:t>-a</w:t>
      </w:r>
      <w:r w:rsidRPr="00462AD9">
        <w:t>.</w:t>
      </w:r>
      <w:r>
        <w:t xml:space="preserve"> </w:t>
      </w:r>
      <w:r w:rsidRPr="00462AD9">
        <w:t>Za nuklearno gorivo pretpostavljena je nepromjenjiva cijena od 0,74 EUR/GJ, a za biomasu 4,6 EUR/GJ.</w:t>
      </w:r>
    </w:p>
    <w:p w14:paraId="3EA88CD0" w14:textId="15C77FF9" w:rsidR="00FE10C9" w:rsidRDefault="00FE10C9" w:rsidP="00FE10C9">
      <w:r w:rsidRPr="00462AD9">
        <w:t>Za sve elektrane koje koriste fosilna goriva pretpostavljeno je da sudjeluju u europskom sustavu trgovine emisijskim jedinicama. Za potrebe izrade nacionalnih energetsko</w:t>
      </w:r>
      <w:r w:rsidRPr="00462AD9">
        <w:noBreakHyphen/>
        <w:t>klimatskih planova E</w:t>
      </w:r>
      <w:r>
        <w:t xml:space="preserve">uropska komisija </w:t>
      </w:r>
      <w:r w:rsidRPr="00462AD9">
        <w:t xml:space="preserve">je pripremila preporučene razine cijena emisijskih jedinica do 2050. godine koje </w:t>
      </w:r>
      <w:r>
        <w:t xml:space="preserve">prikazuje </w:t>
      </w:r>
      <w:r>
        <w:fldChar w:fldCharType="begin"/>
      </w:r>
      <w:r>
        <w:instrText xml:space="preserve"> REF _Ref531869882 \h </w:instrText>
      </w:r>
      <w:r>
        <w:fldChar w:fldCharType="separate"/>
      </w:r>
      <w:r w:rsidR="00154150">
        <w:t xml:space="preserve">Tablica </w:t>
      </w:r>
      <w:r w:rsidR="00154150">
        <w:rPr>
          <w:noProof/>
        </w:rPr>
        <w:t>4</w:t>
      </w:r>
      <w:r w:rsidR="00154150">
        <w:t>–</w:t>
      </w:r>
      <w:r w:rsidR="00154150">
        <w:rPr>
          <w:noProof/>
        </w:rPr>
        <w:t>4</w:t>
      </w:r>
      <w:r>
        <w:fldChar w:fldCharType="end"/>
      </w:r>
      <w:r w:rsidRPr="00462AD9">
        <w:t>.</w:t>
      </w:r>
      <w:r>
        <w:t xml:space="preserve"> Osnovne cijene izražene su u eurima iz 2013. godine, </w:t>
      </w:r>
      <w:r w:rsidR="005529DC">
        <w:t>iznosi su</w:t>
      </w:r>
      <w:r>
        <w:t xml:space="preserve"> preračunati na razinu 2015. godine (vrijednosti koje su korištene u analizama) i u eurima iz 2016. godine (vrijednosti koje se također navode u dokumentima Europske komisije).</w:t>
      </w:r>
    </w:p>
    <w:p w14:paraId="632EE7B2" w14:textId="082245DF" w:rsidR="00FE10C9" w:rsidRPr="00462AD9" w:rsidRDefault="00FE10C9" w:rsidP="00223709">
      <w:pPr>
        <w:pStyle w:val="Caption"/>
        <w:keepNext/>
      </w:pPr>
      <w:bookmarkStart w:id="440" w:name="_Ref531869882"/>
      <w:bookmarkStart w:id="441" w:name="_Toc27396218"/>
      <w:r>
        <w:t xml:space="preserve">Tablica </w:t>
      </w:r>
      <w:r w:rsidR="00182C96">
        <w:rPr>
          <w:noProof/>
        </w:rPr>
        <w:fldChar w:fldCharType="begin"/>
      </w:r>
      <w:r w:rsidR="00182C96">
        <w:rPr>
          <w:noProof/>
        </w:rPr>
        <w:instrText xml:space="preserve"> STYLEREF 1 \s </w:instrText>
      </w:r>
      <w:r w:rsidR="00182C96">
        <w:rPr>
          <w:noProof/>
        </w:rPr>
        <w:fldChar w:fldCharType="separate"/>
      </w:r>
      <w:r w:rsidR="00154150">
        <w:rPr>
          <w:noProof/>
        </w:rPr>
        <w:t>4</w:t>
      </w:r>
      <w:r w:rsidR="00182C96">
        <w:rPr>
          <w:noProof/>
        </w:rPr>
        <w:fldChar w:fldCharType="end"/>
      </w:r>
      <w:r w:rsidR="00562DF0">
        <w:t>–</w:t>
      </w:r>
      <w:r w:rsidR="00182C96">
        <w:rPr>
          <w:noProof/>
        </w:rPr>
        <w:fldChar w:fldCharType="begin"/>
      </w:r>
      <w:r w:rsidR="00182C96">
        <w:rPr>
          <w:noProof/>
        </w:rPr>
        <w:instrText xml:space="preserve"> SEQ Tablica \* ARABIC \s 1 </w:instrText>
      </w:r>
      <w:r w:rsidR="00182C96">
        <w:rPr>
          <w:noProof/>
        </w:rPr>
        <w:fldChar w:fldCharType="separate"/>
      </w:r>
      <w:r w:rsidR="00154150">
        <w:rPr>
          <w:noProof/>
        </w:rPr>
        <w:t>4</w:t>
      </w:r>
      <w:r w:rsidR="00182C96">
        <w:rPr>
          <w:noProof/>
        </w:rPr>
        <w:fldChar w:fldCharType="end"/>
      </w:r>
      <w:bookmarkEnd w:id="440"/>
      <w:r w:rsidRPr="00462AD9">
        <w:t>.</w:t>
      </w:r>
      <w:r w:rsidR="00214B02">
        <w:t>:</w:t>
      </w:r>
      <w:r w:rsidRPr="00462AD9">
        <w:t xml:space="preserve"> Cijene emisijskih jedinica</w:t>
      </w:r>
      <w:bookmarkEnd w:id="4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09"/>
        <w:gridCol w:w="809"/>
        <w:gridCol w:w="808"/>
        <w:gridCol w:w="808"/>
        <w:gridCol w:w="808"/>
        <w:gridCol w:w="808"/>
        <w:gridCol w:w="808"/>
      </w:tblGrid>
      <w:tr w:rsidR="00FE10C9" w:rsidRPr="00462AD9" w14:paraId="61A3A3E7" w14:textId="77777777" w:rsidTr="00725326">
        <w:trPr>
          <w:trHeight w:val="300"/>
        </w:trPr>
        <w:tc>
          <w:tcPr>
            <w:tcW w:w="1877" w:type="pct"/>
            <w:shd w:val="clear" w:color="auto" w:fill="DEEAF6" w:themeFill="accent1" w:themeFillTint="33"/>
            <w:vAlign w:val="center"/>
            <w:hideMark/>
          </w:tcPr>
          <w:p w14:paraId="197B733B" w14:textId="77777777" w:rsidR="00FE10C9" w:rsidRPr="00462AD9" w:rsidRDefault="00FE10C9" w:rsidP="00223709">
            <w:pPr>
              <w:keepNext/>
              <w:spacing w:before="0" w:after="0" w:line="240" w:lineRule="auto"/>
              <w:jc w:val="center"/>
              <w:rPr>
                <w:rFonts w:cs="Arial"/>
                <w:b/>
                <w:color w:val="000000" w:themeColor="text1"/>
                <w:sz w:val="20"/>
                <w:szCs w:val="20"/>
              </w:rPr>
            </w:pPr>
            <w:r w:rsidRPr="00462AD9">
              <w:rPr>
                <w:rFonts w:cs="Arial"/>
                <w:b/>
                <w:color w:val="000000"/>
                <w:sz w:val="20"/>
                <w:szCs w:val="20"/>
              </w:rPr>
              <w:t>Cijene emisijskih jedinica</w:t>
            </w:r>
          </w:p>
        </w:tc>
        <w:tc>
          <w:tcPr>
            <w:tcW w:w="446" w:type="pct"/>
            <w:shd w:val="clear" w:color="auto" w:fill="DEEAF6" w:themeFill="accent1" w:themeFillTint="33"/>
            <w:vAlign w:val="center"/>
            <w:hideMark/>
          </w:tcPr>
          <w:p w14:paraId="30005090" w14:textId="77777777" w:rsidR="00FE10C9" w:rsidRPr="00462AD9" w:rsidRDefault="00FE10C9" w:rsidP="00223709">
            <w:pPr>
              <w:keepNext/>
              <w:spacing w:before="0" w:after="0" w:line="240" w:lineRule="auto"/>
              <w:jc w:val="center"/>
              <w:rPr>
                <w:rFonts w:cs="Arial"/>
                <w:b/>
                <w:sz w:val="20"/>
                <w:szCs w:val="20"/>
              </w:rPr>
            </w:pPr>
            <w:r w:rsidRPr="00462AD9">
              <w:rPr>
                <w:rFonts w:cs="Arial"/>
                <w:b/>
                <w:sz w:val="20"/>
                <w:szCs w:val="20"/>
              </w:rPr>
              <w:t>2015.</w:t>
            </w:r>
          </w:p>
        </w:tc>
        <w:tc>
          <w:tcPr>
            <w:tcW w:w="446" w:type="pct"/>
            <w:shd w:val="clear" w:color="auto" w:fill="DEEAF6" w:themeFill="accent1" w:themeFillTint="33"/>
            <w:vAlign w:val="center"/>
            <w:hideMark/>
          </w:tcPr>
          <w:p w14:paraId="171F6BA6" w14:textId="77777777" w:rsidR="00FE10C9" w:rsidRPr="00462AD9" w:rsidRDefault="00FE10C9" w:rsidP="00223709">
            <w:pPr>
              <w:keepNext/>
              <w:spacing w:before="0" w:after="0" w:line="240" w:lineRule="auto"/>
              <w:jc w:val="center"/>
              <w:rPr>
                <w:rFonts w:cs="Arial"/>
                <w:b/>
                <w:sz w:val="20"/>
                <w:szCs w:val="20"/>
              </w:rPr>
            </w:pPr>
            <w:r w:rsidRPr="00462AD9">
              <w:rPr>
                <w:rFonts w:cs="Arial"/>
                <w:b/>
                <w:sz w:val="20"/>
                <w:szCs w:val="20"/>
              </w:rPr>
              <w:t>2020.</w:t>
            </w:r>
          </w:p>
        </w:tc>
        <w:tc>
          <w:tcPr>
            <w:tcW w:w="446" w:type="pct"/>
            <w:shd w:val="clear" w:color="auto" w:fill="DEEAF6" w:themeFill="accent1" w:themeFillTint="33"/>
            <w:vAlign w:val="center"/>
            <w:hideMark/>
          </w:tcPr>
          <w:p w14:paraId="2B716FC9" w14:textId="77777777" w:rsidR="00FE10C9" w:rsidRPr="00462AD9" w:rsidRDefault="00FE10C9" w:rsidP="00223709">
            <w:pPr>
              <w:keepNext/>
              <w:spacing w:before="0" w:after="0" w:line="240" w:lineRule="auto"/>
              <w:jc w:val="center"/>
              <w:rPr>
                <w:rFonts w:cs="Arial"/>
                <w:b/>
                <w:sz w:val="20"/>
                <w:szCs w:val="20"/>
              </w:rPr>
            </w:pPr>
            <w:r w:rsidRPr="00462AD9">
              <w:rPr>
                <w:rFonts w:cs="Arial"/>
                <w:b/>
                <w:sz w:val="20"/>
                <w:szCs w:val="20"/>
              </w:rPr>
              <w:t>2025.</w:t>
            </w:r>
          </w:p>
        </w:tc>
        <w:tc>
          <w:tcPr>
            <w:tcW w:w="446" w:type="pct"/>
            <w:shd w:val="clear" w:color="auto" w:fill="DEEAF6" w:themeFill="accent1" w:themeFillTint="33"/>
            <w:vAlign w:val="center"/>
            <w:hideMark/>
          </w:tcPr>
          <w:p w14:paraId="39DA3980" w14:textId="77777777" w:rsidR="00FE10C9" w:rsidRPr="00462AD9" w:rsidRDefault="00FE10C9" w:rsidP="00223709">
            <w:pPr>
              <w:keepNext/>
              <w:spacing w:before="0" w:after="0" w:line="240" w:lineRule="auto"/>
              <w:jc w:val="center"/>
              <w:rPr>
                <w:rFonts w:cs="Arial"/>
                <w:b/>
                <w:sz w:val="20"/>
                <w:szCs w:val="20"/>
              </w:rPr>
            </w:pPr>
            <w:r w:rsidRPr="00462AD9">
              <w:rPr>
                <w:rFonts w:cs="Arial"/>
                <w:b/>
                <w:sz w:val="20"/>
                <w:szCs w:val="20"/>
              </w:rPr>
              <w:t>2030.</w:t>
            </w:r>
          </w:p>
        </w:tc>
        <w:tc>
          <w:tcPr>
            <w:tcW w:w="446" w:type="pct"/>
            <w:shd w:val="clear" w:color="auto" w:fill="DEEAF6" w:themeFill="accent1" w:themeFillTint="33"/>
            <w:vAlign w:val="center"/>
            <w:hideMark/>
          </w:tcPr>
          <w:p w14:paraId="03DCC848" w14:textId="77777777" w:rsidR="00FE10C9" w:rsidRPr="00462AD9" w:rsidRDefault="00FE10C9" w:rsidP="00223709">
            <w:pPr>
              <w:keepNext/>
              <w:spacing w:before="0" w:after="0" w:line="240" w:lineRule="auto"/>
              <w:jc w:val="center"/>
              <w:rPr>
                <w:rFonts w:cs="Arial"/>
                <w:b/>
                <w:sz w:val="20"/>
                <w:szCs w:val="20"/>
              </w:rPr>
            </w:pPr>
            <w:r w:rsidRPr="00462AD9">
              <w:rPr>
                <w:rFonts w:cs="Arial"/>
                <w:b/>
                <w:sz w:val="20"/>
                <w:szCs w:val="20"/>
              </w:rPr>
              <w:t>2035.</w:t>
            </w:r>
          </w:p>
        </w:tc>
        <w:tc>
          <w:tcPr>
            <w:tcW w:w="446" w:type="pct"/>
            <w:shd w:val="clear" w:color="auto" w:fill="DEEAF6" w:themeFill="accent1" w:themeFillTint="33"/>
            <w:vAlign w:val="center"/>
            <w:hideMark/>
          </w:tcPr>
          <w:p w14:paraId="47FC3165" w14:textId="77777777" w:rsidR="00FE10C9" w:rsidRPr="00462AD9" w:rsidRDefault="00FE10C9" w:rsidP="00223709">
            <w:pPr>
              <w:keepNext/>
              <w:spacing w:before="0" w:after="0" w:line="240" w:lineRule="auto"/>
              <w:jc w:val="center"/>
              <w:rPr>
                <w:rFonts w:cs="Arial"/>
                <w:b/>
                <w:sz w:val="20"/>
                <w:szCs w:val="20"/>
              </w:rPr>
            </w:pPr>
            <w:r w:rsidRPr="00462AD9">
              <w:rPr>
                <w:rFonts w:cs="Arial"/>
                <w:b/>
                <w:sz w:val="20"/>
                <w:szCs w:val="20"/>
              </w:rPr>
              <w:t>2040.</w:t>
            </w:r>
          </w:p>
        </w:tc>
        <w:tc>
          <w:tcPr>
            <w:tcW w:w="446" w:type="pct"/>
            <w:shd w:val="clear" w:color="auto" w:fill="DEEAF6" w:themeFill="accent1" w:themeFillTint="33"/>
            <w:vAlign w:val="center"/>
            <w:hideMark/>
          </w:tcPr>
          <w:p w14:paraId="30FFD538" w14:textId="77777777" w:rsidR="00FE10C9" w:rsidRPr="00462AD9" w:rsidRDefault="00FE10C9" w:rsidP="00223709">
            <w:pPr>
              <w:keepNext/>
              <w:spacing w:before="0" w:after="0" w:line="240" w:lineRule="auto"/>
              <w:jc w:val="center"/>
              <w:rPr>
                <w:rFonts w:cs="Arial"/>
                <w:b/>
                <w:sz w:val="20"/>
                <w:szCs w:val="20"/>
              </w:rPr>
            </w:pPr>
            <w:r w:rsidRPr="00462AD9">
              <w:rPr>
                <w:rFonts w:cs="Arial"/>
                <w:b/>
                <w:sz w:val="20"/>
                <w:szCs w:val="20"/>
              </w:rPr>
              <w:t>2050.</w:t>
            </w:r>
          </w:p>
        </w:tc>
      </w:tr>
      <w:tr w:rsidR="00FE10C9" w:rsidRPr="00462AD9" w14:paraId="05E348BB" w14:textId="77777777" w:rsidTr="00FE10C9">
        <w:trPr>
          <w:trHeight w:val="300"/>
        </w:trPr>
        <w:tc>
          <w:tcPr>
            <w:tcW w:w="1877" w:type="pct"/>
            <w:shd w:val="clear" w:color="auto" w:fill="auto"/>
            <w:vAlign w:val="center"/>
          </w:tcPr>
          <w:p w14:paraId="5DD3B799" w14:textId="77777777" w:rsidR="00FE10C9" w:rsidRPr="00462AD9" w:rsidRDefault="00FE10C9" w:rsidP="00FE10C9">
            <w:pPr>
              <w:spacing w:before="0" w:after="0" w:line="240" w:lineRule="auto"/>
              <w:jc w:val="left"/>
              <w:rPr>
                <w:rFonts w:cs="Arial"/>
                <w:color w:val="000000" w:themeColor="text1"/>
                <w:sz w:val="20"/>
                <w:szCs w:val="20"/>
              </w:rPr>
            </w:pPr>
            <w:r w:rsidRPr="00462AD9">
              <w:rPr>
                <w:rFonts w:cs="Arial"/>
                <w:color w:val="000000"/>
                <w:sz w:val="20"/>
                <w:szCs w:val="20"/>
              </w:rPr>
              <w:t>NEKP – EK Preporuka</w:t>
            </w:r>
            <w:r w:rsidRPr="00462AD9">
              <w:rPr>
                <w:rFonts w:cs="Arial"/>
                <w:bCs/>
                <w:color w:val="000000"/>
                <w:sz w:val="20"/>
              </w:rPr>
              <w:br/>
            </w:r>
            <w:r w:rsidRPr="00462AD9">
              <w:rPr>
                <w:rFonts w:cs="Arial"/>
                <w:color w:val="000000"/>
                <w:sz w:val="20"/>
                <w:szCs w:val="20"/>
              </w:rPr>
              <w:t>EUR'13/t CO</w:t>
            </w:r>
            <w:r w:rsidRPr="00462AD9">
              <w:rPr>
                <w:rFonts w:cs="Arial"/>
                <w:color w:val="000000"/>
                <w:sz w:val="20"/>
                <w:szCs w:val="20"/>
                <w:vertAlign w:val="subscript"/>
              </w:rPr>
              <w:t>2</w:t>
            </w:r>
          </w:p>
        </w:tc>
        <w:tc>
          <w:tcPr>
            <w:tcW w:w="446" w:type="pct"/>
            <w:shd w:val="clear" w:color="auto" w:fill="auto"/>
            <w:vAlign w:val="center"/>
          </w:tcPr>
          <w:p w14:paraId="1E374AE4"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7,5</w:t>
            </w:r>
          </w:p>
        </w:tc>
        <w:tc>
          <w:tcPr>
            <w:tcW w:w="446" w:type="pct"/>
            <w:shd w:val="clear" w:color="auto" w:fill="auto"/>
            <w:vAlign w:val="center"/>
          </w:tcPr>
          <w:p w14:paraId="4A40CC4B"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15,0</w:t>
            </w:r>
          </w:p>
        </w:tc>
        <w:tc>
          <w:tcPr>
            <w:tcW w:w="446" w:type="pct"/>
            <w:shd w:val="clear" w:color="auto" w:fill="auto"/>
            <w:vAlign w:val="center"/>
          </w:tcPr>
          <w:p w14:paraId="32EA2D51"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22,5</w:t>
            </w:r>
          </w:p>
        </w:tc>
        <w:tc>
          <w:tcPr>
            <w:tcW w:w="446" w:type="pct"/>
            <w:shd w:val="clear" w:color="auto" w:fill="auto"/>
            <w:vAlign w:val="center"/>
          </w:tcPr>
          <w:p w14:paraId="5CD94E9F"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33,5</w:t>
            </w:r>
          </w:p>
        </w:tc>
        <w:tc>
          <w:tcPr>
            <w:tcW w:w="446" w:type="pct"/>
            <w:shd w:val="clear" w:color="auto" w:fill="auto"/>
            <w:vAlign w:val="center"/>
          </w:tcPr>
          <w:p w14:paraId="17AA0D92"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42,0</w:t>
            </w:r>
          </w:p>
        </w:tc>
        <w:tc>
          <w:tcPr>
            <w:tcW w:w="446" w:type="pct"/>
            <w:shd w:val="clear" w:color="auto" w:fill="auto"/>
            <w:vAlign w:val="center"/>
          </w:tcPr>
          <w:p w14:paraId="71D74B6A"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50,0</w:t>
            </w:r>
          </w:p>
        </w:tc>
        <w:tc>
          <w:tcPr>
            <w:tcW w:w="446" w:type="pct"/>
            <w:shd w:val="clear" w:color="auto" w:fill="auto"/>
            <w:vAlign w:val="center"/>
          </w:tcPr>
          <w:p w14:paraId="6B75163E"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90,0</w:t>
            </w:r>
          </w:p>
        </w:tc>
      </w:tr>
      <w:tr w:rsidR="00FE10C9" w:rsidRPr="00462AD9" w14:paraId="254BAD9B" w14:textId="77777777" w:rsidTr="00FE10C9">
        <w:trPr>
          <w:trHeight w:val="300"/>
        </w:trPr>
        <w:tc>
          <w:tcPr>
            <w:tcW w:w="1877" w:type="pct"/>
            <w:shd w:val="clear" w:color="auto" w:fill="auto"/>
            <w:vAlign w:val="center"/>
            <w:hideMark/>
          </w:tcPr>
          <w:p w14:paraId="7B69D950" w14:textId="77777777" w:rsidR="00FE10C9" w:rsidRPr="00462AD9" w:rsidRDefault="00FE10C9" w:rsidP="00FE10C9">
            <w:pPr>
              <w:spacing w:before="0" w:after="0" w:line="240" w:lineRule="auto"/>
              <w:jc w:val="left"/>
              <w:rPr>
                <w:rFonts w:cs="Arial"/>
                <w:color w:val="000000" w:themeColor="text1"/>
                <w:sz w:val="20"/>
                <w:szCs w:val="20"/>
              </w:rPr>
            </w:pPr>
            <w:r w:rsidRPr="00462AD9">
              <w:rPr>
                <w:rFonts w:cs="Arial"/>
                <w:color w:val="000000"/>
                <w:sz w:val="20"/>
                <w:szCs w:val="20"/>
              </w:rPr>
              <w:t>NEKP – EK Preporuka</w:t>
            </w:r>
            <w:r w:rsidRPr="00462AD9">
              <w:rPr>
                <w:rFonts w:cs="Arial"/>
                <w:bCs/>
                <w:color w:val="000000"/>
                <w:sz w:val="20"/>
              </w:rPr>
              <w:br/>
            </w:r>
            <w:r w:rsidRPr="00462AD9">
              <w:rPr>
                <w:rFonts w:cs="Arial"/>
                <w:color w:val="000000"/>
                <w:sz w:val="20"/>
                <w:szCs w:val="20"/>
              </w:rPr>
              <w:t>EUR'16/t CO</w:t>
            </w:r>
            <w:r w:rsidRPr="00462AD9">
              <w:rPr>
                <w:rFonts w:cs="Arial"/>
                <w:color w:val="000000"/>
                <w:sz w:val="20"/>
                <w:szCs w:val="20"/>
                <w:vertAlign w:val="subscript"/>
              </w:rPr>
              <w:t>2</w:t>
            </w:r>
          </w:p>
        </w:tc>
        <w:tc>
          <w:tcPr>
            <w:tcW w:w="446" w:type="pct"/>
            <w:shd w:val="clear" w:color="auto" w:fill="auto"/>
            <w:vAlign w:val="center"/>
            <w:hideMark/>
          </w:tcPr>
          <w:p w14:paraId="26C2D8C9"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7,8</w:t>
            </w:r>
          </w:p>
        </w:tc>
        <w:tc>
          <w:tcPr>
            <w:tcW w:w="446" w:type="pct"/>
            <w:shd w:val="clear" w:color="auto" w:fill="auto"/>
            <w:vAlign w:val="center"/>
            <w:hideMark/>
          </w:tcPr>
          <w:p w14:paraId="1C036147"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15,5</w:t>
            </w:r>
          </w:p>
        </w:tc>
        <w:tc>
          <w:tcPr>
            <w:tcW w:w="446" w:type="pct"/>
            <w:shd w:val="clear" w:color="auto" w:fill="auto"/>
            <w:vAlign w:val="center"/>
            <w:hideMark/>
          </w:tcPr>
          <w:p w14:paraId="48B7947E"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23,3</w:t>
            </w:r>
          </w:p>
        </w:tc>
        <w:tc>
          <w:tcPr>
            <w:tcW w:w="446" w:type="pct"/>
            <w:shd w:val="clear" w:color="auto" w:fill="auto"/>
            <w:vAlign w:val="center"/>
            <w:hideMark/>
          </w:tcPr>
          <w:p w14:paraId="45C88C5A"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34,7</w:t>
            </w:r>
          </w:p>
        </w:tc>
        <w:tc>
          <w:tcPr>
            <w:tcW w:w="446" w:type="pct"/>
            <w:shd w:val="clear" w:color="auto" w:fill="auto"/>
            <w:vAlign w:val="center"/>
            <w:hideMark/>
          </w:tcPr>
          <w:p w14:paraId="39BD25B9"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43,5</w:t>
            </w:r>
          </w:p>
        </w:tc>
        <w:tc>
          <w:tcPr>
            <w:tcW w:w="446" w:type="pct"/>
            <w:shd w:val="clear" w:color="auto" w:fill="auto"/>
            <w:vAlign w:val="center"/>
            <w:hideMark/>
          </w:tcPr>
          <w:p w14:paraId="285CF98F"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51,7</w:t>
            </w:r>
          </w:p>
        </w:tc>
        <w:tc>
          <w:tcPr>
            <w:tcW w:w="446" w:type="pct"/>
            <w:shd w:val="clear" w:color="auto" w:fill="auto"/>
            <w:vAlign w:val="center"/>
            <w:hideMark/>
          </w:tcPr>
          <w:p w14:paraId="11DEA424"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93,1</w:t>
            </w:r>
          </w:p>
        </w:tc>
      </w:tr>
      <w:tr w:rsidR="00FE10C9" w:rsidRPr="00462AD9" w14:paraId="3B2514AB" w14:textId="77777777" w:rsidTr="00FE10C9">
        <w:trPr>
          <w:trHeight w:val="300"/>
        </w:trPr>
        <w:tc>
          <w:tcPr>
            <w:tcW w:w="1877" w:type="pct"/>
            <w:shd w:val="clear" w:color="auto" w:fill="auto"/>
            <w:vAlign w:val="center"/>
            <w:hideMark/>
          </w:tcPr>
          <w:p w14:paraId="634FD372" w14:textId="77777777" w:rsidR="00FE10C9" w:rsidRPr="00462AD9" w:rsidRDefault="00FE10C9" w:rsidP="00FE10C9">
            <w:pPr>
              <w:spacing w:before="0" w:after="0" w:line="240" w:lineRule="auto"/>
              <w:jc w:val="left"/>
              <w:rPr>
                <w:rFonts w:cs="Arial"/>
                <w:color w:val="000000" w:themeColor="text1"/>
                <w:sz w:val="20"/>
                <w:szCs w:val="20"/>
              </w:rPr>
            </w:pPr>
            <w:r w:rsidRPr="00462AD9">
              <w:rPr>
                <w:rFonts w:cs="Arial"/>
                <w:color w:val="000000"/>
                <w:sz w:val="20"/>
                <w:szCs w:val="20"/>
              </w:rPr>
              <w:t>NEKP i korekcija povijesnih cijena</w:t>
            </w:r>
            <w:r w:rsidRPr="00462AD9">
              <w:rPr>
                <w:rFonts w:cs="Arial"/>
                <w:bCs/>
                <w:color w:val="000000"/>
                <w:sz w:val="20"/>
              </w:rPr>
              <w:br/>
            </w:r>
            <w:r w:rsidRPr="00462AD9">
              <w:rPr>
                <w:rFonts w:cs="Arial"/>
                <w:color w:val="000000"/>
                <w:sz w:val="20"/>
                <w:szCs w:val="20"/>
              </w:rPr>
              <w:t>EUR'16/t CO</w:t>
            </w:r>
            <w:r w:rsidRPr="00462AD9">
              <w:rPr>
                <w:rFonts w:cs="Arial"/>
                <w:color w:val="000000"/>
                <w:sz w:val="20"/>
                <w:szCs w:val="20"/>
                <w:vertAlign w:val="subscript"/>
              </w:rPr>
              <w:t>2</w:t>
            </w:r>
          </w:p>
        </w:tc>
        <w:tc>
          <w:tcPr>
            <w:tcW w:w="446" w:type="pct"/>
            <w:shd w:val="clear" w:color="auto" w:fill="auto"/>
            <w:vAlign w:val="center"/>
            <w:hideMark/>
          </w:tcPr>
          <w:p w14:paraId="086FA8D7"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7,8</w:t>
            </w:r>
          </w:p>
        </w:tc>
        <w:tc>
          <w:tcPr>
            <w:tcW w:w="446" w:type="pct"/>
            <w:shd w:val="clear" w:color="auto" w:fill="auto"/>
            <w:vAlign w:val="center"/>
            <w:hideMark/>
          </w:tcPr>
          <w:p w14:paraId="3EACED3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25,9</w:t>
            </w:r>
          </w:p>
        </w:tc>
        <w:tc>
          <w:tcPr>
            <w:tcW w:w="446" w:type="pct"/>
            <w:shd w:val="clear" w:color="auto" w:fill="auto"/>
            <w:vAlign w:val="center"/>
            <w:hideMark/>
          </w:tcPr>
          <w:p w14:paraId="0B1517CC"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30,3</w:t>
            </w:r>
          </w:p>
        </w:tc>
        <w:tc>
          <w:tcPr>
            <w:tcW w:w="446" w:type="pct"/>
            <w:shd w:val="clear" w:color="auto" w:fill="auto"/>
            <w:vAlign w:val="center"/>
            <w:hideMark/>
          </w:tcPr>
          <w:p w14:paraId="433EA528"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34,7</w:t>
            </w:r>
          </w:p>
        </w:tc>
        <w:tc>
          <w:tcPr>
            <w:tcW w:w="446" w:type="pct"/>
            <w:shd w:val="clear" w:color="auto" w:fill="auto"/>
            <w:vAlign w:val="center"/>
            <w:hideMark/>
          </w:tcPr>
          <w:p w14:paraId="5552C44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43,5</w:t>
            </w:r>
          </w:p>
        </w:tc>
        <w:tc>
          <w:tcPr>
            <w:tcW w:w="446" w:type="pct"/>
            <w:shd w:val="clear" w:color="auto" w:fill="auto"/>
            <w:vAlign w:val="center"/>
            <w:hideMark/>
          </w:tcPr>
          <w:p w14:paraId="63409BFA"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51,7</w:t>
            </w:r>
          </w:p>
        </w:tc>
        <w:tc>
          <w:tcPr>
            <w:tcW w:w="446" w:type="pct"/>
            <w:shd w:val="clear" w:color="auto" w:fill="auto"/>
            <w:vAlign w:val="center"/>
            <w:hideMark/>
          </w:tcPr>
          <w:p w14:paraId="40ACAAE6" w14:textId="77777777" w:rsidR="00FE10C9" w:rsidRPr="00462AD9" w:rsidRDefault="00FE10C9" w:rsidP="00FE10C9">
            <w:pPr>
              <w:spacing w:before="0" w:after="0" w:line="240" w:lineRule="auto"/>
              <w:jc w:val="right"/>
              <w:rPr>
                <w:rFonts w:cs="Arial"/>
                <w:color w:val="000000" w:themeColor="text1"/>
                <w:sz w:val="20"/>
                <w:szCs w:val="20"/>
              </w:rPr>
            </w:pPr>
            <w:r w:rsidRPr="00462AD9">
              <w:rPr>
                <w:rFonts w:cs="Arial"/>
                <w:color w:val="000000"/>
                <w:sz w:val="20"/>
                <w:szCs w:val="20"/>
              </w:rPr>
              <w:t>93,1</w:t>
            </w:r>
          </w:p>
        </w:tc>
      </w:tr>
      <w:tr w:rsidR="00FE10C9" w:rsidRPr="00462AD9" w14:paraId="2EF92CDC" w14:textId="77777777" w:rsidTr="00FE10C9">
        <w:trPr>
          <w:trHeight w:val="300"/>
        </w:trPr>
        <w:tc>
          <w:tcPr>
            <w:tcW w:w="1877" w:type="pct"/>
            <w:shd w:val="clear" w:color="auto" w:fill="auto"/>
            <w:vAlign w:val="center"/>
          </w:tcPr>
          <w:p w14:paraId="1896B92B" w14:textId="3033063B" w:rsidR="00FE10C9" w:rsidRPr="00462AD9" w:rsidRDefault="00FE10C9" w:rsidP="00FE10C9">
            <w:pPr>
              <w:spacing w:before="0" w:after="0" w:line="240" w:lineRule="auto"/>
              <w:jc w:val="left"/>
              <w:rPr>
                <w:rFonts w:cs="Arial"/>
                <w:color w:val="000000"/>
                <w:sz w:val="20"/>
                <w:szCs w:val="20"/>
              </w:rPr>
            </w:pPr>
            <w:r w:rsidRPr="00462AD9">
              <w:rPr>
                <w:rFonts w:cs="Arial"/>
                <w:color w:val="000000"/>
                <w:sz w:val="20"/>
                <w:szCs w:val="20"/>
              </w:rPr>
              <w:t>NEKP i korekcija povijesnih cijena</w:t>
            </w:r>
            <w:r w:rsidRPr="00462AD9">
              <w:rPr>
                <w:rFonts w:cs="Arial"/>
                <w:bCs/>
                <w:color w:val="000000"/>
                <w:sz w:val="20"/>
              </w:rPr>
              <w:br/>
            </w:r>
            <w:r w:rsidRPr="00462AD9">
              <w:rPr>
                <w:rFonts w:cs="Arial"/>
                <w:color w:val="000000"/>
                <w:sz w:val="20"/>
                <w:szCs w:val="20"/>
              </w:rPr>
              <w:t>EUR'1</w:t>
            </w:r>
            <w:r>
              <w:rPr>
                <w:rFonts w:cs="Arial"/>
                <w:color w:val="000000"/>
                <w:sz w:val="20"/>
                <w:szCs w:val="20"/>
              </w:rPr>
              <w:t>5</w:t>
            </w:r>
            <w:r w:rsidRPr="00462AD9">
              <w:rPr>
                <w:rFonts w:cs="Arial"/>
                <w:color w:val="000000"/>
                <w:sz w:val="20"/>
                <w:szCs w:val="20"/>
              </w:rPr>
              <w:t>/t CO</w:t>
            </w:r>
            <w:r w:rsidRPr="00462AD9">
              <w:rPr>
                <w:rFonts w:cs="Arial"/>
                <w:color w:val="000000"/>
                <w:sz w:val="20"/>
                <w:szCs w:val="20"/>
                <w:vertAlign w:val="subscript"/>
              </w:rPr>
              <w:t>2</w:t>
            </w:r>
          </w:p>
        </w:tc>
        <w:tc>
          <w:tcPr>
            <w:tcW w:w="446" w:type="pct"/>
            <w:shd w:val="clear" w:color="auto" w:fill="auto"/>
            <w:vAlign w:val="center"/>
          </w:tcPr>
          <w:p w14:paraId="694A6050"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7</w:t>
            </w:r>
            <w:r>
              <w:rPr>
                <w:rFonts w:cs="Arial"/>
                <w:color w:val="000000"/>
                <w:sz w:val="20"/>
                <w:szCs w:val="20"/>
              </w:rPr>
              <w:t>,7</w:t>
            </w:r>
          </w:p>
        </w:tc>
        <w:tc>
          <w:tcPr>
            <w:tcW w:w="446" w:type="pct"/>
            <w:shd w:val="clear" w:color="auto" w:fill="auto"/>
            <w:vAlign w:val="center"/>
          </w:tcPr>
          <w:p w14:paraId="655DD805"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25</w:t>
            </w:r>
            <w:r>
              <w:rPr>
                <w:rFonts w:cs="Arial"/>
                <w:color w:val="000000"/>
                <w:sz w:val="20"/>
                <w:szCs w:val="20"/>
              </w:rPr>
              <w:t>,6</w:t>
            </w:r>
          </w:p>
        </w:tc>
        <w:tc>
          <w:tcPr>
            <w:tcW w:w="446" w:type="pct"/>
            <w:shd w:val="clear" w:color="auto" w:fill="auto"/>
            <w:vAlign w:val="center"/>
          </w:tcPr>
          <w:p w14:paraId="5C35146D"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29</w:t>
            </w:r>
            <w:r>
              <w:rPr>
                <w:rFonts w:cs="Arial"/>
                <w:color w:val="000000"/>
                <w:sz w:val="20"/>
                <w:szCs w:val="20"/>
              </w:rPr>
              <w:t>,</w:t>
            </w:r>
            <w:r w:rsidRPr="001A2DFB">
              <w:rPr>
                <w:rFonts w:cs="Arial"/>
                <w:color w:val="000000"/>
                <w:sz w:val="20"/>
                <w:szCs w:val="20"/>
              </w:rPr>
              <w:t>9</w:t>
            </w:r>
          </w:p>
        </w:tc>
        <w:tc>
          <w:tcPr>
            <w:tcW w:w="446" w:type="pct"/>
            <w:shd w:val="clear" w:color="auto" w:fill="auto"/>
            <w:vAlign w:val="center"/>
          </w:tcPr>
          <w:p w14:paraId="7B5D86EA"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34</w:t>
            </w:r>
            <w:r>
              <w:rPr>
                <w:rFonts w:cs="Arial"/>
                <w:color w:val="000000"/>
                <w:sz w:val="20"/>
                <w:szCs w:val="20"/>
              </w:rPr>
              <w:t>,3</w:t>
            </w:r>
          </w:p>
        </w:tc>
        <w:tc>
          <w:tcPr>
            <w:tcW w:w="446" w:type="pct"/>
            <w:shd w:val="clear" w:color="auto" w:fill="auto"/>
            <w:vAlign w:val="center"/>
          </w:tcPr>
          <w:p w14:paraId="4E0DBFBC"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4</w:t>
            </w:r>
            <w:r>
              <w:rPr>
                <w:rFonts w:cs="Arial"/>
                <w:color w:val="000000"/>
                <w:sz w:val="20"/>
                <w:szCs w:val="20"/>
              </w:rPr>
              <w:t>3,0</w:t>
            </w:r>
          </w:p>
        </w:tc>
        <w:tc>
          <w:tcPr>
            <w:tcW w:w="446" w:type="pct"/>
            <w:shd w:val="clear" w:color="auto" w:fill="auto"/>
            <w:vAlign w:val="center"/>
          </w:tcPr>
          <w:p w14:paraId="00816B8A" w14:textId="77777777" w:rsidR="00FE10C9" w:rsidRPr="00462AD9" w:rsidRDefault="00FE10C9" w:rsidP="00FE10C9">
            <w:pPr>
              <w:spacing w:before="0" w:after="0" w:line="240" w:lineRule="auto"/>
              <w:jc w:val="right"/>
              <w:rPr>
                <w:rFonts w:cs="Arial"/>
                <w:color w:val="000000"/>
                <w:sz w:val="20"/>
                <w:szCs w:val="20"/>
              </w:rPr>
            </w:pPr>
            <w:r w:rsidRPr="001A2DFB">
              <w:rPr>
                <w:rFonts w:cs="Arial"/>
                <w:color w:val="000000"/>
                <w:sz w:val="20"/>
                <w:szCs w:val="20"/>
              </w:rPr>
              <w:t>51</w:t>
            </w:r>
            <w:r>
              <w:rPr>
                <w:rFonts w:cs="Arial"/>
                <w:color w:val="000000"/>
                <w:sz w:val="20"/>
                <w:szCs w:val="20"/>
              </w:rPr>
              <w:t>,</w:t>
            </w:r>
            <w:r w:rsidRPr="001A2DFB">
              <w:rPr>
                <w:rFonts w:cs="Arial"/>
                <w:color w:val="000000"/>
                <w:sz w:val="20"/>
                <w:szCs w:val="20"/>
              </w:rPr>
              <w:t>1</w:t>
            </w:r>
          </w:p>
        </w:tc>
        <w:tc>
          <w:tcPr>
            <w:tcW w:w="446" w:type="pct"/>
            <w:shd w:val="clear" w:color="auto" w:fill="auto"/>
            <w:vAlign w:val="center"/>
          </w:tcPr>
          <w:p w14:paraId="00073141" w14:textId="77777777" w:rsidR="00FE10C9" w:rsidRPr="00462AD9" w:rsidRDefault="00FE10C9" w:rsidP="00FE10C9">
            <w:pPr>
              <w:spacing w:before="0" w:after="0" w:line="240" w:lineRule="auto"/>
              <w:jc w:val="right"/>
              <w:rPr>
                <w:rFonts w:cs="Arial"/>
                <w:color w:val="000000"/>
                <w:sz w:val="20"/>
                <w:szCs w:val="20"/>
              </w:rPr>
            </w:pPr>
            <w:r>
              <w:rPr>
                <w:rFonts w:cs="Arial"/>
                <w:color w:val="000000"/>
                <w:sz w:val="20"/>
                <w:szCs w:val="20"/>
              </w:rPr>
              <w:t>92,1</w:t>
            </w:r>
          </w:p>
        </w:tc>
      </w:tr>
    </w:tbl>
    <w:p w14:paraId="283AB346" w14:textId="77777777" w:rsidR="00FE10C9" w:rsidRPr="00462AD9" w:rsidRDefault="00FE10C9" w:rsidP="00FE10C9">
      <w:pPr>
        <w:pStyle w:val="Slike"/>
        <w:keepNext w:val="0"/>
      </w:pPr>
      <w:r w:rsidRPr="00462AD9">
        <w:t>Izvor: EU Reference Scenario 2016 i EIHP analiza</w:t>
      </w:r>
    </w:p>
    <w:p w14:paraId="42D85E6A" w14:textId="3D6B8EB3" w:rsidR="005529DC" w:rsidRPr="00462AD9" w:rsidRDefault="005529DC" w:rsidP="005529DC">
      <w:r w:rsidRPr="00462AD9">
        <w:t xml:space="preserve">Trenutne cijene na tržištu pokazuju i veće vrijednosti od onih preporučenih od strane EK. </w:t>
      </w:r>
      <w:r w:rsidR="00D93E7C">
        <w:t>Na temelju</w:t>
      </w:r>
      <w:r w:rsidR="00D93E7C" w:rsidRPr="00462AD9">
        <w:t xml:space="preserve"> </w:t>
      </w:r>
      <w:r w:rsidRPr="00462AD9">
        <w:t xml:space="preserve">takvih kretanja procijenjena je alternativna putanja cijena do 2030. godine, svedena na euro iz 2015. godine. Ove vrijednosti korištene su za optimiranje sustava proizvodnje električne energije </w:t>
      </w:r>
      <w:r>
        <w:t>(</w:t>
      </w:r>
      <w:r w:rsidR="001032D6">
        <w:fldChar w:fldCharType="begin"/>
      </w:r>
      <w:r w:rsidR="001032D6">
        <w:instrText xml:space="preserve"> REF _Ref531871069 \h </w:instrText>
      </w:r>
      <w:r w:rsidR="001032D6">
        <w:fldChar w:fldCharType="separate"/>
      </w:r>
      <w:r w:rsidR="00154150">
        <w:t xml:space="preserve">Slika </w:t>
      </w:r>
      <w:r w:rsidR="00154150">
        <w:rPr>
          <w:noProof/>
        </w:rPr>
        <w:t>4</w:t>
      </w:r>
      <w:r w:rsidR="00154150">
        <w:noBreakHyphen/>
      </w:r>
      <w:r w:rsidR="00154150">
        <w:rPr>
          <w:noProof/>
        </w:rPr>
        <w:t>3</w:t>
      </w:r>
      <w:r w:rsidR="00154150" w:rsidRPr="00462AD9">
        <w:t>.</w:t>
      </w:r>
      <w:r w:rsidR="001032D6">
        <w:fldChar w:fldCharType="end"/>
      </w:r>
      <w:r>
        <w:t>)</w:t>
      </w:r>
      <w:r w:rsidRPr="00462AD9">
        <w:t>.</w:t>
      </w:r>
    </w:p>
    <w:p w14:paraId="01AAD982" w14:textId="77777777" w:rsidR="005529DC" w:rsidRPr="00462AD9" w:rsidRDefault="005529DC" w:rsidP="005529DC">
      <w:pPr>
        <w:keepNext/>
      </w:pPr>
      <w:r w:rsidRPr="00462AD9">
        <w:rPr>
          <w:noProof/>
        </w:rPr>
        <w:drawing>
          <wp:inline distT="0" distB="0" distL="0" distR="0" wp14:anchorId="15874E6B" wp14:editId="02D81B1E">
            <wp:extent cx="5760720" cy="3227705"/>
            <wp:effectExtent l="0" t="0" r="0" b="0"/>
            <wp:docPr id="1771669871" name="Picture 177166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760720" cy="3227705"/>
                    </a:xfrm>
                    <a:prstGeom prst="rect">
                      <a:avLst/>
                    </a:prstGeom>
                    <a:noFill/>
                    <a:ln>
                      <a:noFill/>
                    </a:ln>
                  </pic:spPr>
                </pic:pic>
              </a:graphicData>
            </a:graphic>
          </wp:inline>
        </w:drawing>
      </w:r>
    </w:p>
    <w:p w14:paraId="12671144" w14:textId="624E2EC9" w:rsidR="005529DC" w:rsidRPr="00462AD9" w:rsidRDefault="005529DC">
      <w:pPr>
        <w:pStyle w:val="Caption"/>
      </w:pPr>
      <w:bookmarkStart w:id="442" w:name="_Ref531871069"/>
      <w:bookmarkStart w:id="443" w:name="_Ref531869972"/>
      <w:bookmarkStart w:id="444" w:name="_Toc27396155"/>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3</w:t>
      </w:r>
      <w:r w:rsidR="005A7E31">
        <w:rPr>
          <w:noProof/>
        </w:rPr>
        <w:fldChar w:fldCharType="end"/>
      </w:r>
      <w:r w:rsidRPr="00462AD9">
        <w:t>.</w:t>
      </w:r>
      <w:bookmarkEnd w:id="442"/>
      <w:r w:rsidRPr="00462AD9">
        <w:t xml:space="preserve"> Očekivana cijena emisijskih jedinica do 2050. godine</w:t>
      </w:r>
      <w:bookmarkEnd w:id="443"/>
      <w:bookmarkEnd w:id="444"/>
    </w:p>
    <w:p w14:paraId="170E2AA9" w14:textId="77777777" w:rsidR="005529DC" w:rsidRPr="00462AD9" w:rsidRDefault="005529DC" w:rsidP="005529DC">
      <w:pPr>
        <w:pStyle w:val="Slike"/>
        <w:keepNext w:val="0"/>
      </w:pPr>
      <w:r w:rsidRPr="00462AD9">
        <w:t>Izvor: EU Reference Scenario 2016 i EIHP analiza</w:t>
      </w:r>
    </w:p>
    <w:p w14:paraId="5103B685" w14:textId="77777777" w:rsidR="00C21988" w:rsidRDefault="00C21988" w:rsidP="00C21988"/>
    <w:p w14:paraId="7F74A401" w14:textId="77777777" w:rsidR="001626DF" w:rsidRPr="00BE1ECD" w:rsidRDefault="001626DF" w:rsidP="00840E2E">
      <w:pPr>
        <w:pStyle w:val="Heading3"/>
        <w:numPr>
          <w:ilvl w:val="0"/>
          <w:numId w:val="78"/>
        </w:numPr>
      </w:pPr>
      <w:r w:rsidRPr="00BE1ECD">
        <w:t>Promjene u trošku tehnologije</w:t>
      </w:r>
    </w:p>
    <w:p w14:paraId="7588A1BD" w14:textId="0654B49C" w:rsidR="00B00E96" w:rsidRPr="00462AD9" w:rsidRDefault="00B00E96" w:rsidP="00B00E96">
      <w:r>
        <w:t xml:space="preserve">Očekivani razvoj specifičnih </w:t>
      </w:r>
      <w:r w:rsidRPr="00462AD9">
        <w:t xml:space="preserve">troškova ulaganja u pojedine tehnologije za razdoblje 2015.-2050. </w:t>
      </w:r>
      <w:r>
        <w:t>preuzet je iz [</w:t>
      </w:r>
      <w:r>
        <w:fldChar w:fldCharType="begin"/>
      </w:r>
      <w:r>
        <w:instrText xml:space="preserve"> REF _Ref5966480 \r \h </w:instrText>
      </w:r>
      <w:r>
        <w:fldChar w:fldCharType="separate"/>
      </w:r>
      <w:r w:rsidR="00154150">
        <w:t>20</w:t>
      </w:r>
      <w:r>
        <w:fldChar w:fldCharType="end"/>
      </w:r>
      <w:r>
        <w:t>]</w:t>
      </w:r>
      <w:r w:rsidRPr="00462AD9">
        <w:t>)</w:t>
      </w:r>
      <w:r>
        <w:t>[</w:t>
      </w:r>
      <w:r>
        <w:fldChar w:fldCharType="begin"/>
      </w:r>
      <w:r>
        <w:instrText xml:space="preserve"> REF _Ref5967109 \r \h </w:instrText>
      </w:r>
      <w:r>
        <w:fldChar w:fldCharType="separate"/>
      </w:r>
      <w:r w:rsidR="00154150">
        <w:t>21</w:t>
      </w:r>
      <w:r>
        <w:fldChar w:fldCharType="end"/>
      </w:r>
      <w:r>
        <w:t>]</w:t>
      </w:r>
      <w:r w:rsidRPr="00462AD9">
        <w:t xml:space="preserve"> i interni</w:t>
      </w:r>
      <w:r>
        <w:t>h</w:t>
      </w:r>
      <w:r w:rsidRPr="00462AD9">
        <w:t xml:space="preserve"> procjena, osobito u </w:t>
      </w:r>
      <w:r>
        <w:t>području</w:t>
      </w:r>
      <w:r w:rsidRPr="00462AD9">
        <w:t xml:space="preserve"> vjetroelektrana</w:t>
      </w:r>
      <w:r>
        <w:t xml:space="preserve"> (</w:t>
      </w:r>
      <w:r w:rsidR="003B74C6">
        <w:fldChar w:fldCharType="begin"/>
      </w:r>
      <w:r w:rsidR="003B74C6">
        <w:instrText xml:space="preserve"> REF _Ref20743682 \h </w:instrText>
      </w:r>
      <w:r w:rsidR="003B74C6">
        <w:fldChar w:fldCharType="separate"/>
      </w:r>
      <w:r w:rsidR="00154150">
        <w:t xml:space="preserve">Slika </w:t>
      </w:r>
      <w:r w:rsidR="00154150">
        <w:rPr>
          <w:noProof/>
        </w:rPr>
        <w:t>4</w:t>
      </w:r>
      <w:r w:rsidR="00154150">
        <w:noBreakHyphen/>
      </w:r>
      <w:r w:rsidR="00154150">
        <w:rPr>
          <w:noProof/>
        </w:rPr>
        <w:t>4.</w:t>
      </w:r>
      <w:r w:rsidR="003B74C6">
        <w:fldChar w:fldCharType="end"/>
      </w:r>
      <w:r w:rsidR="00221B6F">
        <w:t xml:space="preserve"> </w:t>
      </w:r>
      <w:r>
        <w:t>i</w:t>
      </w:r>
      <w:r w:rsidR="003B74C6">
        <w:t xml:space="preserve"> </w:t>
      </w:r>
      <w:r w:rsidR="003B74C6">
        <w:fldChar w:fldCharType="begin"/>
      </w:r>
      <w:r w:rsidR="003B74C6">
        <w:instrText xml:space="preserve"> REF _Ref20743699 \h </w:instrText>
      </w:r>
      <w:r w:rsidR="003B74C6">
        <w:fldChar w:fldCharType="separate"/>
      </w:r>
      <w:r w:rsidR="00154150">
        <w:t xml:space="preserve">Slika </w:t>
      </w:r>
      <w:r w:rsidR="00154150">
        <w:rPr>
          <w:noProof/>
        </w:rPr>
        <w:t>4</w:t>
      </w:r>
      <w:r w:rsidR="00154150">
        <w:noBreakHyphen/>
      </w:r>
      <w:r w:rsidR="00154150">
        <w:rPr>
          <w:noProof/>
        </w:rPr>
        <w:t>5</w:t>
      </w:r>
      <w:r w:rsidR="00154150" w:rsidRPr="00462AD9">
        <w:t>.</w:t>
      </w:r>
      <w:r w:rsidR="003B74C6">
        <w:fldChar w:fldCharType="end"/>
      </w:r>
      <w:r>
        <w:t>)</w:t>
      </w:r>
      <w:r w:rsidRPr="00462AD9">
        <w:t>.</w:t>
      </w:r>
    </w:p>
    <w:p w14:paraId="15B1BEDB" w14:textId="77777777" w:rsidR="00B00E96" w:rsidRPr="00462AD9" w:rsidRDefault="00B00E96" w:rsidP="00B00E96">
      <w:pPr>
        <w:keepNext/>
        <w:jc w:val="center"/>
      </w:pPr>
      <w:r w:rsidRPr="00462AD9">
        <w:rPr>
          <w:noProof/>
        </w:rPr>
        <w:drawing>
          <wp:inline distT="0" distB="0" distL="0" distR="0" wp14:anchorId="397E81C4" wp14:editId="454517FE">
            <wp:extent cx="5760085" cy="2941955"/>
            <wp:effectExtent l="0" t="0" r="0" b="0"/>
            <wp:docPr id="4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760085" cy="2941955"/>
                    </a:xfrm>
                    <a:prstGeom prst="rect">
                      <a:avLst/>
                    </a:prstGeom>
                    <a:noFill/>
                    <a:ln>
                      <a:noFill/>
                    </a:ln>
                  </pic:spPr>
                </pic:pic>
              </a:graphicData>
            </a:graphic>
          </wp:inline>
        </w:drawing>
      </w:r>
    </w:p>
    <w:p w14:paraId="5EF3A050" w14:textId="7AA18A6D" w:rsidR="00B00E96" w:rsidRPr="00462AD9" w:rsidRDefault="00B00E96" w:rsidP="00B00E96">
      <w:pPr>
        <w:pStyle w:val="Caption"/>
      </w:pPr>
      <w:bookmarkStart w:id="445" w:name="_Ref20743682"/>
      <w:bookmarkStart w:id="446" w:name="_Toc27396156"/>
      <w:r>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4</w:t>
      </w:r>
      <w:r>
        <w:rPr>
          <w:noProof/>
        </w:rPr>
        <w:fldChar w:fldCharType="end"/>
      </w:r>
      <w:r>
        <w:rPr>
          <w:noProof/>
        </w:rPr>
        <w:t>.</w:t>
      </w:r>
      <w:bookmarkEnd w:id="445"/>
      <w:r w:rsidRPr="00462AD9">
        <w:t xml:space="preserve"> Specifična investicija u OIE tehnologije</w:t>
      </w:r>
      <w:bookmarkEnd w:id="446"/>
    </w:p>
    <w:p w14:paraId="435A0537" w14:textId="264F739E" w:rsidR="00B00E96" w:rsidRPr="00462AD9" w:rsidRDefault="00B00E96" w:rsidP="00B00E96">
      <w:r w:rsidRPr="00462AD9">
        <w:t xml:space="preserve">Za OIE izvore očekuje se daljnje smanjenje specifičnog troška, osobito za sunčeve elektrane i vjetroelektrane na moru. Neki od projekata VE i </w:t>
      </w:r>
      <w:r w:rsidR="00B04E60">
        <w:t>SE</w:t>
      </w:r>
      <w:r w:rsidRPr="00462AD9">
        <w:t xml:space="preserve"> već danas iskazuju niži trošak od ovdje pretpostavljenog. Za velike i male HE i elektrane na biomasu ne očekuje se</w:t>
      </w:r>
      <w:r w:rsidR="000E7CD2">
        <w:t xml:space="preserve"> značajniji</w:t>
      </w:r>
      <w:r w:rsidR="00BD4B1D" w:rsidRPr="00BD4B1D">
        <w:t xml:space="preserve"> </w:t>
      </w:r>
      <w:r w:rsidRPr="00462AD9">
        <w:t>tehnološki/troškovni napredak.</w:t>
      </w:r>
    </w:p>
    <w:p w14:paraId="6F86D4E3" w14:textId="77777777" w:rsidR="00B00E96" w:rsidRPr="00462AD9" w:rsidRDefault="00B00E96" w:rsidP="00B00E96">
      <w:pPr>
        <w:keepNext/>
      </w:pPr>
      <w:r w:rsidRPr="00462AD9">
        <w:rPr>
          <w:noProof/>
        </w:rPr>
        <w:drawing>
          <wp:inline distT="0" distB="0" distL="0" distR="0" wp14:anchorId="06B6324F" wp14:editId="16B4BBAC">
            <wp:extent cx="5760085" cy="2946400"/>
            <wp:effectExtent l="0" t="0" r="0" b="6350"/>
            <wp:docPr id="42" name="Picture 21879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760085" cy="2946400"/>
                    </a:xfrm>
                    <a:prstGeom prst="rect">
                      <a:avLst/>
                    </a:prstGeom>
                    <a:noFill/>
                    <a:ln>
                      <a:noFill/>
                    </a:ln>
                  </pic:spPr>
                </pic:pic>
              </a:graphicData>
            </a:graphic>
          </wp:inline>
        </w:drawing>
      </w:r>
    </w:p>
    <w:p w14:paraId="22A1F45D" w14:textId="5409CD5F" w:rsidR="00B00E96" w:rsidRPr="00462AD9" w:rsidRDefault="00B00E96" w:rsidP="00B00E96">
      <w:pPr>
        <w:pStyle w:val="Caption"/>
      </w:pPr>
      <w:bookmarkStart w:id="447" w:name="_Ref20743699"/>
      <w:bookmarkStart w:id="448" w:name="_Toc27396157"/>
      <w:r>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5</w:t>
      </w:r>
      <w:r>
        <w:rPr>
          <w:noProof/>
        </w:rPr>
        <w:fldChar w:fldCharType="end"/>
      </w:r>
      <w:r w:rsidRPr="00462AD9">
        <w:t>.</w:t>
      </w:r>
      <w:bookmarkEnd w:id="447"/>
      <w:r w:rsidRPr="00462AD9">
        <w:t xml:space="preserve"> Specifična investicija u elektrane na fosilna goriva i nuklearne elektrane</w:t>
      </w:r>
      <w:bookmarkEnd w:id="448"/>
    </w:p>
    <w:p w14:paraId="3A285CD7" w14:textId="77777777" w:rsidR="00B00E96" w:rsidRPr="00462AD9" w:rsidRDefault="00B00E96" w:rsidP="00B00E96">
      <w:r w:rsidRPr="00462AD9">
        <w:t xml:space="preserve">Za TE na ugljen i prirodni plin ne očekuje se tehnološki napredak, osim u </w:t>
      </w:r>
      <w:r>
        <w:t>kontekstu razvoja</w:t>
      </w:r>
      <w:r w:rsidRPr="00462AD9">
        <w:t xml:space="preserve"> </w:t>
      </w:r>
      <w:r>
        <w:t xml:space="preserve">prikupljanja i skladištenja ugljika (engl. </w:t>
      </w:r>
      <w:r w:rsidRPr="003E33F5">
        <w:rPr>
          <w:i/>
          <w:iCs/>
        </w:rPr>
        <w:t>carbon capturing and storage, CC</w:t>
      </w:r>
      <w:r>
        <w:rPr>
          <w:i/>
          <w:iCs/>
        </w:rPr>
        <w:t>S</w:t>
      </w:r>
      <w:r>
        <w:t>)</w:t>
      </w:r>
      <w:r w:rsidRPr="00462AD9">
        <w:t xml:space="preserve">. Za nuklearne elektrane pretpostavljena je mogućnost napretka u slučaju većeg korištenja ove </w:t>
      </w:r>
      <w:r>
        <w:t>tehnologije u okviru</w:t>
      </w:r>
      <w:r w:rsidRPr="00462AD9">
        <w:t xml:space="preserve"> dostizanje ciljeva smanjenja emisije na globalnoj razini (prikazana procjena odnosi se na projekte koji bi se realizirali u Europi).</w:t>
      </w:r>
    </w:p>
    <w:p w14:paraId="55BAACEB" w14:textId="77777777" w:rsidR="00B00E96" w:rsidRDefault="00B00E96" w:rsidP="00C21988"/>
    <w:p w14:paraId="167DF49F" w14:textId="54353F68" w:rsidR="00C21988" w:rsidRDefault="004E40FF" w:rsidP="00C21988">
      <w:pPr>
        <w:pStyle w:val="Heading2"/>
      </w:pPr>
      <w:bookmarkStart w:id="449" w:name="_Toc531935170"/>
      <w:bookmarkStart w:id="450" w:name="_Toc531945120"/>
      <w:bookmarkStart w:id="451" w:name="_Toc6302378"/>
      <w:bookmarkStart w:id="452" w:name="_Toc27396117"/>
      <w:r>
        <w:t>4.2</w:t>
      </w:r>
      <w:r>
        <w:tab/>
      </w:r>
      <w:r w:rsidR="00C21988">
        <w:t>Dimenzija: dekarbonizacija</w:t>
      </w:r>
      <w:bookmarkEnd w:id="449"/>
      <w:bookmarkEnd w:id="450"/>
      <w:bookmarkEnd w:id="451"/>
      <w:bookmarkEnd w:id="452"/>
    </w:p>
    <w:p w14:paraId="791E253D" w14:textId="44724D96" w:rsidR="00C21988" w:rsidRDefault="00945052" w:rsidP="00302043">
      <w:pPr>
        <w:pStyle w:val="Heading3"/>
      </w:pPr>
      <w:bookmarkStart w:id="453" w:name="_Toc531935171"/>
      <w:bookmarkStart w:id="454" w:name="_Toc531945121"/>
      <w:bookmarkStart w:id="455" w:name="_Toc6302379"/>
      <w:r>
        <w:t xml:space="preserve">4.2.1 </w:t>
      </w:r>
      <w:r w:rsidR="00C21988">
        <w:t>Emisije i uklanjanja stakleničkih plinova</w:t>
      </w:r>
      <w:bookmarkEnd w:id="453"/>
      <w:bookmarkEnd w:id="454"/>
      <w:bookmarkEnd w:id="455"/>
    </w:p>
    <w:p w14:paraId="14879F2E" w14:textId="7FBE6230" w:rsidR="00C21988" w:rsidRDefault="00C21988" w:rsidP="00840E2E">
      <w:pPr>
        <w:pStyle w:val="Heading3"/>
        <w:numPr>
          <w:ilvl w:val="0"/>
          <w:numId w:val="54"/>
        </w:numPr>
      </w:pPr>
      <w:r>
        <w:t xml:space="preserve">Trendovi u trenutačnim emisijama i uklanjanjima stakleničkih plinova u okviru sustava EU-a za trgovanje emisijama, Uredbe o raspodjeli tereta i LULUCF-a te u okviru drugih energetskih sektora </w:t>
      </w:r>
    </w:p>
    <w:p w14:paraId="478C7D34" w14:textId="143FC660" w:rsidR="006A1890" w:rsidRDefault="00991EB3" w:rsidP="006A1890">
      <w:pPr>
        <w:suppressAutoHyphens w:val="0"/>
        <w:spacing w:after="160" w:line="259" w:lineRule="auto"/>
        <w:contextualSpacing/>
        <w:jc w:val="left"/>
      </w:pPr>
      <w:r>
        <w:t>Trend emisija stakleničkih plinova u Republi</w:t>
      </w:r>
      <w:r w:rsidR="00A93B86">
        <w:t>c</w:t>
      </w:r>
      <w:r>
        <w:t xml:space="preserve">i Hrvatskoj </w:t>
      </w:r>
      <w:r w:rsidR="005529DC">
        <w:t xml:space="preserve">prikazuje </w:t>
      </w:r>
      <w:r w:rsidR="005529DC">
        <w:fldChar w:fldCharType="begin"/>
      </w:r>
      <w:r w:rsidR="005529DC">
        <w:instrText xml:space="preserve"> REF _Ref531870041 \h </w:instrText>
      </w:r>
      <w:r w:rsidR="005529DC">
        <w:fldChar w:fldCharType="separate"/>
      </w:r>
      <w:r w:rsidR="00154150" w:rsidRPr="00462AD9">
        <w:t xml:space="preserve">Slika </w:t>
      </w:r>
      <w:r w:rsidR="00154150">
        <w:rPr>
          <w:noProof/>
        </w:rPr>
        <w:t>4</w:t>
      </w:r>
      <w:r w:rsidR="00154150">
        <w:noBreakHyphen/>
      </w:r>
      <w:r w:rsidR="00154150">
        <w:rPr>
          <w:noProof/>
        </w:rPr>
        <w:t>6</w:t>
      </w:r>
      <w:r w:rsidR="00154150" w:rsidRPr="00462AD9">
        <w:t>.</w:t>
      </w:r>
      <w:r w:rsidR="005529DC">
        <w:fldChar w:fldCharType="end"/>
      </w:r>
    </w:p>
    <w:p w14:paraId="204DB154" w14:textId="77777777" w:rsidR="00991EB3" w:rsidRDefault="00991EB3" w:rsidP="006A1890">
      <w:pPr>
        <w:suppressAutoHyphens w:val="0"/>
        <w:spacing w:after="160" w:line="259" w:lineRule="auto"/>
        <w:contextualSpacing/>
        <w:jc w:val="left"/>
      </w:pPr>
    </w:p>
    <w:p w14:paraId="2159AF4D" w14:textId="21D2A2A8" w:rsidR="00140589" w:rsidRDefault="0088553D" w:rsidP="006A1890">
      <w:pPr>
        <w:suppressAutoHyphens w:val="0"/>
        <w:spacing w:after="160" w:line="259" w:lineRule="auto"/>
        <w:contextualSpacing/>
        <w:jc w:val="left"/>
      </w:pPr>
      <w:r>
        <w:rPr>
          <w:noProof/>
        </w:rPr>
        <w:drawing>
          <wp:inline distT="0" distB="0" distL="0" distR="0" wp14:anchorId="093DD8F8" wp14:editId="4E67D07F">
            <wp:extent cx="5632704" cy="2851771"/>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43878" cy="2857428"/>
                    </a:xfrm>
                    <a:prstGeom prst="rect">
                      <a:avLst/>
                    </a:prstGeom>
                    <a:noFill/>
                  </pic:spPr>
                </pic:pic>
              </a:graphicData>
            </a:graphic>
          </wp:inline>
        </w:drawing>
      </w:r>
    </w:p>
    <w:p w14:paraId="1AAAD17B" w14:textId="6DAA1D86" w:rsidR="00CD2CA1" w:rsidRPr="00462AD9" w:rsidRDefault="00CD2CA1" w:rsidP="00CF2D4C">
      <w:pPr>
        <w:pStyle w:val="Caption"/>
        <w:keepNext/>
      </w:pPr>
      <w:bookmarkStart w:id="456" w:name="_Ref531870041"/>
      <w:bookmarkStart w:id="457" w:name="_Toc27396158"/>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6</w:t>
      </w:r>
      <w:r w:rsidR="005A7E31">
        <w:rPr>
          <w:noProof/>
        </w:rPr>
        <w:fldChar w:fldCharType="end"/>
      </w:r>
      <w:r w:rsidRPr="00462AD9">
        <w:t>.</w:t>
      </w:r>
      <w:bookmarkEnd w:id="456"/>
      <w:r w:rsidRPr="00462AD9">
        <w:t xml:space="preserve"> </w:t>
      </w:r>
      <w:r w:rsidRPr="00CD2CA1">
        <w:t>Trend emisija stakleničkih plinova u Republici Hrvatskoj</w:t>
      </w:r>
      <w:bookmarkEnd w:id="457"/>
    </w:p>
    <w:p w14:paraId="129D57D6" w14:textId="1FCB8000" w:rsidR="00140589" w:rsidRDefault="00140589">
      <w:pPr>
        <w:suppressAutoHyphens w:val="0"/>
        <w:spacing w:after="160" w:line="259" w:lineRule="auto"/>
        <w:contextualSpacing/>
      </w:pPr>
      <w:r>
        <w:t xml:space="preserve">Od 1.1.2013. </w:t>
      </w:r>
      <w:r w:rsidR="00FE113E">
        <w:t xml:space="preserve">postrojenja iz </w:t>
      </w:r>
      <w:r>
        <w:t>Republik</w:t>
      </w:r>
      <w:r w:rsidR="00FE113E">
        <w:t>e</w:t>
      </w:r>
      <w:r>
        <w:t xml:space="preserve"> Hrvatsk</w:t>
      </w:r>
      <w:r w:rsidR="00FE113E">
        <w:t xml:space="preserve">e </w:t>
      </w:r>
      <w:r w:rsidR="00CC47E4">
        <w:t>su</w:t>
      </w:r>
      <w:r w:rsidR="00FE113E">
        <w:t xml:space="preserve"> sudionici EU sustava trgovanja emisij</w:t>
      </w:r>
      <w:r w:rsidR="00514C4B">
        <w:t>s</w:t>
      </w:r>
      <w:r w:rsidR="00FE113E">
        <w:t>kim jedinicama stakleničkih plinova.</w:t>
      </w:r>
      <w:r w:rsidR="00CC47E4">
        <w:t xml:space="preserve"> Emisije </w:t>
      </w:r>
      <w:r w:rsidR="00A93B86">
        <w:t xml:space="preserve">iz ETS sektora i sektora izvan ETS-a su dostupne za 2005. godinu te za razdoblje od 2013. do </w:t>
      </w:r>
      <w:r w:rsidR="000E0CF9">
        <w:t>2017</w:t>
      </w:r>
      <w:r w:rsidR="00A93B86">
        <w:t>. godine (</w:t>
      </w:r>
      <w:r w:rsidR="00B436E9">
        <w:fldChar w:fldCharType="begin"/>
      </w:r>
      <w:r w:rsidR="00B436E9">
        <w:instrText xml:space="preserve"> REF _Ref26169203 \h </w:instrText>
      </w:r>
      <w:r w:rsidR="00B436E9">
        <w:fldChar w:fldCharType="separate"/>
      </w:r>
      <w:r w:rsidR="00154150" w:rsidRPr="007955AB">
        <w:t xml:space="preserve">Slika </w:t>
      </w:r>
      <w:r w:rsidR="00154150">
        <w:rPr>
          <w:noProof/>
        </w:rPr>
        <w:t>4</w:t>
      </w:r>
      <w:r w:rsidR="00154150">
        <w:noBreakHyphen/>
      </w:r>
      <w:r w:rsidR="00154150">
        <w:rPr>
          <w:noProof/>
        </w:rPr>
        <w:t>7</w:t>
      </w:r>
      <w:r w:rsidR="00B436E9">
        <w:fldChar w:fldCharType="end"/>
      </w:r>
      <w:r w:rsidR="00A93B86">
        <w:t>).</w:t>
      </w:r>
    </w:p>
    <w:p w14:paraId="5AA24E1A" w14:textId="77777777" w:rsidR="009D1CFB" w:rsidRDefault="009D1CFB">
      <w:pPr>
        <w:suppressAutoHyphens w:val="0"/>
        <w:spacing w:after="160" w:line="259" w:lineRule="auto"/>
        <w:contextualSpacing/>
      </w:pPr>
    </w:p>
    <w:p w14:paraId="407B7872" w14:textId="5FAC441F" w:rsidR="008D543D" w:rsidRDefault="009D6F34" w:rsidP="00840E2E">
      <w:pPr>
        <w:suppressAutoHyphens w:val="0"/>
        <w:spacing w:after="160" w:line="259" w:lineRule="auto"/>
        <w:contextualSpacing/>
        <w:jc w:val="center"/>
      </w:pPr>
      <w:r>
        <w:rPr>
          <w:noProof/>
        </w:rPr>
        <w:drawing>
          <wp:inline distT="0" distB="0" distL="0" distR="0" wp14:anchorId="4C74685A" wp14:editId="32744E50">
            <wp:extent cx="4584700" cy="2749550"/>
            <wp:effectExtent l="0" t="0" r="635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1A0F97EA" w14:textId="5CFA36B3" w:rsidR="000448AA" w:rsidRPr="00462AD9" w:rsidRDefault="000448AA" w:rsidP="000448AA">
      <w:pPr>
        <w:pStyle w:val="Caption"/>
      </w:pPr>
      <w:bookmarkStart w:id="458" w:name="_Ref26169203"/>
      <w:bookmarkStart w:id="459" w:name="_Ref26169193"/>
      <w:bookmarkStart w:id="460" w:name="_Toc27396159"/>
      <w:bookmarkStart w:id="461" w:name="_Ref531871123"/>
      <w:r w:rsidRPr="007955AB">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7</w:t>
      </w:r>
      <w:r>
        <w:rPr>
          <w:noProof/>
        </w:rPr>
        <w:fldChar w:fldCharType="end"/>
      </w:r>
      <w:bookmarkEnd w:id="458"/>
      <w:r w:rsidRPr="007955AB">
        <w:t xml:space="preserve">. </w:t>
      </w:r>
      <w:r w:rsidRPr="000448AA">
        <w:t>Trend emisija stakleničkih plinova iz ETS sektora i sektora izvan ETS-a u Republici</w:t>
      </w:r>
      <w:r>
        <w:t xml:space="preserve"> Hrvatskoj</w:t>
      </w:r>
      <w:bookmarkEnd w:id="459"/>
      <w:bookmarkEnd w:id="460"/>
    </w:p>
    <w:bookmarkEnd w:id="461"/>
    <w:p w14:paraId="58EC4F85" w14:textId="5196776C" w:rsidR="003A17F0" w:rsidRDefault="003A17F0" w:rsidP="00840E2E">
      <w:pPr>
        <w:pStyle w:val="Heading3"/>
        <w:numPr>
          <w:ilvl w:val="0"/>
          <w:numId w:val="76"/>
        </w:numPr>
      </w:pPr>
      <w:r w:rsidRPr="00BE1ECD">
        <w:t>Projekcije sektorskih emisija stakleničkih plinova uz postojeće nacionalne politike i mjere te politike i mjere EU</w:t>
      </w:r>
    </w:p>
    <w:p w14:paraId="48A4718D" w14:textId="1825960F" w:rsidR="007A3323" w:rsidRDefault="007A3323" w:rsidP="0045155D">
      <w:pPr>
        <w:suppressAutoHyphens w:val="0"/>
        <w:spacing w:after="160" w:line="259" w:lineRule="auto"/>
        <w:contextualSpacing/>
        <w:jc w:val="left"/>
      </w:pPr>
    </w:p>
    <w:p w14:paraId="31F271AB" w14:textId="39629A24" w:rsidR="00C21988" w:rsidRPr="00DB7DF8" w:rsidDel="009D1CFB" w:rsidRDefault="00C21988" w:rsidP="00DB7DF8">
      <w:pPr>
        <w:suppressAutoHyphens w:val="0"/>
        <w:spacing w:after="160" w:line="259" w:lineRule="auto"/>
        <w:contextualSpacing/>
      </w:pPr>
      <w:r w:rsidRPr="00DB7DF8">
        <w:t xml:space="preserve">Projekcije sektorskih </w:t>
      </w:r>
      <w:r w:rsidR="00FF767F">
        <w:t>emisija</w:t>
      </w:r>
      <w:r w:rsidR="002702B3">
        <w:t xml:space="preserve"> stakleničkih plinova</w:t>
      </w:r>
      <w:r w:rsidR="00FF767F">
        <w:t xml:space="preserve"> </w:t>
      </w:r>
      <w:r w:rsidRPr="00DB7DF8">
        <w:t xml:space="preserve">uz postojeće nacionalne politike i mjere te politike i mjere EU-a do 2040. </w:t>
      </w:r>
      <w:r w:rsidR="005049D5">
        <w:t xml:space="preserve">prikazuje </w:t>
      </w:r>
      <w:r w:rsidR="005049D5">
        <w:fldChar w:fldCharType="begin"/>
      </w:r>
      <w:r w:rsidR="005049D5">
        <w:instrText xml:space="preserve"> REF _Ref531871154 \h </w:instrText>
      </w:r>
      <w:r w:rsidR="005049D5">
        <w:fldChar w:fldCharType="separate"/>
      </w:r>
      <w:bookmarkStart w:id="462" w:name="_Hlk26168979"/>
      <w:r w:rsidR="00154150" w:rsidRPr="007955AB">
        <w:t xml:space="preserve">Slika </w:t>
      </w:r>
      <w:r w:rsidR="00154150">
        <w:rPr>
          <w:noProof/>
        </w:rPr>
        <w:t>4</w:t>
      </w:r>
      <w:r w:rsidR="00154150">
        <w:noBreakHyphen/>
      </w:r>
      <w:r w:rsidR="00154150">
        <w:rPr>
          <w:noProof/>
        </w:rPr>
        <w:t>8</w:t>
      </w:r>
      <w:r w:rsidR="00154150" w:rsidRPr="007955AB">
        <w:t>.</w:t>
      </w:r>
      <w:bookmarkEnd w:id="462"/>
      <w:r w:rsidR="005049D5">
        <w:fldChar w:fldCharType="end"/>
      </w:r>
    </w:p>
    <w:p w14:paraId="4AD2AD0A" w14:textId="5A3E48A5" w:rsidR="00360196" w:rsidRDefault="00360196">
      <w:pPr>
        <w:suppressAutoHyphens w:val="0"/>
        <w:spacing w:after="160" w:line="259" w:lineRule="auto"/>
        <w:contextualSpacing/>
        <w:jc w:val="left"/>
      </w:pPr>
    </w:p>
    <w:p w14:paraId="63E5EDD4" w14:textId="0630FAAC" w:rsidR="009D1CFB" w:rsidRDefault="009B7F7C" w:rsidP="00DB7DF8">
      <w:pPr>
        <w:suppressAutoHyphens w:val="0"/>
        <w:spacing w:after="160" w:line="259" w:lineRule="auto"/>
        <w:contextualSpacing/>
        <w:jc w:val="center"/>
      </w:pPr>
      <w:r>
        <w:rPr>
          <w:noProof/>
        </w:rPr>
        <w:drawing>
          <wp:inline distT="0" distB="0" distL="0" distR="0" wp14:anchorId="0D6C6A43" wp14:editId="7A756F05">
            <wp:extent cx="5651500" cy="3420110"/>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1500" cy="3420110"/>
                    </a:xfrm>
                    <a:prstGeom prst="rect">
                      <a:avLst/>
                    </a:prstGeom>
                    <a:noFill/>
                  </pic:spPr>
                </pic:pic>
              </a:graphicData>
            </a:graphic>
          </wp:inline>
        </w:drawing>
      </w:r>
    </w:p>
    <w:p w14:paraId="58F6DC9F" w14:textId="16C036C4" w:rsidR="000556E8" w:rsidRPr="00462AD9" w:rsidRDefault="000556E8" w:rsidP="000556E8">
      <w:pPr>
        <w:pStyle w:val="Caption"/>
      </w:pPr>
      <w:bookmarkStart w:id="463" w:name="_Ref531871154"/>
      <w:bookmarkStart w:id="464" w:name="_Toc27396160"/>
      <w:r w:rsidRPr="007955AB">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8</w:t>
      </w:r>
      <w:r w:rsidR="005A7E31">
        <w:rPr>
          <w:noProof/>
        </w:rPr>
        <w:fldChar w:fldCharType="end"/>
      </w:r>
      <w:r w:rsidRPr="007955AB">
        <w:t>.</w:t>
      </w:r>
      <w:bookmarkEnd w:id="463"/>
      <w:r w:rsidRPr="007955AB">
        <w:t xml:space="preserve"> Projekcija emisija stakleničkih plinova</w:t>
      </w:r>
      <w:r w:rsidR="00646B5A" w:rsidRPr="007955AB">
        <w:t>, uz postojeće mjere</w:t>
      </w:r>
      <w:bookmarkEnd w:id="464"/>
    </w:p>
    <w:p w14:paraId="1F9E7878" w14:textId="77777777" w:rsidR="009D1CFB" w:rsidRPr="00DB7DF8" w:rsidRDefault="009D1CFB" w:rsidP="00DB7DF8">
      <w:pPr>
        <w:suppressAutoHyphens w:val="0"/>
        <w:spacing w:after="160" w:line="259" w:lineRule="auto"/>
        <w:contextualSpacing/>
        <w:jc w:val="left"/>
      </w:pPr>
    </w:p>
    <w:p w14:paraId="3CFF6B50" w14:textId="4301C1F7" w:rsidR="00C21988" w:rsidRDefault="00543573" w:rsidP="00302043">
      <w:pPr>
        <w:pStyle w:val="Heading3"/>
      </w:pPr>
      <w:bookmarkStart w:id="465" w:name="_Toc531935172"/>
      <w:bookmarkStart w:id="466" w:name="_Toc531945122"/>
      <w:bookmarkStart w:id="467" w:name="_Toc6302380"/>
      <w:r>
        <w:t>4.2.2</w:t>
      </w:r>
      <w:r w:rsidR="009648EC">
        <w:t xml:space="preserve"> </w:t>
      </w:r>
      <w:r w:rsidR="00C21988">
        <w:t>Energija iz obnovljivih izvora</w:t>
      </w:r>
      <w:bookmarkEnd w:id="465"/>
      <w:bookmarkEnd w:id="466"/>
      <w:bookmarkEnd w:id="467"/>
      <w:r w:rsidR="00C21988">
        <w:t xml:space="preserve"> </w:t>
      </w:r>
    </w:p>
    <w:p w14:paraId="5A6A5F0A" w14:textId="77777777" w:rsidR="00D70EED" w:rsidRDefault="00D70EED" w:rsidP="00840E2E">
      <w:pPr>
        <w:pStyle w:val="Heading3"/>
        <w:numPr>
          <w:ilvl w:val="0"/>
          <w:numId w:val="79"/>
        </w:numPr>
      </w:pPr>
      <w:r w:rsidRPr="00E765AF">
        <w:t>Trendovi u trenutačnim emisijama i uklanjanjima stakleničkih plinova u okviru EU ETS-a, sektora obuhvaćenih raspodjelom napora i LULUCF-om i u okviru drugih energetskih sektora</w:t>
      </w:r>
    </w:p>
    <w:p w14:paraId="38D3B693" w14:textId="78C56249" w:rsidR="005F3F29" w:rsidRDefault="005F3F29" w:rsidP="005F3F29">
      <w:r>
        <w:t>U slučaju scenarija s postojećim mjerama (Scenarij S0), udjeli OIE i predviđanja uz postojeće mjere prikazan</w:t>
      </w:r>
      <w:r w:rsidR="0046474C">
        <w:t>i</w:t>
      </w:r>
      <w:r>
        <w:t xml:space="preserve"> su u nastavku.</w:t>
      </w:r>
    </w:p>
    <w:p w14:paraId="2D0FF4AE" w14:textId="472FEB0E" w:rsidR="005F3F29" w:rsidRDefault="005F3F29" w:rsidP="005F3F29">
      <w:pPr>
        <w:pStyle w:val="Caption"/>
        <w:keepNext/>
      </w:pPr>
      <w:bookmarkStart w:id="468" w:name="_Toc27396219"/>
      <w:r>
        <w:t xml:space="preserve">Tablica </w:t>
      </w:r>
      <w:fldSimple w:instr=" STYLEREF 1 \s ">
        <w:r w:rsidR="00154150">
          <w:rPr>
            <w:noProof/>
          </w:rPr>
          <w:t>4</w:t>
        </w:r>
      </w:fldSimple>
      <w:r w:rsidR="00562DF0">
        <w:t>–</w:t>
      </w:r>
      <w:fldSimple w:instr=" SEQ Tablica \* ARABIC \s 1 ">
        <w:r w:rsidR="00154150">
          <w:rPr>
            <w:noProof/>
          </w:rPr>
          <w:t>5</w:t>
        </w:r>
      </w:fldSimple>
      <w:r>
        <w:t>.</w:t>
      </w:r>
      <w:r w:rsidR="00214B02">
        <w:t>:</w:t>
      </w:r>
      <w:r>
        <w:t xml:space="preserve"> Indikativn</w:t>
      </w:r>
      <w:r w:rsidR="0046474C">
        <w:t>e</w:t>
      </w:r>
      <w:r>
        <w:t xml:space="preserve"> putanje za udjele OIE do 20</w:t>
      </w:r>
      <w:r w:rsidR="00610F2E">
        <w:t>3</w:t>
      </w:r>
      <w:r>
        <w:t>0. godine u scenariju s postojećim mjerama</w:t>
      </w:r>
      <w:bookmarkEnd w:id="468"/>
    </w:p>
    <w:tbl>
      <w:tblPr>
        <w:tblW w:w="62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2"/>
        <w:gridCol w:w="1134"/>
        <w:gridCol w:w="1276"/>
      </w:tblGrid>
      <w:tr w:rsidR="005F3F29" w:rsidRPr="00E9288C" w14:paraId="34AE518A" w14:textId="77777777" w:rsidTr="00D21C55">
        <w:trPr>
          <w:trHeight w:val="837"/>
        </w:trPr>
        <w:tc>
          <w:tcPr>
            <w:tcW w:w="3862" w:type="dxa"/>
            <w:shd w:val="clear" w:color="auto" w:fill="DEEAF6" w:themeFill="accent1" w:themeFillTint="33"/>
            <w:noWrap/>
            <w:vAlign w:val="center"/>
            <w:hideMark/>
          </w:tcPr>
          <w:p w14:paraId="582A716E" w14:textId="77777777" w:rsidR="005F3F29" w:rsidRPr="00E9288C" w:rsidRDefault="005F3F29" w:rsidP="00520FA2">
            <w:pPr>
              <w:spacing w:before="0" w:after="0" w:line="240" w:lineRule="auto"/>
              <w:jc w:val="center"/>
              <w:rPr>
                <w:rFonts w:ascii="Times New Roman" w:hAnsi="Times New Roman"/>
                <w:b/>
                <w:sz w:val="24"/>
                <w:szCs w:val="24"/>
              </w:rPr>
            </w:pPr>
            <w:r w:rsidRPr="00E9288C">
              <w:rPr>
                <w:rFonts w:ascii="Calibri" w:hAnsi="Calibri" w:cs="Calibri"/>
                <w:b/>
                <w:color w:val="000000"/>
              </w:rPr>
              <w:t>Udio OIE, %</w:t>
            </w:r>
          </w:p>
        </w:tc>
        <w:tc>
          <w:tcPr>
            <w:tcW w:w="1134" w:type="dxa"/>
            <w:shd w:val="clear" w:color="auto" w:fill="DEEAF6" w:themeFill="accent1" w:themeFillTint="33"/>
            <w:noWrap/>
            <w:vAlign w:val="center"/>
            <w:hideMark/>
          </w:tcPr>
          <w:p w14:paraId="6F4E67F8" w14:textId="654B15ED" w:rsidR="005F3F29" w:rsidRPr="00E9288C" w:rsidRDefault="007335F9" w:rsidP="00520FA2">
            <w:pPr>
              <w:spacing w:before="0" w:after="0" w:line="240" w:lineRule="auto"/>
              <w:jc w:val="center"/>
              <w:rPr>
                <w:rFonts w:ascii="Times New Roman" w:hAnsi="Times New Roman"/>
                <w:b/>
                <w:sz w:val="20"/>
                <w:szCs w:val="20"/>
              </w:rPr>
            </w:pPr>
            <w:r w:rsidRPr="005D7924">
              <w:rPr>
                <w:rFonts w:ascii="Calibri" w:hAnsi="Calibri" w:cs="Calibri"/>
                <w:b/>
                <w:color w:val="000000"/>
              </w:rPr>
              <w:t xml:space="preserve">Projekcija </w:t>
            </w:r>
            <w:r w:rsidR="005F3F29" w:rsidRPr="00223709">
              <w:rPr>
                <w:rFonts w:ascii="Calibri" w:hAnsi="Calibri" w:cs="Calibri"/>
                <w:b/>
                <w:color w:val="000000"/>
              </w:rPr>
              <w:t>2020.</w:t>
            </w:r>
          </w:p>
        </w:tc>
        <w:tc>
          <w:tcPr>
            <w:tcW w:w="1276" w:type="dxa"/>
            <w:shd w:val="clear" w:color="auto" w:fill="DEEAF6" w:themeFill="accent1" w:themeFillTint="33"/>
            <w:noWrap/>
            <w:vAlign w:val="center"/>
            <w:hideMark/>
          </w:tcPr>
          <w:p w14:paraId="1E7793EE" w14:textId="77777777" w:rsidR="007335F9" w:rsidRDefault="007335F9" w:rsidP="00520FA2">
            <w:pPr>
              <w:spacing w:before="0" w:after="0" w:line="240" w:lineRule="auto"/>
              <w:jc w:val="center"/>
              <w:rPr>
                <w:rFonts w:ascii="Calibri" w:hAnsi="Calibri" w:cs="Calibri"/>
                <w:b/>
                <w:color w:val="000000"/>
              </w:rPr>
            </w:pPr>
            <w:r>
              <w:rPr>
                <w:rFonts w:ascii="Calibri" w:hAnsi="Calibri" w:cs="Calibri"/>
                <w:b/>
                <w:color w:val="000000"/>
              </w:rPr>
              <w:t>Projekcija</w:t>
            </w:r>
          </w:p>
          <w:p w14:paraId="260DE57C" w14:textId="30CACE15" w:rsidR="005F3F29" w:rsidRDefault="005F3F29" w:rsidP="00520FA2">
            <w:pPr>
              <w:spacing w:before="0" w:after="0" w:line="240" w:lineRule="auto"/>
              <w:jc w:val="center"/>
              <w:rPr>
                <w:rFonts w:ascii="Calibri" w:hAnsi="Calibri" w:cs="Calibri"/>
                <w:b/>
                <w:color w:val="000000"/>
              </w:rPr>
            </w:pPr>
            <w:r>
              <w:rPr>
                <w:rFonts w:ascii="Calibri" w:hAnsi="Calibri" w:cs="Calibri"/>
                <w:b/>
                <w:color w:val="000000"/>
              </w:rPr>
              <w:t>2030.</w:t>
            </w:r>
          </w:p>
          <w:p w14:paraId="0A3F035D" w14:textId="731CBEA6" w:rsidR="005F3F29" w:rsidRPr="00E9288C" w:rsidRDefault="007335F9" w:rsidP="00520FA2">
            <w:pPr>
              <w:spacing w:before="0" w:after="0" w:line="240" w:lineRule="auto"/>
              <w:jc w:val="center"/>
              <w:rPr>
                <w:rFonts w:ascii="Calibri" w:hAnsi="Calibri" w:cs="Calibri"/>
                <w:b/>
                <w:color w:val="000000"/>
              </w:rPr>
            </w:pPr>
            <w:r>
              <w:rPr>
                <w:rFonts w:ascii="Calibri" w:hAnsi="Calibri" w:cs="Calibri"/>
                <w:b/>
                <w:color w:val="000000"/>
              </w:rPr>
              <w:t>(</w:t>
            </w:r>
            <w:r w:rsidRPr="007335F9">
              <w:rPr>
                <w:rFonts w:ascii="Calibri" w:hAnsi="Calibri" w:cs="Calibri"/>
                <w:b/>
                <w:color w:val="000000"/>
              </w:rPr>
              <w:t>Scenarij S0</w:t>
            </w:r>
            <w:r>
              <w:rPr>
                <w:rFonts w:ascii="Calibri" w:hAnsi="Calibri" w:cs="Calibri"/>
                <w:b/>
                <w:color w:val="000000"/>
              </w:rPr>
              <w:t>)</w:t>
            </w:r>
          </w:p>
        </w:tc>
      </w:tr>
      <w:tr w:rsidR="005F3F29" w:rsidRPr="00E9288C" w14:paraId="49812B03" w14:textId="77777777" w:rsidTr="00D21C55">
        <w:trPr>
          <w:trHeight w:val="290"/>
        </w:trPr>
        <w:tc>
          <w:tcPr>
            <w:tcW w:w="3862" w:type="dxa"/>
            <w:shd w:val="clear" w:color="auto" w:fill="auto"/>
            <w:noWrap/>
            <w:vAlign w:val="center"/>
            <w:hideMark/>
          </w:tcPr>
          <w:p w14:paraId="1E7AE04B" w14:textId="3CAE4654" w:rsidR="005F3F29" w:rsidRPr="00E9288C" w:rsidRDefault="005F3F29" w:rsidP="006F26A9">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w:t>
            </w:r>
            <w:r w:rsidR="006F26A9">
              <w:rPr>
                <w:rFonts w:ascii="Calibri" w:hAnsi="Calibri" w:cs="Calibri"/>
                <w:b/>
                <w:color w:val="000000"/>
              </w:rPr>
              <w:t>bruto</w:t>
            </w:r>
            <w:r w:rsidR="006F26A9" w:rsidRPr="00E9288C">
              <w:rPr>
                <w:rFonts w:ascii="Calibri" w:hAnsi="Calibri" w:cs="Calibri"/>
                <w:b/>
                <w:color w:val="000000"/>
              </w:rPr>
              <w:t xml:space="preserve"> </w:t>
            </w:r>
            <w:r w:rsidRPr="00E9288C">
              <w:rPr>
                <w:rFonts w:ascii="Calibri" w:hAnsi="Calibri" w:cs="Calibri"/>
                <w:b/>
                <w:color w:val="000000"/>
              </w:rPr>
              <w:t>neposrednoj potrošnji energije</w:t>
            </w:r>
          </w:p>
        </w:tc>
        <w:tc>
          <w:tcPr>
            <w:tcW w:w="1134" w:type="dxa"/>
            <w:shd w:val="clear" w:color="auto" w:fill="auto"/>
            <w:noWrap/>
            <w:vAlign w:val="center"/>
            <w:hideMark/>
          </w:tcPr>
          <w:p w14:paraId="6AFB69D2" w14:textId="32190AD9" w:rsidR="005F3F29" w:rsidRPr="00BD6635" w:rsidRDefault="005F3F29" w:rsidP="00520FA2">
            <w:pPr>
              <w:suppressAutoHyphens w:val="0"/>
              <w:spacing w:before="0" w:after="0" w:line="240" w:lineRule="auto"/>
              <w:jc w:val="right"/>
              <w:rPr>
                <w:rFonts w:ascii="Calibri" w:hAnsi="Calibri" w:cs="Calibri"/>
                <w:color w:val="000000"/>
              </w:rPr>
            </w:pPr>
            <w:r w:rsidRPr="00BD6635">
              <w:rPr>
                <w:rFonts w:ascii="Calibri" w:hAnsi="Calibri" w:cs="Calibri"/>
                <w:color w:val="000000"/>
              </w:rPr>
              <w:t>28,</w:t>
            </w:r>
            <w:r w:rsidR="00EA4FD4">
              <w:rPr>
                <w:rFonts w:ascii="Calibri" w:hAnsi="Calibri" w:cs="Calibri"/>
                <w:color w:val="000000"/>
              </w:rPr>
              <w:t>6</w:t>
            </w:r>
          </w:p>
        </w:tc>
        <w:tc>
          <w:tcPr>
            <w:tcW w:w="1276" w:type="dxa"/>
            <w:shd w:val="clear" w:color="auto" w:fill="auto"/>
            <w:noWrap/>
            <w:vAlign w:val="center"/>
            <w:hideMark/>
          </w:tcPr>
          <w:p w14:paraId="4A178F8E" w14:textId="668128FB" w:rsidR="005F3F29" w:rsidRPr="00BD6635" w:rsidRDefault="005F3F29" w:rsidP="002705D1">
            <w:pPr>
              <w:suppressAutoHyphens w:val="0"/>
              <w:spacing w:before="0" w:after="0" w:line="240" w:lineRule="auto"/>
              <w:jc w:val="right"/>
              <w:rPr>
                <w:rFonts w:ascii="Calibri" w:hAnsi="Calibri" w:cs="Calibri"/>
                <w:color w:val="000000"/>
              </w:rPr>
            </w:pPr>
            <w:r w:rsidRPr="00BD6635">
              <w:rPr>
                <w:rFonts w:ascii="Calibri" w:hAnsi="Calibri" w:cs="Calibri"/>
                <w:color w:val="000000"/>
              </w:rPr>
              <w:t>3</w:t>
            </w:r>
            <w:r w:rsidR="00C37C31">
              <w:rPr>
                <w:rFonts w:ascii="Calibri" w:hAnsi="Calibri" w:cs="Calibri"/>
                <w:color w:val="000000"/>
              </w:rPr>
              <w:t>4,0</w:t>
            </w:r>
          </w:p>
        </w:tc>
      </w:tr>
      <w:tr w:rsidR="005F3F29" w:rsidRPr="00E9288C" w14:paraId="72B7EAFA" w14:textId="77777777" w:rsidTr="00D21C55">
        <w:trPr>
          <w:trHeight w:val="290"/>
        </w:trPr>
        <w:tc>
          <w:tcPr>
            <w:tcW w:w="3862" w:type="dxa"/>
            <w:shd w:val="clear" w:color="auto" w:fill="auto"/>
            <w:noWrap/>
            <w:vAlign w:val="center"/>
            <w:hideMark/>
          </w:tcPr>
          <w:p w14:paraId="7B5BE33C" w14:textId="64A77C6C" w:rsidR="005F3F29" w:rsidRPr="00E9288C" w:rsidRDefault="005F3F29" w:rsidP="00520FA2">
            <w:pPr>
              <w:suppressAutoHyphens w:val="0"/>
              <w:spacing w:before="0" w:after="0" w:line="240" w:lineRule="auto"/>
              <w:jc w:val="left"/>
              <w:rPr>
                <w:rFonts w:ascii="Calibri" w:hAnsi="Calibri" w:cs="Calibri"/>
                <w:b/>
                <w:color w:val="000000"/>
              </w:rPr>
            </w:pPr>
            <w:r w:rsidRPr="00E9288C">
              <w:rPr>
                <w:rFonts w:ascii="Calibri" w:hAnsi="Calibri" w:cs="Calibri"/>
                <w:b/>
                <w:color w:val="000000"/>
              </w:rPr>
              <w:t xml:space="preserve">U </w:t>
            </w:r>
            <w:r w:rsidR="005F44C6">
              <w:rPr>
                <w:rFonts w:ascii="Calibri" w:hAnsi="Calibri" w:cs="Calibri"/>
                <w:b/>
                <w:color w:val="000000"/>
              </w:rPr>
              <w:t>bruto</w:t>
            </w:r>
            <w:r w:rsidRPr="00E9288C">
              <w:rPr>
                <w:rFonts w:ascii="Calibri" w:hAnsi="Calibri" w:cs="Calibri"/>
                <w:b/>
                <w:color w:val="000000"/>
              </w:rPr>
              <w:t xml:space="preserve"> neposrednoj potrošnji električne energije</w:t>
            </w:r>
          </w:p>
        </w:tc>
        <w:tc>
          <w:tcPr>
            <w:tcW w:w="1134" w:type="dxa"/>
            <w:shd w:val="clear" w:color="auto" w:fill="auto"/>
            <w:noWrap/>
            <w:vAlign w:val="center"/>
            <w:hideMark/>
          </w:tcPr>
          <w:p w14:paraId="0F296A23" w14:textId="1D3323DB"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4</w:t>
            </w:r>
            <w:r w:rsidR="00C9143A">
              <w:rPr>
                <w:rFonts w:ascii="Calibri" w:hAnsi="Calibri" w:cs="Calibri"/>
                <w:color w:val="000000"/>
              </w:rPr>
              <w:t>7</w:t>
            </w:r>
            <w:r w:rsidR="00B974E2">
              <w:rPr>
                <w:rFonts w:ascii="Calibri" w:hAnsi="Calibri" w:cs="Calibri"/>
                <w:color w:val="000000"/>
              </w:rPr>
              <w:t>,</w:t>
            </w:r>
            <w:r w:rsidR="00C9143A">
              <w:rPr>
                <w:rFonts w:ascii="Calibri" w:hAnsi="Calibri" w:cs="Calibri"/>
                <w:color w:val="000000"/>
              </w:rPr>
              <w:t>0</w:t>
            </w:r>
          </w:p>
        </w:tc>
        <w:tc>
          <w:tcPr>
            <w:tcW w:w="1276" w:type="dxa"/>
            <w:shd w:val="clear" w:color="auto" w:fill="auto"/>
            <w:noWrap/>
            <w:vAlign w:val="center"/>
            <w:hideMark/>
          </w:tcPr>
          <w:p w14:paraId="42D98593"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62,2</w:t>
            </w:r>
          </w:p>
        </w:tc>
      </w:tr>
      <w:tr w:rsidR="005F3F29" w:rsidRPr="00E9288C" w14:paraId="68568AA8" w14:textId="77777777" w:rsidTr="00D21C55">
        <w:trPr>
          <w:trHeight w:val="290"/>
        </w:trPr>
        <w:tc>
          <w:tcPr>
            <w:tcW w:w="3862" w:type="dxa"/>
            <w:shd w:val="clear" w:color="auto" w:fill="auto"/>
            <w:noWrap/>
            <w:vAlign w:val="center"/>
            <w:hideMark/>
          </w:tcPr>
          <w:p w14:paraId="14BE779A" w14:textId="7AAA15C5" w:rsidR="005F3F29" w:rsidRPr="00E9288C" w:rsidRDefault="005F3F29" w:rsidP="00520FA2">
            <w:pPr>
              <w:suppressAutoHyphens w:val="0"/>
              <w:spacing w:before="0" w:after="0" w:line="240" w:lineRule="auto"/>
              <w:jc w:val="left"/>
              <w:rPr>
                <w:rFonts w:ascii="Calibri" w:hAnsi="Calibri" w:cs="Calibri"/>
                <w:b/>
                <w:color w:val="000000"/>
              </w:rPr>
            </w:pPr>
            <w:r w:rsidRPr="00E9288C">
              <w:rPr>
                <w:rFonts w:ascii="Calibri" w:hAnsi="Calibri" w:cs="Calibri"/>
                <w:b/>
                <w:color w:val="000000"/>
              </w:rPr>
              <w:t>U</w:t>
            </w:r>
            <w:r w:rsidR="005F44C6">
              <w:rPr>
                <w:rFonts w:ascii="Calibri" w:hAnsi="Calibri" w:cs="Calibri"/>
                <w:b/>
                <w:color w:val="000000"/>
              </w:rPr>
              <w:t xml:space="preserve"> bruto</w:t>
            </w:r>
            <w:r w:rsidRPr="00E9288C">
              <w:rPr>
                <w:rFonts w:ascii="Calibri" w:hAnsi="Calibri" w:cs="Calibri"/>
                <w:b/>
                <w:color w:val="000000"/>
              </w:rPr>
              <w:t xml:space="preserve"> neposrednoj potrošnji </w:t>
            </w:r>
            <w:r>
              <w:rPr>
                <w:rFonts w:ascii="Calibri" w:hAnsi="Calibri" w:cs="Calibri"/>
                <w:b/>
                <w:color w:val="000000"/>
              </w:rPr>
              <w:t xml:space="preserve">energije </w:t>
            </w:r>
            <w:r w:rsidRPr="00E9288C">
              <w:rPr>
                <w:rFonts w:ascii="Calibri" w:hAnsi="Calibri" w:cs="Calibri"/>
                <w:b/>
                <w:color w:val="000000"/>
              </w:rPr>
              <w:t>za grijanje i hlađenje</w:t>
            </w:r>
          </w:p>
        </w:tc>
        <w:tc>
          <w:tcPr>
            <w:tcW w:w="1134" w:type="dxa"/>
            <w:shd w:val="clear" w:color="auto" w:fill="auto"/>
            <w:noWrap/>
            <w:vAlign w:val="center"/>
            <w:hideMark/>
          </w:tcPr>
          <w:p w14:paraId="69FF0F4E" w14:textId="4DF344CD"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3</w:t>
            </w:r>
            <w:r w:rsidR="00DC6164">
              <w:rPr>
                <w:rFonts w:ascii="Calibri" w:hAnsi="Calibri" w:cs="Calibri"/>
                <w:color w:val="000000"/>
              </w:rPr>
              <w:t>3,</w:t>
            </w:r>
            <w:r w:rsidR="00904B00">
              <w:rPr>
                <w:rFonts w:ascii="Calibri" w:hAnsi="Calibri" w:cs="Calibri"/>
                <w:color w:val="000000"/>
              </w:rPr>
              <w:t>3</w:t>
            </w:r>
          </w:p>
        </w:tc>
        <w:tc>
          <w:tcPr>
            <w:tcW w:w="1276" w:type="dxa"/>
            <w:shd w:val="clear" w:color="auto" w:fill="auto"/>
            <w:noWrap/>
            <w:vAlign w:val="center"/>
            <w:hideMark/>
          </w:tcPr>
          <w:p w14:paraId="78FB24A9" w14:textId="77777777" w:rsidR="005F3F29" w:rsidRPr="00E9288C" w:rsidRDefault="005F3F29" w:rsidP="00520FA2">
            <w:pPr>
              <w:suppressAutoHyphens w:val="0"/>
              <w:spacing w:before="0" w:after="0" w:line="240" w:lineRule="auto"/>
              <w:jc w:val="right"/>
              <w:rPr>
                <w:rFonts w:ascii="Calibri" w:hAnsi="Calibri" w:cs="Calibri"/>
                <w:color w:val="000000"/>
              </w:rPr>
            </w:pPr>
            <w:r>
              <w:rPr>
                <w:rFonts w:ascii="Calibri" w:hAnsi="Calibri" w:cs="Calibri"/>
                <w:color w:val="000000"/>
              </w:rPr>
              <w:t>35,2</w:t>
            </w:r>
          </w:p>
        </w:tc>
      </w:tr>
      <w:tr w:rsidR="005F3F29" w:rsidRPr="00E9288C" w14:paraId="53D3127A" w14:textId="77777777" w:rsidTr="00D21C55">
        <w:trPr>
          <w:trHeight w:val="290"/>
        </w:trPr>
        <w:tc>
          <w:tcPr>
            <w:tcW w:w="3862" w:type="dxa"/>
            <w:shd w:val="clear" w:color="auto" w:fill="auto"/>
            <w:noWrap/>
            <w:vAlign w:val="center"/>
            <w:hideMark/>
          </w:tcPr>
          <w:p w14:paraId="5B125035" w14:textId="5720D165" w:rsidR="005F3F29" w:rsidRPr="00E9288C" w:rsidRDefault="005F3F29" w:rsidP="00520FA2">
            <w:pPr>
              <w:suppressAutoHyphens w:val="0"/>
              <w:spacing w:before="0" w:after="0" w:line="240" w:lineRule="auto"/>
              <w:jc w:val="left"/>
              <w:rPr>
                <w:rFonts w:ascii="Calibri" w:hAnsi="Calibri" w:cs="Calibri"/>
                <w:b/>
                <w:color w:val="000000"/>
              </w:rPr>
            </w:pPr>
            <w:r w:rsidRPr="00E9288C">
              <w:rPr>
                <w:rFonts w:ascii="Calibri" w:hAnsi="Calibri" w:cs="Calibri"/>
                <w:b/>
                <w:color w:val="000000"/>
              </w:rPr>
              <w:t>U</w:t>
            </w:r>
            <w:r w:rsidR="005F44C6">
              <w:rPr>
                <w:rFonts w:ascii="Calibri" w:hAnsi="Calibri" w:cs="Calibri"/>
                <w:b/>
                <w:color w:val="000000"/>
              </w:rPr>
              <w:t xml:space="preserve"> n</w:t>
            </w:r>
            <w:r w:rsidRPr="00E9288C">
              <w:rPr>
                <w:rFonts w:ascii="Calibri" w:hAnsi="Calibri" w:cs="Calibri"/>
                <w:b/>
                <w:color w:val="000000"/>
              </w:rPr>
              <w:t xml:space="preserve">eposrednoj potrošnji </w:t>
            </w:r>
            <w:r>
              <w:rPr>
                <w:rFonts w:ascii="Calibri" w:hAnsi="Calibri" w:cs="Calibri"/>
                <w:b/>
                <w:color w:val="000000"/>
              </w:rPr>
              <w:t xml:space="preserve">energije </w:t>
            </w:r>
            <w:r w:rsidRPr="00E9288C">
              <w:rPr>
                <w:rFonts w:ascii="Calibri" w:hAnsi="Calibri" w:cs="Calibri"/>
                <w:b/>
                <w:color w:val="000000"/>
              </w:rPr>
              <w:t>u prometu</w:t>
            </w:r>
          </w:p>
        </w:tc>
        <w:tc>
          <w:tcPr>
            <w:tcW w:w="1134" w:type="dxa"/>
            <w:shd w:val="clear" w:color="auto" w:fill="auto"/>
            <w:noWrap/>
            <w:vAlign w:val="center"/>
            <w:hideMark/>
          </w:tcPr>
          <w:p w14:paraId="689BE0C9" w14:textId="7B06BA25" w:rsidR="005F3F29" w:rsidRPr="00E9288C" w:rsidRDefault="00C37C31" w:rsidP="00520FA2">
            <w:pPr>
              <w:suppressAutoHyphens w:val="0"/>
              <w:spacing w:before="0" w:after="0" w:line="240" w:lineRule="auto"/>
              <w:jc w:val="right"/>
              <w:rPr>
                <w:rFonts w:ascii="Calibri" w:hAnsi="Calibri" w:cs="Calibri"/>
                <w:color w:val="000000"/>
              </w:rPr>
            </w:pPr>
            <w:r>
              <w:rPr>
                <w:rFonts w:ascii="Calibri" w:hAnsi="Calibri" w:cs="Calibri"/>
                <w:color w:val="000000"/>
              </w:rPr>
              <w:t>5,2</w:t>
            </w:r>
          </w:p>
        </w:tc>
        <w:tc>
          <w:tcPr>
            <w:tcW w:w="1276" w:type="dxa"/>
            <w:shd w:val="clear" w:color="auto" w:fill="auto"/>
            <w:noWrap/>
            <w:vAlign w:val="center"/>
            <w:hideMark/>
          </w:tcPr>
          <w:p w14:paraId="3F0B6F90" w14:textId="06325F4C" w:rsidR="005F3F29" w:rsidRPr="00E9288C" w:rsidRDefault="00561CC4" w:rsidP="00520FA2">
            <w:pPr>
              <w:suppressAutoHyphens w:val="0"/>
              <w:spacing w:before="0" w:after="0" w:line="240" w:lineRule="auto"/>
              <w:jc w:val="right"/>
              <w:rPr>
                <w:rFonts w:ascii="Calibri" w:hAnsi="Calibri" w:cs="Calibri"/>
                <w:color w:val="000000"/>
              </w:rPr>
            </w:pPr>
            <w:r>
              <w:rPr>
                <w:rFonts w:ascii="Calibri" w:hAnsi="Calibri" w:cs="Calibri"/>
                <w:color w:val="000000"/>
              </w:rPr>
              <w:t>7,3</w:t>
            </w:r>
          </w:p>
        </w:tc>
      </w:tr>
    </w:tbl>
    <w:p w14:paraId="52BCC6E1" w14:textId="77777777" w:rsidR="005F436B" w:rsidRDefault="005F436B" w:rsidP="00840E2E">
      <w:pPr>
        <w:pStyle w:val="Heading3"/>
        <w:numPr>
          <w:ilvl w:val="0"/>
          <w:numId w:val="79"/>
        </w:numPr>
      </w:pPr>
      <w:r w:rsidRPr="00E93989">
        <w:t>Projekcije sektorskih kretanja uz postojeće nacionalne politike i mjere te politike i mjere Unije barem do 2030.</w:t>
      </w:r>
    </w:p>
    <w:p w14:paraId="6378C555" w14:textId="184902A9" w:rsidR="005F3F29" w:rsidRDefault="005F3F29" w:rsidP="005F3F29">
      <w:r>
        <w:t xml:space="preserve">Na </w:t>
      </w:r>
      <w:r w:rsidR="00AF2026">
        <w:t xml:space="preserve">sljedećim slikama </w:t>
      </w:r>
      <w:r>
        <w:t>prikazane su očekivane putanje udjel</w:t>
      </w:r>
      <w:r w:rsidR="0046474C">
        <w:t>a</w:t>
      </w:r>
      <w:r>
        <w:t xml:space="preserve"> za promatrane kategorije</w:t>
      </w:r>
      <w:r w:rsidR="00AF2026">
        <w:t>:</w:t>
      </w:r>
      <w:r>
        <w:t xml:space="preserve"> OIE</w:t>
      </w:r>
      <w:r w:rsidR="0046474C">
        <w:t xml:space="preserve"> u </w:t>
      </w:r>
      <w:r w:rsidR="0046474C" w:rsidRPr="00223709">
        <w:t>bruto</w:t>
      </w:r>
      <w:r w:rsidR="0046474C">
        <w:t xml:space="preserve"> neposrednoj potrošnji</w:t>
      </w:r>
      <w:r w:rsidR="00AF2026">
        <w:t xml:space="preserve"> (</w:t>
      </w:r>
      <w:r w:rsidR="004358FC">
        <w:fldChar w:fldCharType="begin"/>
      </w:r>
      <w:r w:rsidR="004358FC">
        <w:instrText xml:space="preserve"> REF _Ref26267095 \h </w:instrText>
      </w:r>
      <w:r w:rsidR="004358FC">
        <w:fldChar w:fldCharType="separate"/>
      </w:r>
      <w:r w:rsidR="00154150">
        <w:t xml:space="preserve">Slika </w:t>
      </w:r>
      <w:r w:rsidR="00154150">
        <w:rPr>
          <w:noProof/>
        </w:rPr>
        <w:t>4</w:t>
      </w:r>
      <w:r w:rsidR="00154150">
        <w:noBreakHyphen/>
      </w:r>
      <w:r w:rsidR="00154150">
        <w:rPr>
          <w:noProof/>
        </w:rPr>
        <w:t>9</w:t>
      </w:r>
      <w:r w:rsidR="004358FC">
        <w:fldChar w:fldCharType="end"/>
      </w:r>
      <w:r w:rsidR="00AF2026">
        <w:t>)</w:t>
      </w:r>
      <w:r>
        <w:t>, OIE u električnoj energiji</w:t>
      </w:r>
      <w:r w:rsidR="00D529C5">
        <w:t xml:space="preserve"> (</w:t>
      </w:r>
      <w:r w:rsidR="004358FC">
        <w:fldChar w:fldCharType="begin"/>
      </w:r>
      <w:r w:rsidR="004358FC">
        <w:instrText xml:space="preserve"> REF _Ref26267067 \h </w:instrText>
      </w:r>
      <w:r w:rsidR="004358FC">
        <w:fldChar w:fldCharType="separate"/>
      </w:r>
      <w:r w:rsidR="00154150">
        <w:t xml:space="preserve">Slika </w:t>
      </w:r>
      <w:r w:rsidR="00154150">
        <w:rPr>
          <w:noProof/>
        </w:rPr>
        <w:t>4</w:t>
      </w:r>
      <w:r w:rsidR="00154150">
        <w:noBreakHyphen/>
      </w:r>
      <w:r w:rsidR="00154150">
        <w:rPr>
          <w:noProof/>
        </w:rPr>
        <w:t>10</w:t>
      </w:r>
      <w:r w:rsidR="004358FC">
        <w:fldChar w:fldCharType="end"/>
      </w:r>
      <w:r w:rsidR="00D529C5">
        <w:t>)</w:t>
      </w:r>
      <w:r>
        <w:t>, OIE u grijanju i hlađenju</w:t>
      </w:r>
      <w:r w:rsidR="00D529C5">
        <w:t xml:space="preserve"> (</w:t>
      </w:r>
      <w:r w:rsidR="004358FC">
        <w:fldChar w:fldCharType="begin"/>
      </w:r>
      <w:r w:rsidR="004358FC">
        <w:instrText xml:space="preserve"> REF _Ref26267107 \h </w:instrText>
      </w:r>
      <w:r w:rsidR="004358FC">
        <w:fldChar w:fldCharType="separate"/>
      </w:r>
      <w:r w:rsidR="00154150">
        <w:t xml:space="preserve">Slika </w:t>
      </w:r>
      <w:r w:rsidR="00154150">
        <w:rPr>
          <w:noProof/>
        </w:rPr>
        <w:t>4</w:t>
      </w:r>
      <w:r w:rsidR="00154150">
        <w:noBreakHyphen/>
      </w:r>
      <w:r w:rsidR="00154150">
        <w:rPr>
          <w:noProof/>
        </w:rPr>
        <w:t>11</w:t>
      </w:r>
      <w:r w:rsidR="004358FC">
        <w:fldChar w:fldCharType="end"/>
      </w:r>
      <w:r w:rsidR="00D529C5">
        <w:t>)</w:t>
      </w:r>
      <w:r>
        <w:t xml:space="preserve"> i OIE u prometu</w:t>
      </w:r>
      <w:r w:rsidR="00D529C5">
        <w:t xml:space="preserve"> (</w:t>
      </w:r>
      <w:r w:rsidR="004358FC">
        <w:fldChar w:fldCharType="begin"/>
      </w:r>
      <w:r w:rsidR="004358FC">
        <w:instrText xml:space="preserve"> REF _Ref26267114 \h </w:instrText>
      </w:r>
      <w:r w:rsidR="004358FC">
        <w:fldChar w:fldCharType="separate"/>
      </w:r>
      <w:r w:rsidR="00154150">
        <w:t xml:space="preserve">Slika </w:t>
      </w:r>
      <w:r w:rsidR="00154150">
        <w:rPr>
          <w:noProof/>
        </w:rPr>
        <w:t>4</w:t>
      </w:r>
      <w:r w:rsidR="00154150">
        <w:noBreakHyphen/>
      </w:r>
      <w:r w:rsidR="00154150">
        <w:rPr>
          <w:noProof/>
        </w:rPr>
        <w:t>12</w:t>
      </w:r>
      <w:r w:rsidR="004358FC">
        <w:fldChar w:fldCharType="end"/>
      </w:r>
      <w:r>
        <w:t>) za scenarij s postojećim mjerama.</w:t>
      </w:r>
    </w:p>
    <w:p w14:paraId="6A8C469F" w14:textId="0CA03E93" w:rsidR="00CD0B78" w:rsidRDefault="00930B79" w:rsidP="005F3F29">
      <w:pPr>
        <w:jc w:val="center"/>
      </w:pPr>
      <w:r w:rsidRPr="00930B79">
        <w:rPr>
          <w:noProof/>
        </w:rPr>
        <w:drawing>
          <wp:inline distT="0" distB="0" distL="0" distR="0" wp14:anchorId="7EC02F55" wp14:editId="5F1C399A">
            <wp:extent cx="4557370" cy="3375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0613" cy="3385740"/>
                    </a:xfrm>
                    <a:prstGeom prst="rect">
                      <a:avLst/>
                    </a:prstGeom>
                    <a:noFill/>
                    <a:ln>
                      <a:noFill/>
                    </a:ln>
                  </pic:spPr>
                </pic:pic>
              </a:graphicData>
            </a:graphic>
          </wp:inline>
        </w:drawing>
      </w:r>
    </w:p>
    <w:p w14:paraId="088FEBCC" w14:textId="43F7C418" w:rsidR="00D529C5" w:rsidRDefault="00D529C5" w:rsidP="00D529C5">
      <w:pPr>
        <w:pStyle w:val="Caption"/>
      </w:pPr>
      <w:bookmarkStart w:id="469" w:name="_Ref26267095"/>
      <w:bookmarkStart w:id="470" w:name="_Toc27396161"/>
      <w:r>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9</w:t>
      </w:r>
      <w:r>
        <w:rPr>
          <w:noProof/>
        </w:rPr>
        <w:fldChar w:fldCharType="end"/>
      </w:r>
      <w:bookmarkEnd w:id="469"/>
      <w:r>
        <w:t xml:space="preserve">. </w:t>
      </w:r>
      <w:r w:rsidRPr="00976062">
        <w:t>Indikativn</w:t>
      </w:r>
      <w:r>
        <w:t>a</w:t>
      </w:r>
      <w:r w:rsidRPr="00976062">
        <w:t xml:space="preserve"> putanj</w:t>
      </w:r>
      <w:r>
        <w:t>a</w:t>
      </w:r>
      <w:r w:rsidRPr="00976062">
        <w:t xml:space="preserve"> udjela OIE</w:t>
      </w:r>
      <w:r>
        <w:t xml:space="preserve"> u bruto neposrednoj potrošnji energije za scenarij s postojećim mjerama</w:t>
      </w:r>
      <w:bookmarkEnd w:id="470"/>
    </w:p>
    <w:p w14:paraId="013FD30B" w14:textId="77777777" w:rsidR="00D529C5" w:rsidRDefault="00D529C5" w:rsidP="005F3F29">
      <w:pPr>
        <w:jc w:val="center"/>
      </w:pPr>
    </w:p>
    <w:p w14:paraId="6F9A9F19" w14:textId="2A891B72" w:rsidR="00C1635D" w:rsidRDefault="00904B00" w:rsidP="005F3F29">
      <w:pPr>
        <w:jc w:val="center"/>
      </w:pPr>
      <w:r w:rsidRPr="00904B00">
        <w:rPr>
          <w:noProof/>
        </w:rPr>
        <w:drawing>
          <wp:inline distT="0" distB="0" distL="0" distR="0" wp14:anchorId="6C432DBC" wp14:editId="07FAE09A">
            <wp:extent cx="4718304" cy="3495143"/>
            <wp:effectExtent l="0" t="0" r="635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26754" cy="3501403"/>
                    </a:xfrm>
                    <a:prstGeom prst="rect">
                      <a:avLst/>
                    </a:prstGeom>
                    <a:noFill/>
                    <a:ln>
                      <a:noFill/>
                    </a:ln>
                  </pic:spPr>
                </pic:pic>
              </a:graphicData>
            </a:graphic>
          </wp:inline>
        </w:drawing>
      </w:r>
    </w:p>
    <w:p w14:paraId="04898A27" w14:textId="091E7EC2" w:rsidR="00D529C5" w:rsidRDefault="00D529C5" w:rsidP="00D529C5">
      <w:pPr>
        <w:pStyle w:val="Caption"/>
      </w:pPr>
      <w:bookmarkStart w:id="471" w:name="_Ref26267067"/>
      <w:bookmarkStart w:id="472" w:name="_Toc27396162"/>
      <w:r>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10</w:t>
      </w:r>
      <w:r>
        <w:rPr>
          <w:noProof/>
        </w:rPr>
        <w:fldChar w:fldCharType="end"/>
      </w:r>
      <w:bookmarkEnd w:id="471"/>
      <w:r>
        <w:t xml:space="preserve">. </w:t>
      </w:r>
      <w:r w:rsidRPr="00976062">
        <w:t>Indikativn</w:t>
      </w:r>
      <w:r>
        <w:t>a</w:t>
      </w:r>
      <w:r w:rsidRPr="00976062">
        <w:t xml:space="preserve"> putanj</w:t>
      </w:r>
      <w:r>
        <w:t>a</w:t>
      </w:r>
      <w:r w:rsidRPr="00976062">
        <w:t xml:space="preserve"> udjela OIE</w:t>
      </w:r>
      <w:r>
        <w:t xml:space="preserve"> u električnoj energiji za scenarij s postojećim mjerama</w:t>
      </w:r>
      <w:bookmarkEnd w:id="472"/>
    </w:p>
    <w:p w14:paraId="558A79AE" w14:textId="66B6A82F" w:rsidR="00C1635D" w:rsidRDefault="008B3E22" w:rsidP="005F3F29">
      <w:pPr>
        <w:jc w:val="center"/>
      </w:pPr>
      <w:r w:rsidRPr="008B3E22">
        <w:rPr>
          <w:noProof/>
        </w:rPr>
        <w:drawing>
          <wp:inline distT="0" distB="0" distL="0" distR="0" wp14:anchorId="2AA81C47" wp14:editId="6A8BE130">
            <wp:extent cx="4535424" cy="3359673"/>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2605" cy="3372400"/>
                    </a:xfrm>
                    <a:prstGeom prst="rect">
                      <a:avLst/>
                    </a:prstGeom>
                    <a:noFill/>
                    <a:ln>
                      <a:noFill/>
                    </a:ln>
                  </pic:spPr>
                </pic:pic>
              </a:graphicData>
            </a:graphic>
          </wp:inline>
        </w:drawing>
      </w:r>
    </w:p>
    <w:p w14:paraId="7DBA592F" w14:textId="7773676F" w:rsidR="00D529C5" w:rsidRDefault="00D529C5" w:rsidP="00D529C5">
      <w:pPr>
        <w:pStyle w:val="Caption"/>
      </w:pPr>
      <w:bookmarkStart w:id="473" w:name="_Ref26267107"/>
      <w:bookmarkStart w:id="474" w:name="_Toc27396163"/>
      <w:r>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11</w:t>
      </w:r>
      <w:r>
        <w:rPr>
          <w:noProof/>
        </w:rPr>
        <w:fldChar w:fldCharType="end"/>
      </w:r>
      <w:bookmarkEnd w:id="473"/>
      <w:r>
        <w:t xml:space="preserve">. </w:t>
      </w:r>
      <w:r w:rsidRPr="00976062">
        <w:t>Indikativn</w:t>
      </w:r>
      <w:r>
        <w:t>a</w:t>
      </w:r>
      <w:r w:rsidRPr="00976062">
        <w:t xml:space="preserve"> putanj</w:t>
      </w:r>
      <w:r>
        <w:t>a</w:t>
      </w:r>
      <w:r w:rsidRPr="00976062">
        <w:t xml:space="preserve"> udjela OIE</w:t>
      </w:r>
      <w:r>
        <w:t xml:space="preserve"> u grijanju i hlađenju za scenarij s postojećim mjerama</w:t>
      </w:r>
      <w:bookmarkEnd w:id="474"/>
    </w:p>
    <w:p w14:paraId="74345C92" w14:textId="77777777" w:rsidR="00D529C5" w:rsidRDefault="00D529C5" w:rsidP="005F3F29">
      <w:pPr>
        <w:jc w:val="center"/>
      </w:pPr>
    </w:p>
    <w:p w14:paraId="023EE26E" w14:textId="49430616" w:rsidR="003368C7" w:rsidRDefault="009A6A5F" w:rsidP="005F3F29">
      <w:pPr>
        <w:jc w:val="center"/>
      </w:pPr>
      <w:r w:rsidRPr="009A6A5F">
        <w:rPr>
          <w:noProof/>
        </w:rPr>
        <w:drawing>
          <wp:inline distT="0" distB="0" distL="0" distR="0" wp14:anchorId="3EC6C04D" wp14:editId="0A4A6276">
            <wp:extent cx="4396435" cy="3256715"/>
            <wp:effectExtent l="0" t="0" r="444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07643" cy="3265017"/>
                    </a:xfrm>
                    <a:prstGeom prst="rect">
                      <a:avLst/>
                    </a:prstGeom>
                    <a:noFill/>
                    <a:ln>
                      <a:noFill/>
                    </a:ln>
                  </pic:spPr>
                </pic:pic>
              </a:graphicData>
            </a:graphic>
          </wp:inline>
        </w:drawing>
      </w:r>
    </w:p>
    <w:p w14:paraId="287AE65E" w14:textId="70954808" w:rsidR="005F3F29" w:rsidRDefault="005F3F29" w:rsidP="005F3F29">
      <w:pPr>
        <w:pStyle w:val="Caption"/>
      </w:pPr>
      <w:bookmarkStart w:id="475" w:name="_Ref26267114"/>
      <w:bookmarkStart w:id="476" w:name="_Toc27396164"/>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12</w:t>
      </w:r>
      <w:r w:rsidR="005A7E31">
        <w:rPr>
          <w:noProof/>
        </w:rPr>
        <w:fldChar w:fldCharType="end"/>
      </w:r>
      <w:bookmarkEnd w:id="475"/>
      <w:r>
        <w:t xml:space="preserve">. </w:t>
      </w:r>
      <w:r w:rsidR="00D529C5" w:rsidRPr="00976062">
        <w:t>Indikativn</w:t>
      </w:r>
      <w:r w:rsidR="00D529C5">
        <w:t>a</w:t>
      </w:r>
      <w:r w:rsidR="00D529C5" w:rsidRPr="00976062">
        <w:t xml:space="preserve"> putanj</w:t>
      </w:r>
      <w:r w:rsidR="00D529C5">
        <w:t>a</w:t>
      </w:r>
      <w:r w:rsidR="00D529C5" w:rsidRPr="00976062">
        <w:t xml:space="preserve"> udjela OIE</w:t>
      </w:r>
      <w:r w:rsidR="00D529C5">
        <w:t xml:space="preserve"> u prometu za scenarij s postojećim mjerama</w:t>
      </w:r>
      <w:bookmarkEnd w:id="476"/>
      <w:r w:rsidR="00D529C5" w:rsidDel="00D529C5">
        <w:t xml:space="preserve"> </w:t>
      </w:r>
    </w:p>
    <w:p w14:paraId="0DE46C88" w14:textId="2686286B" w:rsidR="005F3F29" w:rsidRDefault="005F3F29" w:rsidP="005F3F29">
      <w:r>
        <w:t>Ocijenjeni doprinosi tehnologija za dobivanje energije iz OIE za scenarij s postojećim mjerama prikazani su na slici </w:t>
      </w:r>
      <w:r>
        <w:fldChar w:fldCharType="begin"/>
      </w:r>
      <w:r>
        <w:instrText xml:space="preserve"> REF sl_S0_Udio_OIE_sve_kategorije \h </w:instrText>
      </w:r>
      <w:r>
        <w:fldChar w:fldCharType="separate"/>
      </w:r>
      <w:r w:rsidR="00154150">
        <w:rPr>
          <w:noProof/>
        </w:rPr>
        <w:t>4</w:t>
      </w:r>
      <w:r w:rsidR="00154150">
        <w:noBreakHyphen/>
      </w:r>
      <w:r w:rsidR="00154150">
        <w:rPr>
          <w:noProof/>
        </w:rPr>
        <w:t>13</w:t>
      </w:r>
      <w:r w:rsidR="00154150">
        <w:t>.</w:t>
      </w:r>
      <w:r>
        <w:fldChar w:fldCharType="end"/>
      </w:r>
      <w:r>
        <w:t xml:space="preserve">, te u tablicama </w:t>
      </w:r>
      <w:r>
        <w:fldChar w:fldCharType="begin"/>
      </w:r>
      <w:r>
        <w:instrText xml:space="preserve"> REF tbl_S0_Udio_OIE_ukupni \h </w:instrText>
      </w:r>
      <w:r>
        <w:fldChar w:fldCharType="separate"/>
      </w:r>
      <w:r w:rsidR="00154150">
        <w:rPr>
          <w:noProof/>
        </w:rPr>
        <w:t>4</w:t>
      </w:r>
      <w:r w:rsidR="00154150">
        <w:t>–</w:t>
      </w:r>
      <w:r w:rsidR="00154150">
        <w:rPr>
          <w:noProof/>
        </w:rPr>
        <w:t>6</w:t>
      </w:r>
      <w:r>
        <w:fldChar w:fldCharType="end"/>
      </w:r>
      <w:r>
        <w:t xml:space="preserve">. do </w:t>
      </w:r>
      <w:r>
        <w:fldChar w:fldCharType="begin"/>
      </w:r>
      <w:r>
        <w:instrText xml:space="preserve"> REF tbl_S0_Udio_OIE_promet \h </w:instrText>
      </w:r>
      <w:r>
        <w:fldChar w:fldCharType="separate"/>
      </w:r>
      <w:r w:rsidR="00154150">
        <w:rPr>
          <w:noProof/>
        </w:rPr>
        <w:t>4</w:t>
      </w:r>
      <w:r w:rsidR="00154150">
        <w:t>–</w:t>
      </w:r>
      <w:r w:rsidR="00154150">
        <w:rPr>
          <w:noProof/>
        </w:rPr>
        <w:t>9</w:t>
      </w:r>
      <w:r w:rsidR="00154150">
        <w:t xml:space="preserve">.: </w:t>
      </w:r>
      <w:r>
        <w:fldChar w:fldCharType="end"/>
      </w:r>
      <w:r>
        <w:t>.</w:t>
      </w:r>
    </w:p>
    <w:p w14:paraId="0F2462B8" w14:textId="4E01B838" w:rsidR="005F3F29" w:rsidRDefault="005F3F29" w:rsidP="005F3F29">
      <w:pPr>
        <w:pStyle w:val="Caption"/>
        <w:keepNext/>
        <w:spacing w:after="0"/>
        <w:jc w:val="both"/>
      </w:pPr>
      <w:bookmarkStart w:id="477" w:name="_Toc27396220"/>
      <w:r>
        <w:t xml:space="preserve">Tablica </w:t>
      </w:r>
      <w:bookmarkStart w:id="478" w:name="tbl_S0_Udio_OIE_ukupni"/>
      <w:r w:rsidR="00A431A0">
        <w:fldChar w:fldCharType="begin"/>
      </w:r>
      <w:r w:rsidR="00A431A0">
        <w:instrText xml:space="preserve"> STYLEREF 1 \s </w:instrText>
      </w:r>
      <w:r w:rsidR="00A431A0">
        <w:fldChar w:fldCharType="separate"/>
      </w:r>
      <w:r w:rsidR="00154150">
        <w:rPr>
          <w:noProof/>
        </w:rPr>
        <w:t>4</w:t>
      </w:r>
      <w:r w:rsidR="00A431A0">
        <w:fldChar w:fldCharType="end"/>
      </w:r>
      <w:r w:rsidR="00562DF0">
        <w:t>–</w:t>
      </w:r>
      <w:fldSimple w:instr=" SEQ Tablica \* ARABIC \s 1 ">
        <w:r w:rsidR="00154150">
          <w:rPr>
            <w:noProof/>
          </w:rPr>
          <w:t>6</w:t>
        </w:r>
      </w:fldSimple>
      <w:bookmarkEnd w:id="478"/>
      <w:r>
        <w:t>.</w:t>
      </w:r>
      <w:r w:rsidR="00214B02">
        <w:t>:</w:t>
      </w:r>
      <w:r>
        <w:t xml:space="preserve"> Ocijenjeni doprinos tehnologija za OIE</w:t>
      </w:r>
      <w:r w:rsidR="005D7924">
        <w:t xml:space="preserve"> u bruto neposrednoj potrošnji</w:t>
      </w:r>
      <w:r>
        <w:t xml:space="preserve"> – Scenarij s postojećim mjerama</w:t>
      </w:r>
      <w:bookmarkEnd w:id="477"/>
    </w:p>
    <w:p w14:paraId="01EBE0FF" w14:textId="10780A34" w:rsidR="005F3F29" w:rsidRDefault="00BF0526" w:rsidP="005F3F29">
      <w:pPr>
        <w:spacing w:before="0"/>
      </w:pPr>
      <w:r>
        <w:rPr>
          <w:noProof/>
        </w:rPr>
        <w:drawing>
          <wp:inline distT="0" distB="0" distL="0" distR="0" wp14:anchorId="28ADCB68" wp14:editId="7B2D316F">
            <wp:extent cx="5759450" cy="1503045"/>
            <wp:effectExtent l="0" t="0" r="0" b="190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503045"/>
                    </a:xfrm>
                    <a:prstGeom prst="rect">
                      <a:avLst/>
                    </a:prstGeom>
                  </pic:spPr>
                </pic:pic>
              </a:graphicData>
            </a:graphic>
          </wp:inline>
        </w:drawing>
      </w:r>
    </w:p>
    <w:p w14:paraId="51235A4C" w14:textId="56CB280C" w:rsidR="005F3F29" w:rsidRDefault="005F3F29" w:rsidP="005F3F29">
      <w:pPr>
        <w:pStyle w:val="Caption"/>
        <w:keepNext/>
        <w:spacing w:after="0"/>
        <w:jc w:val="both"/>
      </w:pPr>
      <w:bookmarkStart w:id="479" w:name="_Toc27396221"/>
      <w:r>
        <w:t xml:space="preserve">Tablica </w:t>
      </w:r>
      <w:fldSimple w:instr=" STYLEREF 1 \s ">
        <w:r w:rsidR="00154150">
          <w:rPr>
            <w:noProof/>
          </w:rPr>
          <w:t>4</w:t>
        </w:r>
      </w:fldSimple>
      <w:r w:rsidR="00562DF0">
        <w:t>–</w:t>
      </w:r>
      <w:fldSimple w:instr=" SEQ Tablica \* ARABIC \s 1 ">
        <w:r w:rsidR="00154150">
          <w:rPr>
            <w:noProof/>
          </w:rPr>
          <w:t>7</w:t>
        </w:r>
      </w:fldSimple>
      <w:r>
        <w:t>.</w:t>
      </w:r>
      <w:r w:rsidR="0098147A">
        <w:t>:</w:t>
      </w:r>
      <w:r>
        <w:t xml:space="preserve"> Ocijenjeni doprinos tehnologija za OIE u električnoj energiji – Scenarij s postojećim mjerama</w:t>
      </w:r>
      <w:bookmarkEnd w:id="479"/>
    </w:p>
    <w:p w14:paraId="544BF046" w14:textId="7B566ADD" w:rsidR="005F3F29" w:rsidRDefault="00BA5254" w:rsidP="005F3F29">
      <w:pPr>
        <w:spacing w:before="0"/>
      </w:pPr>
      <w:r>
        <w:rPr>
          <w:noProof/>
        </w:rPr>
        <w:drawing>
          <wp:inline distT="0" distB="0" distL="0" distR="0" wp14:anchorId="522254B3" wp14:editId="2AED1A80">
            <wp:extent cx="5759450" cy="109156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1091565"/>
                    </a:xfrm>
                    <a:prstGeom prst="rect">
                      <a:avLst/>
                    </a:prstGeom>
                  </pic:spPr>
                </pic:pic>
              </a:graphicData>
            </a:graphic>
          </wp:inline>
        </w:drawing>
      </w:r>
    </w:p>
    <w:p w14:paraId="004D9609" w14:textId="0E53453E" w:rsidR="005F3F29" w:rsidRDefault="005F3F29" w:rsidP="005F3F29">
      <w:pPr>
        <w:pStyle w:val="Caption"/>
        <w:keepNext/>
        <w:spacing w:after="0"/>
        <w:jc w:val="both"/>
      </w:pPr>
      <w:bookmarkStart w:id="480" w:name="_Toc27396222"/>
      <w:r>
        <w:t xml:space="preserve">Tablica </w:t>
      </w:r>
      <w:fldSimple w:instr=" STYLEREF 1 \s ">
        <w:r w:rsidR="00154150">
          <w:rPr>
            <w:noProof/>
          </w:rPr>
          <w:t>4</w:t>
        </w:r>
      </w:fldSimple>
      <w:r w:rsidR="00562DF0">
        <w:t>–</w:t>
      </w:r>
      <w:fldSimple w:instr=" SEQ Tablica \* ARABIC \s 1 ">
        <w:r w:rsidR="00154150">
          <w:rPr>
            <w:noProof/>
          </w:rPr>
          <w:t>8</w:t>
        </w:r>
      </w:fldSimple>
      <w:r>
        <w:t>.</w:t>
      </w:r>
      <w:r w:rsidR="0098147A">
        <w:t>:</w:t>
      </w:r>
      <w:r>
        <w:t xml:space="preserve"> Ocijenjeni doprinos tehnologija za OIE u grijanju i hlađenju – Scenarij s postojećim mjerama</w:t>
      </w:r>
      <w:bookmarkEnd w:id="480"/>
    </w:p>
    <w:p w14:paraId="3B817A43" w14:textId="55D87B2A" w:rsidR="005F3F29" w:rsidRDefault="00272D5E" w:rsidP="005F3F29">
      <w:pPr>
        <w:spacing w:before="0"/>
      </w:pPr>
      <w:r>
        <w:rPr>
          <w:noProof/>
        </w:rPr>
        <w:drawing>
          <wp:inline distT="0" distB="0" distL="0" distR="0" wp14:anchorId="6030C885" wp14:editId="1B9D3DBE">
            <wp:extent cx="5759450" cy="906780"/>
            <wp:effectExtent l="0" t="0" r="0" b="762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906780"/>
                    </a:xfrm>
                    <a:prstGeom prst="rect">
                      <a:avLst/>
                    </a:prstGeom>
                  </pic:spPr>
                </pic:pic>
              </a:graphicData>
            </a:graphic>
          </wp:inline>
        </w:drawing>
      </w:r>
    </w:p>
    <w:p w14:paraId="713C2F82" w14:textId="21D73267" w:rsidR="005F3F29" w:rsidRDefault="005F3F29" w:rsidP="005F3F29">
      <w:pPr>
        <w:pStyle w:val="Caption"/>
        <w:keepNext/>
        <w:spacing w:after="0"/>
        <w:jc w:val="both"/>
      </w:pPr>
      <w:bookmarkStart w:id="481" w:name="_Toc27396223"/>
      <w:r>
        <w:t xml:space="preserve">Tablica </w:t>
      </w:r>
      <w:bookmarkStart w:id="482" w:name="tbl_S0_Udio_OIE_promet"/>
      <w:r w:rsidR="00A431A0">
        <w:fldChar w:fldCharType="begin"/>
      </w:r>
      <w:r w:rsidR="00A431A0">
        <w:instrText xml:space="preserve"> STYLEREF 1 \s </w:instrText>
      </w:r>
      <w:r w:rsidR="00A431A0">
        <w:fldChar w:fldCharType="separate"/>
      </w:r>
      <w:r w:rsidR="00154150">
        <w:rPr>
          <w:noProof/>
        </w:rPr>
        <w:t>4</w:t>
      </w:r>
      <w:r w:rsidR="00A431A0">
        <w:fldChar w:fldCharType="end"/>
      </w:r>
      <w:r w:rsidR="00562DF0">
        <w:t>–</w:t>
      </w:r>
      <w:fldSimple w:instr=" SEQ Tablica \* ARABIC \s 1 ">
        <w:r w:rsidR="00154150">
          <w:rPr>
            <w:noProof/>
          </w:rPr>
          <w:t>9</w:t>
        </w:r>
      </w:fldSimple>
      <w:r>
        <w:t>.</w:t>
      </w:r>
      <w:r w:rsidR="0098147A">
        <w:t>:</w:t>
      </w:r>
      <w:r>
        <w:t xml:space="preserve"> </w:t>
      </w:r>
      <w:bookmarkEnd w:id="482"/>
      <w:r>
        <w:t>Ocijenjeni doprinos tehnologija za OIE u prometu – Scenarij s postojećim mjerama</w:t>
      </w:r>
      <w:bookmarkEnd w:id="481"/>
    </w:p>
    <w:p w14:paraId="2CF78E48" w14:textId="73DC210D" w:rsidR="005F3F29" w:rsidRDefault="00BD7020" w:rsidP="005F3F29">
      <w:pPr>
        <w:spacing w:before="0"/>
      </w:pPr>
      <w:r>
        <w:rPr>
          <w:noProof/>
        </w:rPr>
        <w:drawing>
          <wp:inline distT="0" distB="0" distL="0" distR="0" wp14:anchorId="257E87E6" wp14:editId="2B6E7043">
            <wp:extent cx="5759450" cy="663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663575"/>
                    </a:xfrm>
                    <a:prstGeom prst="rect">
                      <a:avLst/>
                    </a:prstGeom>
                  </pic:spPr>
                </pic:pic>
              </a:graphicData>
            </a:graphic>
          </wp:inline>
        </w:drawing>
      </w:r>
    </w:p>
    <w:p w14:paraId="1B292B03" w14:textId="1563C5B8" w:rsidR="00D529C5" w:rsidRDefault="00D529C5">
      <w:pPr>
        <w:suppressAutoHyphens w:val="0"/>
        <w:spacing w:before="0" w:after="0" w:line="240" w:lineRule="auto"/>
        <w:jc w:val="left"/>
      </w:pPr>
      <w:r>
        <w:br w:type="page"/>
      </w:r>
    </w:p>
    <w:p w14:paraId="656BD236" w14:textId="195317C8" w:rsidR="00BD101A" w:rsidRDefault="005F4117" w:rsidP="00725326">
      <w:pPr>
        <w:spacing w:before="0"/>
        <w:jc w:val="center"/>
      </w:pPr>
      <w:r w:rsidRPr="005F4117">
        <w:rPr>
          <w:noProof/>
        </w:rPr>
        <w:drawing>
          <wp:inline distT="0" distB="0" distL="0" distR="0" wp14:anchorId="4FA3F739" wp14:editId="2FF8DE08">
            <wp:extent cx="2804804" cy="1762047"/>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5920" cy="1794159"/>
                    </a:xfrm>
                    <a:prstGeom prst="rect">
                      <a:avLst/>
                    </a:prstGeom>
                    <a:noFill/>
                    <a:ln>
                      <a:noFill/>
                    </a:ln>
                  </pic:spPr>
                </pic:pic>
              </a:graphicData>
            </a:graphic>
          </wp:inline>
        </w:drawing>
      </w:r>
      <w:r w:rsidR="00D529C5">
        <w:t xml:space="preserve"> </w:t>
      </w:r>
      <w:r w:rsidR="002C423A" w:rsidRPr="002C423A">
        <w:rPr>
          <w:noProof/>
        </w:rPr>
        <w:drawing>
          <wp:inline distT="0" distB="0" distL="0" distR="0" wp14:anchorId="079F3E3A" wp14:editId="22F022B3">
            <wp:extent cx="2571750" cy="1762229"/>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2616" cy="1783379"/>
                    </a:xfrm>
                    <a:prstGeom prst="rect">
                      <a:avLst/>
                    </a:prstGeom>
                    <a:noFill/>
                    <a:ln>
                      <a:noFill/>
                    </a:ln>
                  </pic:spPr>
                </pic:pic>
              </a:graphicData>
            </a:graphic>
          </wp:inline>
        </w:drawing>
      </w:r>
    </w:p>
    <w:p w14:paraId="3490D8E2" w14:textId="7885C095" w:rsidR="00450A95" w:rsidRDefault="009F6317" w:rsidP="00725326">
      <w:pPr>
        <w:spacing w:before="0"/>
        <w:jc w:val="center"/>
      </w:pPr>
      <w:r w:rsidRPr="009F6317">
        <w:rPr>
          <w:noProof/>
        </w:rPr>
        <w:drawing>
          <wp:inline distT="0" distB="0" distL="0" distR="0" wp14:anchorId="5FDA0C8F" wp14:editId="71449C28">
            <wp:extent cx="2819400" cy="1630403"/>
            <wp:effectExtent l="0" t="0" r="0" b="825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1539" cy="1648988"/>
                    </a:xfrm>
                    <a:prstGeom prst="rect">
                      <a:avLst/>
                    </a:prstGeom>
                    <a:noFill/>
                    <a:ln>
                      <a:noFill/>
                    </a:ln>
                  </pic:spPr>
                </pic:pic>
              </a:graphicData>
            </a:graphic>
          </wp:inline>
        </w:drawing>
      </w:r>
      <w:r w:rsidR="00D529C5">
        <w:t xml:space="preserve"> </w:t>
      </w:r>
      <w:r w:rsidR="009B76D5" w:rsidRPr="009B76D5">
        <w:rPr>
          <w:noProof/>
        </w:rPr>
        <w:drawing>
          <wp:inline distT="0" distB="0" distL="0" distR="0" wp14:anchorId="53E27ADD" wp14:editId="3FE4233A">
            <wp:extent cx="2722376" cy="1620520"/>
            <wp:effectExtent l="0" t="0" r="190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9668" cy="1654623"/>
                    </a:xfrm>
                    <a:prstGeom prst="rect">
                      <a:avLst/>
                    </a:prstGeom>
                    <a:noFill/>
                    <a:ln>
                      <a:noFill/>
                    </a:ln>
                  </pic:spPr>
                </pic:pic>
              </a:graphicData>
            </a:graphic>
          </wp:inline>
        </w:drawing>
      </w:r>
    </w:p>
    <w:p w14:paraId="0D1FC02D" w14:textId="03C960D3" w:rsidR="005F3F29" w:rsidRDefault="005F3F29" w:rsidP="005F3F29">
      <w:pPr>
        <w:pStyle w:val="Caption"/>
      </w:pPr>
      <w:bookmarkStart w:id="483" w:name="_Toc27396165"/>
      <w:r>
        <w:t xml:space="preserve">Slika </w:t>
      </w:r>
      <w:bookmarkStart w:id="484" w:name="sl_S0_Udio_OIE_sve_kategorije"/>
      <w:r w:rsidR="00856D97">
        <w:fldChar w:fldCharType="begin"/>
      </w:r>
      <w:r w:rsidR="00856D97">
        <w:instrText xml:space="preserve"> STYLEREF 1 \s </w:instrText>
      </w:r>
      <w:r w:rsidR="00856D97">
        <w:fldChar w:fldCharType="separate"/>
      </w:r>
      <w:r w:rsidR="00154150">
        <w:rPr>
          <w:noProof/>
        </w:rPr>
        <w:t>4</w:t>
      </w:r>
      <w:r w:rsidR="00856D97">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13</w:t>
      </w:r>
      <w:r w:rsidR="005A7E31">
        <w:rPr>
          <w:noProof/>
        </w:rPr>
        <w:fldChar w:fldCharType="end"/>
      </w:r>
      <w:r>
        <w:t>.</w:t>
      </w:r>
      <w:bookmarkEnd w:id="484"/>
      <w:r>
        <w:t xml:space="preserve"> Ocijenjeni doprinosi OIE tehnologija po sektorima – Scenarij s postojećim mjerama</w:t>
      </w:r>
      <w:bookmarkEnd w:id="483"/>
    </w:p>
    <w:p w14:paraId="25EF7948" w14:textId="77777777" w:rsidR="00D529C5" w:rsidRDefault="00D529C5" w:rsidP="00976885"/>
    <w:p w14:paraId="61DFC6C2" w14:textId="7BE2EF10" w:rsidR="00770B29" w:rsidRDefault="005F3F29" w:rsidP="005F3F29">
      <w:r>
        <w:t xml:space="preserve">Očekivana struktura </w:t>
      </w:r>
      <w:r w:rsidR="00770B29">
        <w:t>kapaciteta</w:t>
      </w:r>
      <w:r w:rsidR="00E223DA">
        <w:t xml:space="preserve"> </w:t>
      </w:r>
      <w:r>
        <w:t>za proizvodnju električne energije za Scenarij s postojećim mjerama prikaz</w:t>
      </w:r>
      <w:r w:rsidR="00770B29">
        <w:t>ana je u</w:t>
      </w:r>
      <w:r w:rsidR="00E223DA">
        <w:t xml:space="preserve"> </w:t>
      </w:r>
      <w:r w:rsidR="0047418F">
        <w:fldChar w:fldCharType="begin"/>
      </w:r>
      <w:r w:rsidR="0047418F">
        <w:instrText xml:space="preserve"> REF _Ref531871258 \h </w:instrText>
      </w:r>
      <w:r w:rsidR="00976885">
        <w:instrText xml:space="preserve"> \* MERGEFORMAT </w:instrText>
      </w:r>
      <w:r w:rsidR="0047418F">
        <w:fldChar w:fldCharType="separate"/>
      </w:r>
      <w:r w:rsidR="00154150">
        <w:t xml:space="preserve">Tablica </w:t>
      </w:r>
      <w:r w:rsidR="00154150">
        <w:rPr>
          <w:noProof/>
        </w:rPr>
        <w:t>4</w:t>
      </w:r>
      <w:r w:rsidR="00154150">
        <w:t>–</w:t>
      </w:r>
      <w:r w:rsidR="00154150">
        <w:rPr>
          <w:noProof/>
        </w:rPr>
        <w:t>10</w:t>
      </w:r>
      <w:r w:rsidR="0047418F">
        <w:fldChar w:fldCharType="end"/>
      </w:r>
      <w:r>
        <w:t xml:space="preserve"> i</w:t>
      </w:r>
      <w:r w:rsidR="0047418F">
        <w:t xml:space="preserve"> </w:t>
      </w:r>
      <w:r w:rsidR="00770B29">
        <w:t>na</w:t>
      </w:r>
      <w:r w:rsidR="0047418F">
        <w:t xml:space="preserve"> </w:t>
      </w:r>
      <w:r w:rsidR="00976885">
        <w:t>Slici 4-11.</w:t>
      </w:r>
    </w:p>
    <w:p w14:paraId="51854AC6" w14:textId="08E11DFF" w:rsidR="005F3F29" w:rsidRDefault="005F3F29" w:rsidP="005F3F29">
      <w:pPr>
        <w:pStyle w:val="Caption"/>
        <w:keepNext/>
      </w:pPr>
      <w:bookmarkStart w:id="485" w:name="_Ref531871258"/>
      <w:bookmarkStart w:id="486" w:name="_Toc27396224"/>
      <w:r>
        <w:t xml:space="preserve">Tablica </w:t>
      </w:r>
      <w:fldSimple w:instr=" STYLEREF 1 \s ">
        <w:r w:rsidR="00154150">
          <w:rPr>
            <w:noProof/>
          </w:rPr>
          <w:t>4</w:t>
        </w:r>
      </w:fldSimple>
      <w:r w:rsidR="00562DF0">
        <w:t>–</w:t>
      </w:r>
      <w:fldSimple w:instr=" SEQ Tablica \* ARABIC \s 1 ">
        <w:r w:rsidR="00154150">
          <w:rPr>
            <w:noProof/>
          </w:rPr>
          <w:t>10</w:t>
        </w:r>
      </w:fldSimple>
      <w:bookmarkEnd w:id="485"/>
      <w:r>
        <w:t>.</w:t>
      </w:r>
      <w:r w:rsidR="00214B02">
        <w:t>:</w:t>
      </w:r>
      <w:r>
        <w:t xml:space="preserve"> Očekivana snaga elektrana u Scenariju s postojećim mjerama</w:t>
      </w:r>
      <w:bookmarkEnd w:id="486"/>
    </w:p>
    <w:tbl>
      <w:tblPr>
        <w:tblStyle w:val="TableGrid"/>
        <w:tblW w:w="0" w:type="auto"/>
        <w:tblLook w:val="04A0" w:firstRow="1" w:lastRow="0" w:firstColumn="1" w:lastColumn="0" w:noHBand="0" w:noVBand="1"/>
      </w:tblPr>
      <w:tblGrid>
        <w:gridCol w:w="703"/>
        <w:gridCol w:w="701"/>
        <w:gridCol w:w="663"/>
        <w:gridCol w:w="583"/>
        <w:gridCol w:w="758"/>
        <w:gridCol w:w="1077"/>
        <w:gridCol w:w="925"/>
        <w:gridCol w:w="1310"/>
        <w:gridCol w:w="738"/>
        <w:gridCol w:w="729"/>
        <w:gridCol w:w="873"/>
      </w:tblGrid>
      <w:tr w:rsidR="007E46FE" w:rsidRPr="00246CC1" w14:paraId="48ACA856" w14:textId="77777777" w:rsidTr="00725326">
        <w:tc>
          <w:tcPr>
            <w:tcW w:w="716" w:type="dxa"/>
            <w:shd w:val="clear" w:color="auto" w:fill="DEEAF6" w:themeFill="accent1" w:themeFillTint="33"/>
          </w:tcPr>
          <w:p w14:paraId="6281DC84"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MW</w:t>
            </w:r>
          </w:p>
        </w:tc>
        <w:tc>
          <w:tcPr>
            <w:tcW w:w="712" w:type="dxa"/>
            <w:shd w:val="clear" w:color="auto" w:fill="DEEAF6" w:themeFill="accent1" w:themeFillTint="33"/>
          </w:tcPr>
          <w:p w14:paraId="2AF5A014"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Hidro</w:t>
            </w:r>
          </w:p>
        </w:tc>
        <w:tc>
          <w:tcPr>
            <w:tcW w:w="681" w:type="dxa"/>
            <w:shd w:val="clear" w:color="auto" w:fill="DEEAF6" w:themeFill="accent1" w:themeFillTint="33"/>
          </w:tcPr>
          <w:p w14:paraId="2C0AD6DD"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Plin</w:t>
            </w:r>
          </w:p>
        </w:tc>
        <w:tc>
          <w:tcPr>
            <w:tcW w:w="609" w:type="dxa"/>
            <w:shd w:val="clear" w:color="auto" w:fill="DEEAF6" w:themeFill="accent1" w:themeFillTint="33"/>
          </w:tcPr>
          <w:p w14:paraId="36E1AD95"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Lož ulje</w:t>
            </w:r>
          </w:p>
        </w:tc>
        <w:tc>
          <w:tcPr>
            <w:tcW w:w="762" w:type="dxa"/>
            <w:shd w:val="clear" w:color="auto" w:fill="DEEAF6" w:themeFill="accent1" w:themeFillTint="33"/>
          </w:tcPr>
          <w:p w14:paraId="0ACD0A0B"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Ugljen</w:t>
            </w:r>
          </w:p>
        </w:tc>
        <w:tc>
          <w:tcPr>
            <w:tcW w:w="1053" w:type="dxa"/>
            <w:shd w:val="clear" w:color="auto" w:fill="DEEAF6" w:themeFill="accent1" w:themeFillTint="33"/>
          </w:tcPr>
          <w:p w14:paraId="77070476"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Nuklearna</w:t>
            </w:r>
          </w:p>
        </w:tc>
        <w:tc>
          <w:tcPr>
            <w:tcW w:w="906" w:type="dxa"/>
            <w:shd w:val="clear" w:color="auto" w:fill="DEEAF6" w:themeFill="accent1" w:themeFillTint="33"/>
          </w:tcPr>
          <w:p w14:paraId="6343131C"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Biomasa</w:t>
            </w:r>
          </w:p>
        </w:tc>
        <w:tc>
          <w:tcPr>
            <w:tcW w:w="1286" w:type="dxa"/>
            <w:shd w:val="clear" w:color="auto" w:fill="DEEAF6" w:themeFill="accent1" w:themeFillTint="33"/>
          </w:tcPr>
          <w:p w14:paraId="1F40F6E9"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Geotermalna</w:t>
            </w:r>
          </w:p>
        </w:tc>
        <w:tc>
          <w:tcPr>
            <w:tcW w:w="743" w:type="dxa"/>
            <w:shd w:val="clear" w:color="auto" w:fill="DEEAF6" w:themeFill="accent1" w:themeFillTint="33"/>
          </w:tcPr>
          <w:p w14:paraId="1A4D050A"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Vjetar</w:t>
            </w:r>
          </w:p>
        </w:tc>
        <w:tc>
          <w:tcPr>
            <w:tcW w:w="738" w:type="dxa"/>
            <w:shd w:val="clear" w:color="auto" w:fill="DEEAF6" w:themeFill="accent1" w:themeFillTint="33"/>
          </w:tcPr>
          <w:p w14:paraId="17C7138C"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Sunce</w:t>
            </w:r>
          </w:p>
        </w:tc>
        <w:tc>
          <w:tcPr>
            <w:tcW w:w="856" w:type="dxa"/>
            <w:shd w:val="clear" w:color="auto" w:fill="DEEAF6" w:themeFill="accent1" w:themeFillTint="33"/>
          </w:tcPr>
          <w:p w14:paraId="4B459D34" w14:textId="77777777" w:rsidR="00246CC1" w:rsidRPr="00725326" w:rsidRDefault="00246CC1" w:rsidP="00185868">
            <w:pPr>
              <w:rPr>
                <w:rFonts w:asciiTheme="minorHAnsi" w:hAnsiTheme="minorHAnsi" w:cstheme="minorHAnsi"/>
                <w:b/>
                <w:sz w:val="20"/>
                <w:szCs w:val="20"/>
              </w:rPr>
            </w:pPr>
            <w:r w:rsidRPr="00725326">
              <w:rPr>
                <w:rFonts w:asciiTheme="minorHAnsi" w:hAnsiTheme="minorHAnsi" w:cstheme="minorHAnsi"/>
                <w:b/>
                <w:sz w:val="20"/>
                <w:szCs w:val="20"/>
              </w:rPr>
              <w:t>Ukupno</w:t>
            </w:r>
          </w:p>
        </w:tc>
      </w:tr>
      <w:tr w:rsidR="007E46FE" w:rsidRPr="00246CC1" w14:paraId="2795111E" w14:textId="77777777" w:rsidTr="0034350E">
        <w:tc>
          <w:tcPr>
            <w:tcW w:w="716" w:type="dxa"/>
            <w:shd w:val="clear" w:color="auto" w:fill="auto"/>
          </w:tcPr>
          <w:p w14:paraId="22C2B9E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2020.</w:t>
            </w:r>
          </w:p>
        </w:tc>
        <w:tc>
          <w:tcPr>
            <w:tcW w:w="712" w:type="dxa"/>
            <w:shd w:val="clear" w:color="auto" w:fill="auto"/>
          </w:tcPr>
          <w:p w14:paraId="23633B9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30F129A8" w14:textId="46B6B6BF" w:rsidR="00246CC1" w:rsidRPr="00246CC1" w:rsidRDefault="007E46FE" w:rsidP="00185868">
            <w:pPr>
              <w:rPr>
                <w:rFonts w:asciiTheme="minorHAnsi" w:hAnsiTheme="minorHAnsi" w:cstheme="minorHAnsi"/>
                <w:sz w:val="20"/>
                <w:szCs w:val="20"/>
              </w:rPr>
            </w:pPr>
            <w:r>
              <w:rPr>
                <w:rFonts w:asciiTheme="minorHAnsi" w:hAnsiTheme="minorHAnsi" w:cstheme="minorHAnsi"/>
                <w:sz w:val="20"/>
                <w:szCs w:val="20"/>
              </w:rPr>
              <w:t>997</w:t>
            </w:r>
          </w:p>
        </w:tc>
        <w:tc>
          <w:tcPr>
            <w:tcW w:w="609" w:type="dxa"/>
            <w:shd w:val="clear" w:color="auto" w:fill="auto"/>
          </w:tcPr>
          <w:p w14:paraId="2ED7CECD" w14:textId="6C9C6D25" w:rsidR="00246CC1" w:rsidRPr="00246CC1" w:rsidRDefault="007E46FE" w:rsidP="00185868">
            <w:pPr>
              <w:rPr>
                <w:rFonts w:asciiTheme="minorHAnsi" w:hAnsiTheme="minorHAnsi" w:cstheme="minorHAnsi"/>
                <w:sz w:val="20"/>
                <w:szCs w:val="20"/>
              </w:rPr>
            </w:pPr>
            <w:r w:rsidRPr="007E46FE">
              <w:rPr>
                <w:rFonts w:asciiTheme="minorHAnsi" w:hAnsiTheme="minorHAnsi" w:cstheme="minorHAnsi"/>
                <w:sz w:val="20"/>
                <w:szCs w:val="20"/>
              </w:rPr>
              <w:t>303</w:t>
            </w:r>
          </w:p>
        </w:tc>
        <w:tc>
          <w:tcPr>
            <w:tcW w:w="762" w:type="dxa"/>
            <w:shd w:val="clear" w:color="auto" w:fill="auto"/>
          </w:tcPr>
          <w:p w14:paraId="28254DD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3A28E46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4DCE804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154</w:t>
            </w:r>
          </w:p>
        </w:tc>
        <w:tc>
          <w:tcPr>
            <w:tcW w:w="1286" w:type="dxa"/>
            <w:shd w:val="clear" w:color="auto" w:fill="auto"/>
          </w:tcPr>
          <w:p w14:paraId="061C2D9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020DAEC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734</w:t>
            </w:r>
          </w:p>
        </w:tc>
        <w:tc>
          <w:tcPr>
            <w:tcW w:w="738" w:type="dxa"/>
            <w:shd w:val="clear" w:color="auto" w:fill="auto"/>
          </w:tcPr>
          <w:p w14:paraId="61F6051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72</w:t>
            </w:r>
          </w:p>
        </w:tc>
        <w:tc>
          <w:tcPr>
            <w:tcW w:w="856" w:type="dxa"/>
            <w:shd w:val="clear" w:color="auto" w:fill="auto"/>
          </w:tcPr>
          <w:p w14:paraId="362E418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4934</w:t>
            </w:r>
          </w:p>
        </w:tc>
      </w:tr>
      <w:tr w:rsidR="007E46FE" w:rsidRPr="00246CC1" w14:paraId="7F1DFF7D" w14:textId="77777777" w:rsidTr="0034350E">
        <w:tc>
          <w:tcPr>
            <w:tcW w:w="716" w:type="dxa"/>
            <w:shd w:val="clear" w:color="auto" w:fill="auto"/>
          </w:tcPr>
          <w:p w14:paraId="1CBE786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2021.</w:t>
            </w:r>
          </w:p>
        </w:tc>
        <w:tc>
          <w:tcPr>
            <w:tcW w:w="712" w:type="dxa"/>
            <w:shd w:val="clear" w:color="auto" w:fill="auto"/>
          </w:tcPr>
          <w:p w14:paraId="521DCC5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5C3576BB" w14:textId="0CB6DEF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99</w:t>
            </w:r>
            <w:r w:rsidR="007E46FE">
              <w:rPr>
                <w:rFonts w:asciiTheme="minorHAnsi" w:hAnsiTheme="minorHAnsi" w:cstheme="minorHAnsi"/>
                <w:sz w:val="20"/>
                <w:szCs w:val="20"/>
              </w:rPr>
              <w:t>7</w:t>
            </w:r>
          </w:p>
        </w:tc>
        <w:tc>
          <w:tcPr>
            <w:tcW w:w="609" w:type="dxa"/>
            <w:shd w:val="clear" w:color="auto" w:fill="auto"/>
          </w:tcPr>
          <w:p w14:paraId="0A18BC34" w14:textId="6E95C345" w:rsidR="00246CC1" w:rsidRPr="00246CC1" w:rsidRDefault="007E46FE" w:rsidP="00185868">
            <w:pPr>
              <w:rPr>
                <w:rFonts w:asciiTheme="minorHAnsi" w:hAnsiTheme="minorHAnsi" w:cstheme="minorHAnsi"/>
                <w:sz w:val="20"/>
                <w:szCs w:val="20"/>
              </w:rPr>
            </w:pPr>
            <w:r>
              <w:rPr>
                <w:rFonts w:asciiTheme="minorHAnsi" w:hAnsiTheme="minorHAnsi" w:cstheme="minorHAnsi"/>
                <w:sz w:val="20"/>
                <w:szCs w:val="20"/>
              </w:rPr>
              <w:t>303</w:t>
            </w:r>
          </w:p>
        </w:tc>
        <w:tc>
          <w:tcPr>
            <w:tcW w:w="762" w:type="dxa"/>
            <w:shd w:val="clear" w:color="auto" w:fill="auto"/>
          </w:tcPr>
          <w:p w14:paraId="71F8C95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70500BA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49DB0C3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171</w:t>
            </w:r>
          </w:p>
        </w:tc>
        <w:tc>
          <w:tcPr>
            <w:tcW w:w="1286" w:type="dxa"/>
            <w:shd w:val="clear" w:color="auto" w:fill="auto"/>
          </w:tcPr>
          <w:p w14:paraId="73703CA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33D4702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759</w:t>
            </w:r>
          </w:p>
        </w:tc>
        <w:tc>
          <w:tcPr>
            <w:tcW w:w="738" w:type="dxa"/>
            <w:shd w:val="clear" w:color="auto" w:fill="auto"/>
          </w:tcPr>
          <w:p w14:paraId="77DF176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95</w:t>
            </w:r>
          </w:p>
        </w:tc>
        <w:tc>
          <w:tcPr>
            <w:tcW w:w="856" w:type="dxa"/>
            <w:shd w:val="clear" w:color="auto" w:fill="auto"/>
          </w:tcPr>
          <w:p w14:paraId="4490B93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4999</w:t>
            </w:r>
          </w:p>
        </w:tc>
      </w:tr>
      <w:tr w:rsidR="007E46FE" w:rsidRPr="00246CC1" w14:paraId="5FD65D36" w14:textId="77777777" w:rsidTr="0034350E">
        <w:tc>
          <w:tcPr>
            <w:tcW w:w="716" w:type="dxa"/>
            <w:shd w:val="clear" w:color="auto" w:fill="auto"/>
          </w:tcPr>
          <w:p w14:paraId="3CDF6B6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2022.</w:t>
            </w:r>
          </w:p>
        </w:tc>
        <w:tc>
          <w:tcPr>
            <w:tcW w:w="712" w:type="dxa"/>
            <w:shd w:val="clear" w:color="auto" w:fill="auto"/>
          </w:tcPr>
          <w:p w14:paraId="622908B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5B413A30" w14:textId="31E9AF1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99</w:t>
            </w:r>
            <w:r w:rsidR="007E46FE">
              <w:rPr>
                <w:rFonts w:asciiTheme="minorHAnsi" w:hAnsiTheme="minorHAnsi" w:cstheme="minorHAnsi"/>
                <w:sz w:val="20"/>
                <w:szCs w:val="20"/>
              </w:rPr>
              <w:t>7</w:t>
            </w:r>
          </w:p>
        </w:tc>
        <w:tc>
          <w:tcPr>
            <w:tcW w:w="609" w:type="dxa"/>
            <w:shd w:val="clear" w:color="auto" w:fill="auto"/>
          </w:tcPr>
          <w:p w14:paraId="7062231E" w14:textId="1A452361" w:rsidR="00246CC1" w:rsidRPr="00246CC1" w:rsidRDefault="007E46FE" w:rsidP="00185868">
            <w:pPr>
              <w:rPr>
                <w:rFonts w:asciiTheme="minorHAnsi" w:hAnsiTheme="minorHAnsi" w:cstheme="minorHAnsi"/>
                <w:sz w:val="20"/>
                <w:szCs w:val="20"/>
              </w:rPr>
            </w:pPr>
            <w:r>
              <w:rPr>
                <w:rFonts w:asciiTheme="minorHAnsi" w:hAnsiTheme="minorHAnsi" w:cstheme="minorHAnsi"/>
                <w:sz w:val="20"/>
                <w:szCs w:val="20"/>
              </w:rPr>
              <w:t>303</w:t>
            </w:r>
          </w:p>
        </w:tc>
        <w:tc>
          <w:tcPr>
            <w:tcW w:w="762" w:type="dxa"/>
            <w:shd w:val="clear" w:color="auto" w:fill="auto"/>
          </w:tcPr>
          <w:p w14:paraId="7FEA346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56E8381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25BCB5E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170</w:t>
            </w:r>
          </w:p>
        </w:tc>
        <w:tc>
          <w:tcPr>
            <w:tcW w:w="1286" w:type="dxa"/>
            <w:shd w:val="clear" w:color="auto" w:fill="auto"/>
          </w:tcPr>
          <w:p w14:paraId="539A455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6062005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784</w:t>
            </w:r>
          </w:p>
        </w:tc>
        <w:tc>
          <w:tcPr>
            <w:tcW w:w="738" w:type="dxa"/>
            <w:shd w:val="clear" w:color="auto" w:fill="auto"/>
          </w:tcPr>
          <w:p w14:paraId="2AB3706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117</w:t>
            </w:r>
          </w:p>
        </w:tc>
        <w:tc>
          <w:tcPr>
            <w:tcW w:w="856" w:type="dxa"/>
            <w:shd w:val="clear" w:color="auto" w:fill="auto"/>
          </w:tcPr>
          <w:p w14:paraId="40ED049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5045</w:t>
            </w:r>
          </w:p>
        </w:tc>
      </w:tr>
      <w:tr w:rsidR="007E46FE" w:rsidRPr="00246CC1" w14:paraId="30742DF4" w14:textId="77777777" w:rsidTr="0034350E">
        <w:tc>
          <w:tcPr>
            <w:tcW w:w="716" w:type="dxa"/>
            <w:shd w:val="clear" w:color="auto" w:fill="auto"/>
          </w:tcPr>
          <w:p w14:paraId="3DC2D59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2023.</w:t>
            </w:r>
          </w:p>
        </w:tc>
        <w:tc>
          <w:tcPr>
            <w:tcW w:w="712" w:type="dxa"/>
            <w:shd w:val="clear" w:color="auto" w:fill="auto"/>
          </w:tcPr>
          <w:p w14:paraId="76887D5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2125</w:t>
            </w:r>
          </w:p>
        </w:tc>
        <w:tc>
          <w:tcPr>
            <w:tcW w:w="681" w:type="dxa"/>
            <w:shd w:val="clear" w:color="auto" w:fill="auto"/>
          </w:tcPr>
          <w:p w14:paraId="6D3E1028" w14:textId="31F815E3" w:rsidR="00246CC1" w:rsidRPr="00246CC1" w:rsidRDefault="00246CC1" w:rsidP="007E46FE">
            <w:pPr>
              <w:rPr>
                <w:rFonts w:asciiTheme="minorHAnsi" w:hAnsiTheme="minorHAnsi" w:cstheme="minorHAnsi"/>
                <w:sz w:val="20"/>
                <w:szCs w:val="20"/>
              </w:rPr>
            </w:pPr>
            <w:r w:rsidRPr="00246CC1">
              <w:rPr>
                <w:rFonts w:asciiTheme="minorHAnsi" w:hAnsiTheme="minorHAnsi" w:cstheme="minorHAnsi"/>
                <w:sz w:val="20"/>
                <w:szCs w:val="20"/>
              </w:rPr>
              <w:t>1</w:t>
            </w:r>
            <w:r w:rsidR="007E46FE">
              <w:rPr>
                <w:rFonts w:asciiTheme="minorHAnsi" w:hAnsiTheme="minorHAnsi" w:cstheme="minorHAnsi"/>
                <w:sz w:val="20"/>
                <w:szCs w:val="20"/>
              </w:rPr>
              <w:t>297</w:t>
            </w:r>
          </w:p>
        </w:tc>
        <w:tc>
          <w:tcPr>
            <w:tcW w:w="609" w:type="dxa"/>
            <w:shd w:val="clear" w:color="auto" w:fill="auto"/>
          </w:tcPr>
          <w:p w14:paraId="00FEB15E" w14:textId="64032DFC" w:rsidR="00246CC1" w:rsidRPr="00246CC1" w:rsidRDefault="007E46FE" w:rsidP="00185868">
            <w:pPr>
              <w:rPr>
                <w:rFonts w:asciiTheme="minorHAnsi" w:hAnsiTheme="minorHAnsi" w:cstheme="minorHAnsi"/>
                <w:sz w:val="20"/>
                <w:szCs w:val="20"/>
              </w:rPr>
            </w:pPr>
            <w:r>
              <w:rPr>
                <w:rFonts w:asciiTheme="minorHAnsi" w:hAnsiTheme="minorHAnsi" w:cstheme="minorHAnsi"/>
                <w:sz w:val="20"/>
                <w:szCs w:val="20"/>
              </w:rPr>
              <w:t>303</w:t>
            </w:r>
          </w:p>
        </w:tc>
        <w:tc>
          <w:tcPr>
            <w:tcW w:w="762" w:type="dxa"/>
            <w:shd w:val="clear" w:color="auto" w:fill="auto"/>
          </w:tcPr>
          <w:p w14:paraId="45E706B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4AFA653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0309CB2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166</w:t>
            </w:r>
          </w:p>
        </w:tc>
        <w:tc>
          <w:tcPr>
            <w:tcW w:w="1286" w:type="dxa"/>
            <w:shd w:val="clear" w:color="auto" w:fill="auto"/>
          </w:tcPr>
          <w:p w14:paraId="29C30DF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3AFB165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809</w:t>
            </w:r>
          </w:p>
        </w:tc>
        <w:tc>
          <w:tcPr>
            <w:tcW w:w="738" w:type="dxa"/>
            <w:shd w:val="clear" w:color="auto" w:fill="auto"/>
          </w:tcPr>
          <w:p w14:paraId="4D9604F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140</w:t>
            </w:r>
          </w:p>
        </w:tc>
        <w:tc>
          <w:tcPr>
            <w:tcW w:w="856" w:type="dxa"/>
            <w:shd w:val="clear" w:color="auto" w:fill="auto"/>
          </w:tcPr>
          <w:p w14:paraId="0F4A4CE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5389</w:t>
            </w:r>
          </w:p>
        </w:tc>
      </w:tr>
      <w:tr w:rsidR="007E46FE" w:rsidRPr="00246CC1" w14:paraId="1AEE50BE" w14:textId="77777777" w:rsidTr="0034350E">
        <w:tc>
          <w:tcPr>
            <w:tcW w:w="716" w:type="dxa"/>
            <w:shd w:val="clear" w:color="auto" w:fill="auto"/>
          </w:tcPr>
          <w:p w14:paraId="7413B7CA"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2024.</w:t>
            </w:r>
          </w:p>
        </w:tc>
        <w:tc>
          <w:tcPr>
            <w:tcW w:w="712" w:type="dxa"/>
            <w:shd w:val="clear" w:color="auto" w:fill="auto"/>
          </w:tcPr>
          <w:p w14:paraId="337EAB8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2158</w:t>
            </w:r>
          </w:p>
        </w:tc>
        <w:tc>
          <w:tcPr>
            <w:tcW w:w="681" w:type="dxa"/>
            <w:shd w:val="clear" w:color="auto" w:fill="auto"/>
          </w:tcPr>
          <w:p w14:paraId="1D8750A8" w14:textId="4B0D83EB" w:rsidR="00246CC1" w:rsidRPr="00246CC1" w:rsidRDefault="00246CC1" w:rsidP="007E46FE">
            <w:pPr>
              <w:rPr>
                <w:rFonts w:asciiTheme="minorHAnsi" w:hAnsiTheme="minorHAnsi" w:cstheme="minorHAnsi"/>
                <w:sz w:val="20"/>
                <w:szCs w:val="20"/>
              </w:rPr>
            </w:pPr>
            <w:r w:rsidRPr="00246CC1">
              <w:rPr>
                <w:rFonts w:asciiTheme="minorHAnsi" w:hAnsiTheme="minorHAnsi" w:cstheme="minorHAnsi"/>
                <w:sz w:val="20"/>
                <w:szCs w:val="20"/>
              </w:rPr>
              <w:t>1</w:t>
            </w:r>
            <w:r w:rsidR="007E46FE">
              <w:rPr>
                <w:rFonts w:asciiTheme="minorHAnsi" w:hAnsiTheme="minorHAnsi" w:cstheme="minorHAnsi"/>
                <w:sz w:val="20"/>
                <w:szCs w:val="20"/>
              </w:rPr>
              <w:t>297</w:t>
            </w:r>
          </w:p>
        </w:tc>
        <w:tc>
          <w:tcPr>
            <w:tcW w:w="609" w:type="dxa"/>
            <w:shd w:val="clear" w:color="auto" w:fill="auto"/>
          </w:tcPr>
          <w:p w14:paraId="6B2E051C" w14:textId="04F74D0B" w:rsidR="00246CC1" w:rsidRPr="00246CC1" w:rsidRDefault="007E46FE" w:rsidP="00185868">
            <w:pPr>
              <w:rPr>
                <w:rFonts w:asciiTheme="minorHAnsi" w:hAnsiTheme="minorHAnsi" w:cstheme="minorHAnsi"/>
                <w:sz w:val="20"/>
                <w:szCs w:val="20"/>
              </w:rPr>
            </w:pPr>
            <w:r>
              <w:rPr>
                <w:rFonts w:asciiTheme="minorHAnsi" w:hAnsiTheme="minorHAnsi" w:cstheme="minorHAnsi"/>
                <w:sz w:val="20"/>
                <w:szCs w:val="20"/>
              </w:rPr>
              <w:t>303</w:t>
            </w:r>
          </w:p>
        </w:tc>
        <w:tc>
          <w:tcPr>
            <w:tcW w:w="762" w:type="dxa"/>
            <w:shd w:val="clear" w:color="auto" w:fill="auto"/>
          </w:tcPr>
          <w:p w14:paraId="5F86F95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58181CF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301B85C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161</w:t>
            </w:r>
          </w:p>
        </w:tc>
        <w:tc>
          <w:tcPr>
            <w:tcW w:w="1286" w:type="dxa"/>
            <w:shd w:val="clear" w:color="auto" w:fill="auto"/>
          </w:tcPr>
          <w:p w14:paraId="2AE7BB3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w:t>
            </w:r>
          </w:p>
        </w:tc>
        <w:tc>
          <w:tcPr>
            <w:tcW w:w="743" w:type="dxa"/>
            <w:shd w:val="clear" w:color="auto" w:fill="auto"/>
          </w:tcPr>
          <w:p w14:paraId="170544D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834</w:t>
            </w:r>
          </w:p>
        </w:tc>
        <w:tc>
          <w:tcPr>
            <w:tcW w:w="738" w:type="dxa"/>
            <w:shd w:val="clear" w:color="auto" w:fill="auto"/>
          </w:tcPr>
          <w:p w14:paraId="402E66C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162</w:t>
            </w:r>
          </w:p>
        </w:tc>
        <w:tc>
          <w:tcPr>
            <w:tcW w:w="856" w:type="dxa"/>
            <w:shd w:val="clear" w:color="auto" w:fill="auto"/>
          </w:tcPr>
          <w:p w14:paraId="4F2A0AD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5465</w:t>
            </w:r>
          </w:p>
        </w:tc>
      </w:tr>
      <w:tr w:rsidR="007E46FE" w:rsidRPr="00246CC1" w14:paraId="3C8575AF" w14:textId="77777777" w:rsidTr="0034350E">
        <w:tc>
          <w:tcPr>
            <w:tcW w:w="716" w:type="dxa"/>
            <w:shd w:val="clear" w:color="auto" w:fill="auto"/>
          </w:tcPr>
          <w:p w14:paraId="439C47D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2025.</w:t>
            </w:r>
          </w:p>
        </w:tc>
        <w:tc>
          <w:tcPr>
            <w:tcW w:w="712" w:type="dxa"/>
            <w:shd w:val="clear" w:color="auto" w:fill="auto"/>
          </w:tcPr>
          <w:p w14:paraId="5D7BD8A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2158</w:t>
            </w:r>
          </w:p>
        </w:tc>
        <w:tc>
          <w:tcPr>
            <w:tcW w:w="681" w:type="dxa"/>
            <w:shd w:val="clear" w:color="auto" w:fill="auto"/>
          </w:tcPr>
          <w:p w14:paraId="733302DC" w14:textId="56994026" w:rsidR="00246CC1" w:rsidRPr="00246CC1" w:rsidRDefault="00246CC1" w:rsidP="007E46FE">
            <w:pPr>
              <w:rPr>
                <w:rFonts w:asciiTheme="minorHAnsi" w:hAnsiTheme="minorHAnsi" w:cstheme="minorHAnsi"/>
                <w:sz w:val="20"/>
                <w:szCs w:val="20"/>
              </w:rPr>
            </w:pPr>
            <w:r w:rsidRPr="00246CC1">
              <w:rPr>
                <w:rFonts w:asciiTheme="minorHAnsi" w:hAnsiTheme="minorHAnsi" w:cstheme="minorHAnsi"/>
                <w:sz w:val="20"/>
                <w:szCs w:val="20"/>
              </w:rPr>
              <w:t>1</w:t>
            </w:r>
            <w:r w:rsidR="007E46FE">
              <w:rPr>
                <w:rFonts w:asciiTheme="minorHAnsi" w:hAnsiTheme="minorHAnsi" w:cstheme="minorHAnsi"/>
                <w:sz w:val="20"/>
                <w:szCs w:val="20"/>
              </w:rPr>
              <w:t>297</w:t>
            </w:r>
          </w:p>
        </w:tc>
        <w:tc>
          <w:tcPr>
            <w:tcW w:w="609" w:type="dxa"/>
            <w:shd w:val="clear" w:color="auto" w:fill="auto"/>
          </w:tcPr>
          <w:p w14:paraId="0701B8B9" w14:textId="56A010B2" w:rsidR="00246CC1" w:rsidRPr="00246CC1" w:rsidRDefault="007E46FE" w:rsidP="00185868">
            <w:pPr>
              <w:rPr>
                <w:rFonts w:asciiTheme="minorHAnsi" w:hAnsiTheme="minorHAnsi" w:cstheme="minorHAnsi"/>
                <w:sz w:val="20"/>
                <w:szCs w:val="20"/>
              </w:rPr>
            </w:pPr>
            <w:r>
              <w:rPr>
                <w:rFonts w:asciiTheme="minorHAnsi" w:hAnsiTheme="minorHAnsi" w:cstheme="minorHAnsi"/>
                <w:sz w:val="20"/>
                <w:szCs w:val="20"/>
              </w:rPr>
              <w:t>303</w:t>
            </w:r>
          </w:p>
        </w:tc>
        <w:tc>
          <w:tcPr>
            <w:tcW w:w="762" w:type="dxa"/>
            <w:shd w:val="clear" w:color="auto" w:fill="auto"/>
          </w:tcPr>
          <w:p w14:paraId="68183BF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04C24E4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2D40B1F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156</w:t>
            </w:r>
          </w:p>
        </w:tc>
        <w:tc>
          <w:tcPr>
            <w:tcW w:w="1286" w:type="dxa"/>
            <w:shd w:val="clear" w:color="auto" w:fill="auto"/>
          </w:tcPr>
          <w:p w14:paraId="25F7F38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743" w:type="dxa"/>
            <w:shd w:val="clear" w:color="auto" w:fill="auto"/>
          </w:tcPr>
          <w:p w14:paraId="344533C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859</w:t>
            </w:r>
          </w:p>
        </w:tc>
        <w:tc>
          <w:tcPr>
            <w:tcW w:w="738" w:type="dxa"/>
            <w:shd w:val="clear" w:color="auto" w:fill="auto"/>
          </w:tcPr>
          <w:p w14:paraId="5DDFBDD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185</w:t>
            </w:r>
          </w:p>
        </w:tc>
        <w:tc>
          <w:tcPr>
            <w:tcW w:w="856" w:type="dxa"/>
            <w:shd w:val="clear" w:color="auto" w:fill="auto"/>
          </w:tcPr>
          <w:p w14:paraId="6B83DB6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5514</w:t>
            </w:r>
          </w:p>
        </w:tc>
      </w:tr>
      <w:tr w:rsidR="007E46FE" w:rsidRPr="00246CC1" w14:paraId="7E5B397D" w14:textId="77777777" w:rsidTr="0034350E">
        <w:tc>
          <w:tcPr>
            <w:tcW w:w="716" w:type="dxa"/>
            <w:shd w:val="clear" w:color="auto" w:fill="auto"/>
          </w:tcPr>
          <w:p w14:paraId="67007DE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2026.</w:t>
            </w:r>
          </w:p>
        </w:tc>
        <w:tc>
          <w:tcPr>
            <w:tcW w:w="712" w:type="dxa"/>
            <w:shd w:val="clear" w:color="auto" w:fill="auto"/>
          </w:tcPr>
          <w:p w14:paraId="18EC1EF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2536</w:t>
            </w:r>
          </w:p>
        </w:tc>
        <w:tc>
          <w:tcPr>
            <w:tcW w:w="681" w:type="dxa"/>
            <w:shd w:val="clear" w:color="auto" w:fill="auto"/>
          </w:tcPr>
          <w:p w14:paraId="356D3EE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1049</w:t>
            </w:r>
          </w:p>
        </w:tc>
        <w:tc>
          <w:tcPr>
            <w:tcW w:w="609" w:type="dxa"/>
            <w:shd w:val="clear" w:color="auto" w:fill="auto"/>
          </w:tcPr>
          <w:p w14:paraId="3B12F4D7" w14:textId="78775A03" w:rsidR="00246CC1" w:rsidRPr="00246CC1" w:rsidRDefault="00246CC1" w:rsidP="007E46FE">
            <w:pPr>
              <w:rPr>
                <w:rFonts w:asciiTheme="minorHAnsi" w:hAnsiTheme="minorHAnsi" w:cstheme="minorHAnsi"/>
                <w:sz w:val="20"/>
                <w:szCs w:val="20"/>
              </w:rPr>
            </w:pPr>
            <w:r w:rsidRPr="00246CC1">
              <w:rPr>
                <w:rFonts w:asciiTheme="minorHAnsi" w:hAnsiTheme="minorHAnsi" w:cstheme="minorHAnsi"/>
                <w:sz w:val="20"/>
                <w:szCs w:val="20"/>
              </w:rPr>
              <w:t>0</w:t>
            </w:r>
          </w:p>
        </w:tc>
        <w:tc>
          <w:tcPr>
            <w:tcW w:w="762" w:type="dxa"/>
            <w:shd w:val="clear" w:color="auto" w:fill="auto"/>
          </w:tcPr>
          <w:p w14:paraId="6147BC8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1818CB3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0A38784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156</w:t>
            </w:r>
          </w:p>
        </w:tc>
        <w:tc>
          <w:tcPr>
            <w:tcW w:w="1286" w:type="dxa"/>
            <w:shd w:val="clear" w:color="auto" w:fill="auto"/>
          </w:tcPr>
          <w:p w14:paraId="336A6B2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743" w:type="dxa"/>
            <w:shd w:val="clear" w:color="auto" w:fill="auto"/>
          </w:tcPr>
          <w:p w14:paraId="149E3FB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897</w:t>
            </w:r>
          </w:p>
        </w:tc>
        <w:tc>
          <w:tcPr>
            <w:tcW w:w="738" w:type="dxa"/>
            <w:shd w:val="clear" w:color="auto" w:fill="auto"/>
          </w:tcPr>
          <w:p w14:paraId="16001DD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222</w:t>
            </w:r>
          </w:p>
        </w:tc>
        <w:tc>
          <w:tcPr>
            <w:tcW w:w="856" w:type="dxa"/>
            <w:shd w:val="clear" w:color="auto" w:fill="auto"/>
          </w:tcPr>
          <w:p w14:paraId="1D847A79" w14:textId="15C51E40" w:rsidR="00246CC1" w:rsidRPr="00246CC1" w:rsidRDefault="007E46FE" w:rsidP="007E46FE">
            <w:pPr>
              <w:rPr>
                <w:rFonts w:asciiTheme="minorHAnsi" w:hAnsiTheme="minorHAnsi" w:cstheme="minorHAnsi"/>
                <w:sz w:val="20"/>
                <w:szCs w:val="20"/>
              </w:rPr>
            </w:pPr>
            <w:r w:rsidRPr="00246CC1">
              <w:rPr>
                <w:rFonts w:asciiTheme="minorHAnsi" w:hAnsiTheme="minorHAnsi" w:cstheme="minorHAnsi"/>
                <w:sz w:val="20"/>
                <w:szCs w:val="20"/>
              </w:rPr>
              <w:t>5</w:t>
            </w:r>
            <w:r>
              <w:rPr>
                <w:rFonts w:asciiTheme="minorHAnsi" w:hAnsiTheme="minorHAnsi" w:cstheme="minorHAnsi"/>
                <w:sz w:val="20"/>
                <w:szCs w:val="20"/>
              </w:rPr>
              <w:t>416</w:t>
            </w:r>
          </w:p>
        </w:tc>
      </w:tr>
      <w:tr w:rsidR="007E46FE" w:rsidRPr="00246CC1" w14:paraId="0B7E65F7" w14:textId="77777777" w:rsidTr="0034350E">
        <w:tc>
          <w:tcPr>
            <w:tcW w:w="716" w:type="dxa"/>
            <w:shd w:val="clear" w:color="auto" w:fill="auto"/>
          </w:tcPr>
          <w:p w14:paraId="0CB95FD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2027.</w:t>
            </w:r>
          </w:p>
        </w:tc>
        <w:tc>
          <w:tcPr>
            <w:tcW w:w="712" w:type="dxa"/>
            <w:shd w:val="clear" w:color="auto" w:fill="auto"/>
          </w:tcPr>
          <w:p w14:paraId="3E9E25C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2536</w:t>
            </w:r>
          </w:p>
        </w:tc>
        <w:tc>
          <w:tcPr>
            <w:tcW w:w="681" w:type="dxa"/>
            <w:shd w:val="clear" w:color="auto" w:fill="auto"/>
          </w:tcPr>
          <w:p w14:paraId="541B198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1049</w:t>
            </w:r>
          </w:p>
        </w:tc>
        <w:tc>
          <w:tcPr>
            <w:tcW w:w="609" w:type="dxa"/>
            <w:shd w:val="clear" w:color="auto" w:fill="auto"/>
          </w:tcPr>
          <w:p w14:paraId="2EAE5324" w14:textId="464431E9" w:rsidR="00246CC1" w:rsidRPr="00246CC1" w:rsidRDefault="00246CC1" w:rsidP="007E46FE">
            <w:pPr>
              <w:rPr>
                <w:rFonts w:asciiTheme="minorHAnsi" w:hAnsiTheme="minorHAnsi" w:cstheme="minorHAnsi"/>
                <w:sz w:val="20"/>
                <w:szCs w:val="20"/>
              </w:rPr>
            </w:pPr>
            <w:r w:rsidRPr="00246CC1">
              <w:rPr>
                <w:rFonts w:asciiTheme="minorHAnsi" w:hAnsiTheme="minorHAnsi" w:cstheme="minorHAnsi"/>
                <w:sz w:val="20"/>
                <w:szCs w:val="20"/>
              </w:rPr>
              <w:t>0</w:t>
            </w:r>
          </w:p>
        </w:tc>
        <w:tc>
          <w:tcPr>
            <w:tcW w:w="762" w:type="dxa"/>
            <w:shd w:val="clear" w:color="auto" w:fill="auto"/>
          </w:tcPr>
          <w:p w14:paraId="70B8476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6898CEA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493DB7F6"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155</w:t>
            </w:r>
          </w:p>
        </w:tc>
        <w:tc>
          <w:tcPr>
            <w:tcW w:w="1286" w:type="dxa"/>
            <w:shd w:val="clear" w:color="auto" w:fill="auto"/>
          </w:tcPr>
          <w:p w14:paraId="5FC72E8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17</w:t>
            </w:r>
          </w:p>
        </w:tc>
        <w:tc>
          <w:tcPr>
            <w:tcW w:w="743" w:type="dxa"/>
            <w:shd w:val="clear" w:color="auto" w:fill="auto"/>
          </w:tcPr>
          <w:p w14:paraId="77511342"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934</w:t>
            </w:r>
          </w:p>
        </w:tc>
        <w:tc>
          <w:tcPr>
            <w:tcW w:w="738" w:type="dxa"/>
            <w:shd w:val="clear" w:color="auto" w:fill="auto"/>
          </w:tcPr>
          <w:p w14:paraId="7C5CD4D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260</w:t>
            </w:r>
          </w:p>
        </w:tc>
        <w:tc>
          <w:tcPr>
            <w:tcW w:w="856" w:type="dxa"/>
            <w:shd w:val="clear" w:color="auto" w:fill="auto"/>
          </w:tcPr>
          <w:p w14:paraId="105E44B4" w14:textId="413B84E5" w:rsidR="00246CC1" w:rsidRPr="00246CC1" w:rsidRDefault="007E46FE" w:rsidP="007E46FE">
            <w:pPr>
              <w:rPr>
                <w:rFonts w:asciiTheme="minorHAnsi" w:hAnsiTheme="minorHAnsi" w:cstheme="minorHAnsi"/>
                <w:sz w:val="20"/>
                <w:szCs w:val="20"/>
              </w:rPr>
            </w:pPr>
            <w:r w:rsidRPr="00246CC1">
              <w:rPr>
                <w:rFonts w:asciiTheme="minorHAnsi" w:hAnsiTheme="minorHAnsi" w:cstheme="minorHAnsi"/>
                <w:sz w:val="20"/>
                <w:szCs w:val="20"/>
              </w:rPr>
              <w:t>5</w:t>
            </w:r>
            <w:r>
              <w:rPr>
                <w:rFonts w:asciiTheme="minorHAnsi" w:hAnsiTheme="minorHAnsi" w:cstheme="minorHAnsi"/>
                <w:sz w:val="20"/>
                <w:szCs w:val="20"/>
              </w:rPr>
              <w:t>490</w:t>
            </w:r>
          </w:p>
        </w:tc>
      </w:tr>
      <w:tr w:rsidR="007E46FE" w:rsidRPr="00246CC1" w14:paraId="33FB4FD9" w14:textId="77777777" w:rsidTr="0034350E">
        <w:tc>
          <w:tcPr>
            <w:tcW w:w="716" w:type="dxa"/>
            <w:shd w:val="clear" w:color="auto" w:fill="auto"/>
          </w:tcPr>
          <w:p w14:paraId="0B1A6D88"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2028.</w:t>
            </w:r>
          </w:p>
        </w:tc>
        <w:tc>
          <w:tcPr>
            <w:tcW w:w="712" w:type="dxa"/>
            <w:shd w:val="clear" w:color="auto" w:fill="auto"/>
          </w:tcPr>
          <w:p w14:paraId="0FE8A1B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681" w:type="dxa"/>
            <w:shd w:val="clear" w:color="auto" w:fill="auto"/>
          </w:tcPr>
          <w:p w14:paraId="6A91DDB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1199</w:t>
            </w:r>
          </w:p>
        </w:tc>
        <w:tc>
          <w:tcPr>
            <w:tcW w:w="609" w:type="dxa"/>
            <w:shd w:val="clear" w:color="auto" w:fill="auto"/>
          </w:tcPr>
          <w:p w14:paraId="78F3EB0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762" w:type="dxa"/>
            <w:shd w:val="clear" w:color="auto" w:fill="auto"/>
          </w:tcPr>
          <w:p w14:paraId="408C702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66B7E89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3862502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151</w:t>
            </w:r>
          </w:p>
        </w:tc>
        <w:tc>
          <w:tcPr>
            <w:tcW w:w="1286" w:type="dxa"/>
            <w:shd w:val="clear" w:color="auto" w:fill="auto"/>
          </w:tcPr>
          <w:p w14:paraId="2EA8DE1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743" w:type="dxa"/>
            <w:shd w:val="clear" w:color="auto" w:fill="auto"/>
          </w:tcPr>
          <w:p w14:paraId="1F5C61C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984</w:t>
            </w:r>
          </w:p>
        </w:tc>
        <w:tc>
          <w:tcPr>
            <w:tcW w:w="738" w:type="dxa"/>
            <w:shd w:val="clear" w:color="auto" w:fill="auto"/>
          </w:tcPr>
          <w:p w14:paraId="3621130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297</w:t>
            </w:r>
          </w:p>
        </w:tc>
        <w:tc>
          <w:tcPr>
            <w:tcW w:w="856" w:type="dxa"/>
            <w:shd w:val="clear" w:color="auto" w:fill="auto"/>
          </w:tcPr>
          <w:p w14:paraId="2DE48CD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5742</w:t>
            </w:r>
          </w:p>
        </w:tc>
      </w:tr>
      <w:tr w:rsidR="007E46FE" w:rsidRPr="00246CC1" w14:paraId="1D34DD57" w14:textId="77777777" w:rsidTr="0034350E">
        <w:tc>
          <w:tcPr>
            <w:tcW w:w="716" w:type="dxa"/>
            <w:shd w:val="clear" w:color="auto" w:fill="auto"/>
          </w:tcPr>
          <w:p w14:paraId="4B32FF7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2029.</w:t>
            </w:r>
          </w:p>
        </w:tc>
        <w:tc>
          <w:tcPr>
            <w:tcW w:w="712" w:type="dxa"/>
            <w:shd w:val="clear" w:color="auto" w:fill="auto"/>
          </w:tcPr>
          <w:p w14:paraId="7E7F449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681" w:type="dxa"/>
            <w:shd w:val="clear" w:color="auto" w:fill="auto"/>
          </w:tcPr>
          <w:p w14:paraId="7376E57D"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1199</w:t>
            </w:r>
          </w:p>
        </w:tc>
        <w:tc>
          <w:tcPr>
            <w:tcW w:w="609" w:type="dxa"/>
            <w:shd w:val="clear" w:color="auto" w:fill="auto"/>
          </w:tcPr>
          <w:p w14:paraId="334ED2D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762" w:type="dxa"/>
            <w:shd w:val="clear" w:color="auto" w:fill="auto"/>
          </w:tcPr>
          <w:p w14:paraId="71FB414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4F03D2A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60B426F4"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151</w:t>
            </w:r>
          </w:p>
        </w:tc>
        <w:tc>
          <w:tcPr>
            <w:tcW w:w="1286" w:type="dxa"/>
            <w:shd w:val="clear" w:color="auto" w:fill="auto"/>
          </w:tcPr>
          <w:p w14:paraId="7A474EE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743" w:type="dxa"/>
            <w:shd w:val="clear" w:color="auto" w:fill="auto"/>
          </w:tcPr>
          <w:p w14:paraId="1CAA11B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1034</w:t>
            </w:r>
          </w:p>
        </w:tc>
        <w:tc>
          <w:tcPr>
            <w:tcW w:w="738" w:type="dxa"/>
            <w:shd w:val="clear" w:color="auto" w:fill="auto"/>
          </w:tcPr>
          <w:p w14:paraId="437561D5"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335</w:t>
            </w:r>
          </w:p>
        </w:tc>
        <w:tc>
          <w:tcPr>
            <w:tcW w:w="856" w:type="dxa"/>
            <w:shd w:val="clear" w:color="auto" w:fill="auto"/>
          </w:tcPr>
          <w:p w14:paraId="0936FA8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5830</w:t>
            </w:r>
          </w:p>
        </w:tc>
      </w:tr>
      <w:tr w:rsidR="007E46FE" w:rsidRPr="00246CC1" w14:paraId="0B9526E7" w14:textId="77777777" w:rsidTr="0034350E">
        <w:tc>
          <w:tcPr>
            <w:tcW w:w="716" w:type="dxa"/>
            <w:shd w:val="clear" w:color="auto" w:fill="auto"/>
          </w:tcPr>
          <w:p w14:paraId="101C081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2030.</w:t>
            </w:r>
          </w:p>
        </w:tc>
        <w:tc>
          <w:tcPr>
            <w:tcW w:w="712" w:type="dxa"/>
            <w:shd w:val="clear" w:color="auto" w:fill="auto"/>
          </w:tcPr>
          <w:p w14:paraId="1E6FC1D0"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2546</w:t>
            </w:r>
          </w:p>
        </w:tc>
        <w:tc>
          <w:tcPr>
            <w:tcW w:w="681" w:type="dxa"/>
            <w:shd w:val="clear" w:color="auto" w:fill="auto"/>
          </w:tcPr>
          <w:p w14:paraId="406AFF69"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1048</w:t>
            </w:r>
          </w:p>
        </w:tc>
        <w:tc>
          <w:tcPr>
            <w:tcW w:w="609" w:type="dxa"/>
            <w:shd w:val="clear" w:color="auto" w:fill="auto"/>
          </w:tcPr>
          <w:p w14:paraId="63D5377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0</w:t>
            </w:r>
          </w:p>
        </w:tc>
        <w:tc>
          <w:tcPr>
            <w:tcW w:w="762" w:type="dxa"/>
            <w:shd w:val="clear" w:color="auto" w:fill="auto"/>
          </w:tcPr>
          <w:p w14:paraId="05BE6FCF"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192</w:t>
            </w:r>
          </w:p>
        </w:tc>
        <w:tc>
          <w:tcPr>
            <w:tcW w:w="1053" w:type="dxa"/>
            <w:shd w:val="clear" w:color="auto" w:fill="auto"/>
          </w:tcPr>
          <w:p w14:paraId="75D410EB"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348</w:t>
            </w:r>
          </w:p>
        </w:tc>
        <w:tc>
          <w:tcPr>
            <w:tcW w:w="906" w:type="dxa"/>
            <w:shd w:val="clear" w:color="auto" w:fill="auto"/>
          </w:tcPr>
          <w:p w14:paraId="6399F477"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148</w:t>
            </w:r>
          </w:p>
        </w:tc>
        <w:tc>
          <w:tcPr>
            <w:tcW w:w="1286" w:type="dxa"/>
            <w:shd w:val="clear" w:color="auto" w:fill="auto"/>
          </w:tcPr>
          <w:p w14:paraId="2444650E"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26</w:t>
            </w:r>
          </w:p>
        </w:tc>
        <w:tc>
          <w:tcPr>
            <w:tcW w:w="743" w:type="dxa"/>
            <w:shd w:val="clear" w:color="auto" w:fill="auto"/>
          </w:tcPr>
          <w:p w14:paraId="6EE58C2C"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1184</w:t>
            </w:r>
          </w:p>
        </w:tc>
        <w:tc>
          <w:tcPr>
            <w:tcW w:w="738" w:type="dxa"/>
            <w:shd w:val="clear" w:color="auto" w:fill="auto"/>
          </w:tcPr>
          <w:p w14:paraId="773F55C3"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507</w:t>
            </w:r>
          </w:p>
        </w:tc>
        <w:tc>
          <w:tcPr>
            <w:tcW w:w="856" w:type="dxa"/>
            <w:shd w:val="clear" w:color="auto" w:fill="auto"/>
          </w:tcPr>
          <w:p w14:paraId="53CA1BB1" w14:textId="77777777" w:rsidR="00246CC1" w:rsidRPr="00246CC1" w:rsidRDefault="00246CC1" w:rsidP="00185868">
            <w:pPr>
              <w:rPr>
                <w:rFonts w:asciiTheme="minorHAnsi" w:hAnsiTheme="minorHAnsi" w:cstheme="minorHAnsi"/>
                <w:sz w:val="20"/>
                <w:szCs w:val="20"/>
              </w:rPr>
            </w:pPr>
            <w:r w:rsidRPr="00246CC1">
              <w:rPr>
                <w:rFonts w:asciiTheme="minorHAnsi" w:hAnsiTheme="minorHAnsi" w:cstheme="minorHAnsi"/>
                <w:sz w:val="20"/>
                <w:szCs w:val="20"/>
              </w:rPr>
              <w:t>5998</w:t>
            </w:r>
          </w:p>
        </w:tc>
      </w:tr>
      <w:tr w:rsidR="00D152CC" w:rsidRPr="00246CC1" w14:paraId="70747839" w14:textId="77777777" w:rsidTr="0034350E">
        <w:tc>
          <w:tcPr>
            <w:tcW w:w="716" w:type="dxa"/>
            <w:shd w:val="clear" w:color="auto" w:fill="auto"/>
          </w:tcPr>
          <w:p w14:paraId="160005B8" w14:textId="76229570"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2035.</w:t>
            </w:r>
          </w:p>
        </w:tc>
        <w:tc>
          <w:tcPr>
            <w:tcW w:w="712" w:type="dxa"/>
            <w:shd w:val="clear" w:color="auto" w:fill="auto"/>
          </w:tcPr>
          <w:p w14:paraId="19E832E5" w14:textId="5C2314D9"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2611</w:t>
            </w:r>
          </w:p>
        </w:tc>
        <w:tc>
          <w:tcPr>
            <w:tcW w:w="681" w:type="dxa"/>
            <w:shd w:val="clear" w:color="auto" w:fill="auto"/>
          </w:tcPr>
          <w:p w14:paraId="7BF546DE" w14:textId="3EC7ABA9"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990</w:t>
            </w:r>
          </w:p>
        </w:tc>
        <w:tc>
          <w:tcPr>
            <w:tcW w:w="609" w:type="dxa"/>
            <w:shd w:val="clear" w:color="auto" w:fill="auto"/>
          </w:tcPr>
          <w:p w14:paraId="0BAC9E06" w14:textId="6A350C1F"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0</w:t>
            </w:r>
          </w:p>
        </w:tc>
        <w:tc>
          <w:tcPr>
            <w:tcW w:w="762" w:type="dxa"/>
            <w:shd w:val="clear" w:color="auto" w:fill="auto"/>
          </w:tcPr>
          <w:p w14:paraId="78370AE4" w14:textId="47E8E7B6"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192</w:t>
            </w:r>
          </w:p>
        </w:tc>
        <w:tc>
          <w:tcPr>
            <w:tcW w:w="1053" w:type="dxa"/>
            <w:shd w:val="clear" w:color="auto" w:fill="auto"/>
          </w:tcPr>
          <w:p w14:paraId="72A9CE4D" w14:textId="4D0E05C9"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348</w:t>
            </w:r>
          </w:p>
        </w:tc>
        <w:tc>
          <w:tcPr>
            <w:tcW w:w="906" w:type="dxa"/>
            <w:shd w:val="clear" w:color="auto" w:fill="auto"/>
          </w:tcPr>
          <w:p w14:paraId="775C5B60" w14:textId="70C27DC7"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148</w:t>
            </w:r>
          </w:p>
        </w:tc>
        <w:tc>
          <w:tcPr>
            <w:tcW w:w="1286" w:type="dxa"/>
            <w:shd w:val="clear" w:color="auto" w:fill="auto"/>
          </w:tcPr>
          <w:p w14:paraId="2D2A785F" w14:textId="36F9C755"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48</w:t>
            </w:r>
          </w:p>
        </w:tc>
        <w:tc>
          <w:tcPr>
            <w:tcW w:w="743" w:type="dxa"/>
            <w:shd w:val="clear" w:color="auto" w:fill="auto"/>
          </w:tcPr>
          <w:p w14:paraId="5158B026" w14:textId="4A13A946"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1434</w:t>
            </w:r>
          </w:p>
        </w:tc>
        <w:tc>
          <w:tcPr>
            <w:tcW w:w="738" w:type="dxa"/>
            <w:shd w:val="clear" w:color="auto" w:fill="auto"/>
          </w:tcPr>
          <w:p w14:paraId="526A8143" w14:textId="6245D6BD"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857</w:t>
            </w:r>
          </w:p>
        </w:tc>
        <w:tc>
          <w:tcPr>
            <w:tcW w:w="856" w:type="dxa"/>
            <w:shd w:val="clear" w:color="auto" w:fill="auto"/>
          </w:tcPr>
          <w:p w14:paraId="5AEDD0EA" w14:textId="2C4BF2BE"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6628</w:t>
            </w:r>
          </w:p>
        </w:tc>
      </w:tr>
      <w:tr w:rsidR="00D152CC" w:rsidRPr="00246CC1" w14:paraId="14D5375E" w14:textId="77777777" w:rsidTr="0034350E">
        <w:tc>
          <w:tcPr>
            <w:tcW w:w="716" w:type="dxa"/>
            <w:shd w:val="clear" w:color="auto" w:fill="auto"/>
          </w:tcPr>
          <w:p w14:paraId="69D29089" w14:textId="27CBF25C" w:rsidR="005013D4" w:rsidRDefault="005013D4" w:rsidP="00185868">
            <w:pPr>
              <w:rPr>
                <w:rFonts w:asciiTheme="minorHAnsi" w:hAnsiTheme="minorHAnsi" w:cstheme="minorHAnsi"/>
                <w:sz w:val="20"/>
                <w:szCs w:val="20"/>
              </w:rPr>
            </w:pPr>
            <w:r>
              <w:rPr>
                <w:rFonts w:asciiTheme="minorHAnsi" w:hAnsiTheme="minorHAnsi" w:cstheme="minorHAnsi"/>
                <w:sz w:val="20"/>
                <w:szCs w:val="20"/>
              </w:rPr>
              <w:t>2040.</w:t>
            </w:r>
          </w:p>
        </w:tc>
        <w:tc>
          <w:tcPr>
            <w:tcW w:w="712" w:type="dxa"/>
            <w:shd w:val="clear" w:color="auto" w:fill="auto"/>
          </w:tcPr>
          <w:p w14:paraId="4DFFCEC1" w14:textId="48E3B28E"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2676</w:t>
            </w:r>
          </w:p>
        </w:tc>
        <w:tc>
          <w:tcPr>
            <w:tcW w:w="681" w:type="dxa"/>
            <w:shd w:val="clear" w:color="auto" w:fill="auto"/>
          </w:tcPr>
          <w:p w14:paraId="69ABAD09" w14:textId="0D11429C"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1290</w:t>
            </w:r>
          </w:p>
        </w:tc>
        <w:tc>
          <w:tcPr>
            <w:tcW w:w="609" w:type="dxa"/>
            <w:shd w:val="clear" w:color="auto" w:fill="auto"/>
          </w:tcPr>
          <w:p w14:paraId="7A1A13D3" w14:textId="101EFCF9"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0</w:t>
            </w:r>
          </w:p>
        </w:tc>
        <w:tc>
          <w:tcPr>
            <w:tcW w:w="762" w:type="dxa"/>
            <w:shd w:val="clear" w:color="auto" w:fill="auto"/>
          </w:tcPr>
          <w:p w14:paraId="55777286" w14:textId="7489BCDD"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0</w:t>
            </w:r>
          </w:p>
        </w:tc>
        <w:tc>
          <w:tcPr>
            <w:tcW w:w="1053" w:type="dxa"/>
            <w:shd w:val="clear" w:color="auto" w:fill="auto"/>
          </w:tcPr>
          <w:p w14:paraId="627155AB" w14:textId="2E00D39A"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348</w:t>
            </w:r>
          </w:p>
        </w:tc>
        <w:tc>
          <w:tcPr>
            <w:tcW w:w="906" w:type="dxa"/>
            <w:shd w:val="clear" w:color="auto" w:fill="auto"/>
          </w:tcPr>
          <w:p w14:paraId="30F07CE7" w14:textId="70603C64"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146</w:t>
            </w:r>
          </w:p>
        </w:tc>
        <w:tc>
          <w:tcPr>
            <w:tcW w:w="1286" w:type="dxa"/>
            <w:shd w:val="clear" w:color="auto" w:fill="auto"/>
          </w:tcPr>
          <w:p w14:paraId="14F48675" w14:textId="2760DD39"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48</w:t>
            </w:r>
          </w:p>
        </w:tc>
        <w:tc>
          <w:tcPr>
            <w:tcW w:w="743" w:type="dxa"/>
            <w:shd w:val="clear" w:color="auto" w:fill="auto"/>
          </w:tcPr>
          <w:p w14:paraId="03D6F67F" w14:textId="302E9807"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1684</w:t>
            </w:r>
          </w:p>
        </w:tc>
        <w:tc>
          <w:tcPr>
            <w:tcW w:w="738" w:type="dxa"/>
            <w:shd w:val="clear" w:color="auto" w:fill="auto"/>
          </w:tcPr>
          <w:p w14:paraId="68BB1E41" w14:textId="3527467B" w:rsidR="005013D4" w:rsidRPr="00246CC1" w:rsidRDefault="005013D4" w:rsidP="00185868">
            <w:pPr>
              <w:rPr>
                <w:rFonts w:asciiTheme="minorHAnsi" w:hAnsiTheme="minorHAnsi" w:cstheme="minorHAnsi"/>
                <w:sz w:val="20"/>
                <w:szCs w:val="20"/>
              </w:rPr>
            </w:pPr>
            <w:r>
              <w:rPr>
                <w:rFonts w:asciiTheme="minorHAnsi" w:hAnsiTheme="minorHAnsi" w:cstheme="minorHAnsi"/>
                <w:sz w:val="20"/>
                <w:szCs w:val="20"/>
              </w:rPr>
              <w:t>1245</w:t>
            </w:r>
          </w:p>
        </w:tc>
        <w:tc>
          <w:tcPr>
            <w:tcW w:w="856" w:type="dxa"/>
            <w:shd w:val="clear" w:color="auto" w:fill="auto"/>
          </w:tcPr>
          <w:p w14:paraId="6D84A5B0" w14:textId="78AC33F1" w:rsidR="005013D4" w:rsidRDefault="005013D4" w:rsidP="00185868">
            <w:pPr>
              <w:rPr>
                <w:rFonts w:asciiTheme="minorHAnsi" w:hAnsiTheme="minorHAnsi" w:cstheme="minorHAnsi"/>
                <w:sz w:val="20"/>
                <w:szCs w:val="20"/>
              </w:rPr>
            </w:pPr>
            <w:r>
              <w:rPr>
                <w:rFonts w:asciiTheme="minorHAnsi" w:hAnsiTheme="minorHAnsi" w:cstheme="minorHAnsi"/>
                <w:sz w:val="20"/>
                <w:szCs w:val="20"/>
              </w:rPr>
              <w:t>7436</w:t>
            </w:r>
          </w:p>
        </w:tc>
      </w:tr>
      <w:tr w:rsidR="0034350E" w:rsidRPr="00246CC1" w14:paraId="52C0B2D4" w14:textId="77777777" w:rsidTr="00546564">
        <w:tc>
          <w:tcPr>
            <w:tcW w:w="9062" w:type="dxa"/>
            <w:gridSpan w:val="11"/>
            <w:shd w:val="clear" w:color="auto" w:fill="auto"/>
          </w:tcPr>
          <w:p w14:paraId="6EB5E28A" w14:textId="72963202" w:rsidR="0034350E" w:rsidRPr="00246CC1" w:rsidRDefault="0034350E" w:rsidP="00185868">
            <w:pPr>
              <w:rPr>
                <w:rFonts w:asciiTheme="minorHAnsi" w:hAnsiTheme="minorHAnsi" w:cstheme="minorHAnsi"/>
                <w:sz w:val="20"/>
                <w:szCs w:val="20"/>
              </w:rPr>
            </w:pPr>
            <w:r w:rsidRPr="00CE7E0F">
              <w:rPr>
                <w:rFonts w:ascii="Calibri" w:hAnsi="Calibri" w:cs="Calibri"/>
                <w:bCs/>
                <w:i/>
                <w:color w:val="000000"/>
                <w:sz w:val="18"/>
              </w:rPr>
              <w:t>Napomena: Nuklearna se odnosi na NE Krško koja se nalazi na teritoriju Republike Slovenije i u kojoj Republika Hrvatska ima 50% vlasništva i koristi 50% raspoložive snage i energije.</w:t>
            </w:r>
          </w:p>
        </w:tc>
      </w:tr>
    </w:tbl>
    <w:p w14:paraId="12DC18D6" w14:textId="38597C8F" w:rsidR="00246CC1" w:rsidRPr="00246CC1" w:rsidRDefault="000D269F" w:rsidP="00246CC1">
      <w:r>
        <w:rPr>
          <w:noProof/>
        </w:rPr>
        <w:drawing>
          <wp:inline distT="0" distB="0" distL="0" distR="0" wp14:anchorId="6F65C74A" wp14:editId="696D759B">
            <wp:extent cx="5473773" cy="3217248"/>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8388" cy="3225838"/>
                    </a:xfrm>
                    <a:prstGeom prst="rect">
                      <a:avLst/>
                    </a:prstGeom>
                    <a:noFill/>
                  </pic:spPr>
                </pic:pic>
              </a:graphicData>
            </a:graphic>
          </wp:inline>
        </w:drawing>
      </w:r>
    </w:p>
    <w:p w14:paraId="79FA2CB6" w14:textId="2552B72A" w:rsidR="005F3F29" w:rsidRDefault="005F3F29" w:rsidP="005F3F29">
      <w:pPr>
        <w:pStyle w:val="Caption"/>
      </w:pPr>
      <w:bookmarkStart w:id="487" w:name="_Ref531871305"/>
      <w:bookmarkStart w:id="488" w:name="_Toc27396166"/>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14</w:t>
      </w:r>
      <w:r w:rsidR="005A7E31">
        <w:rPr>
          <w:noProof/>
        </w:rPr>
        <w:fldChar w:fldCharType="end"/>
      </w:r>
      <w:r>
        <w:t>.</w:t>
      </w:r>
      <w:bookmarkEnd w:id="487"/>
      <w:r w:rsidRPr="00CE7E0F">
        <w:t xml:space="preserve"> </w:t>
      </w:r>
      <w:r>
        <w:t>Očekivana s</w:t>
      </w:r>
      <w:r w:rsidRPr="00CE7E0F">
        <w:t xml:space="preserve">naga elektrana u Scenariju </w:t>
      </w:r>
      <w:r>
        <w:t>s postojećim mjerama</w:t>
      </w:r>
      <w:r w:rsidR="00770B29">
        <w:t xml:space="preserve"> (S0)</w:t>
      </w:r>
      <w:bookmarkEnd w:id="488"/>
    </w:p>
    <w:p w14:paraId="2C5D7396" w14:textId="7CEC6EB6" w:rsidR="00C21988" w:rsidRDefault="004E40FF" w:rsidP="00C21988">
      <w:pPr>
        <w:pStyle w:val="Heading2"/>
      </w:pPr>
      <w:bookmarkStart w:id="489" w:name="_Toc531935261"/>
      <w:bookmarkStart w:id="490" w:name="_Toc531945123"/>
      <w:bookmarkStart w:id="491" w:name="_Toc6302381"/>
      <w:bookmarkStart w:id="492" w:name="_Toc27396118"/>
      <w:r>
        <w:t>4.3</w:t>
      </w:r>
      <w:r>
        <w:tab/>
      </w:r>
      <w:r w:rsidR="00C21988">
        <w:t>Dimenzija: energetska učinkovitost</w:t>
      </w:r>
      <w:bookmarkEnd w:id="489"/>
      <w:bookmarkEnd w:id="490"/>
      <w:bookmarkEnd w:id="491"/>
      <w:bookmarkEnd w:id="492"/>
      <w:r w:rsidR="00C21988">
        <w:t xml:space="preserve"> </w:t>
      </w:r>
    </w:p>
    <w:p w14:paraId="41430AE4" w14:textId="77777777" w:rsidR="00B22C9B" w:rsidRPr="00491DE8" w:rsidRDefault="00B22C9B" w:rsidP="00840E2E">
      <w:pPr>
        <w:pStyle w:val="Heading3"/>
        <w:numPr>
          <w:ilvl w:val="0"/>
          <w:numId w:val="80"/>
        </w:numPr>
      </w:pPr>
      <w:r w:rsidRPr="00491DE8">
        <w:t xml:space="preserve">Trenutačna primarna i neposredna potrošnja energije u gospodarstvu i po sektoru (uključujući industrijski, stambeni, uslužni i prometni) </w:t>
      </w:r>
    </w:p>
    <w:p w14:paraId="293AEFFE" w14:textId="77777777" w:rsidR="00154150" w:rsidRDefault="001D00DA" w:rsidP="00154150">
      <w:r w:rsidRPr="00842F15">
        <w:t xml:space="preserve">Posljednji podatci o potrošnji energije u Republici Hrvatskoj dostupni u trenutku izrade nacrta ovog Plana su za </w:t>
      </w:r>
      <w:r>
        <w:t>2017</w:t>
      </w:r>
      <w:r w:rsidRPr="00842F15">
        <w:t xml:space="preserve">. godinu te ih prikazuje </w:t>
      </w:r>
      <w:r w:rsidR="006C7811">
        <w:fldChar w:fldCharType="begin"/>
      </w:r>
      <w:r w:rsidR="006C7811">
        <w:instrText xml:space="preserve"> REF _Ref11421086 \h </w:instrText>
      </w:r>
      <w:r w:rsidR="006C7811">
        <w:fldChar w:fldCharType="separate"/>
      </w:r>
      <w:r w:rsidR="00154150">
        <w:t xml:space="preserve">Tablica </w:t>
      </w:r>
      <w:r w:rsidR="00154150">
        <w:rPr>
          <w:noProof/>
        </w:rPr>
        <w:t>4</w:t>
      </w:r>
      <w:r w:rsidR="00154150">
        <w:t>–</w:t>
      </w:r>
      <w:r w:rsidR="00154150">
        <w:rPr>
          <w:noProof/>
        </w:rPr>
        <w:t>11</w:t>
      </w:r>
      <w:r w:rsidR="006C7811">
        <w:fldChar w:fldCharType="end"/>
      </w:r>
      <w:r w:rsidR="006C7811">
        <w:t xml:space="preserve"> i </w:t>
      </w:r>
      <w:r w:rsidRPr="00842F15">
        <w:fldChar w:fldCharType="begin"/>
      </w:r>
      <w:r w:rsidRPr="00F67AB5">
        <w:instrText xml:space="preserve"> REF _Ref525300678 \h  \* MERGEFORMAT </w:instrText>
      </w:r>
      <w:r w:rsidRPr="00842F15">
        <w:fldChar w:fldCharType="separate"/>
      </w:r>
    </w:p>
    <w:p w14:paraId="08A215D1" w14:textId="3909D76A" w:rsidR="001D00DA" w:rsidRDefault="00154150" w:rsidP="00F65963">
      <w:r>
        <w:t xml:space="preserve">Tablica </w:t>
      </w:r>
      <w:r>
        <w:rPr>
          <w:noProof/>
        </w:rPr>
        <w:t>4</w:t>
      </w:r>
      <w:r>
        <w:t>–</w:t>
      </w:r>
      <w:r>
        <w:rPr>
          <w:noProof/>
        </w:rPr>
        <w:t>12</w:t>
      </w:r>
      <w:r w:rsidR="001D00DA" w:rsidRPr="00842F15">
        <w:fldChar w:fldCharType="end"/>
      </w:r>
      <w:r w:rsidR="001D00DA" w:rsidRPr="00842F15">
        <w:t xml:space="preserve">. </w:t>
      </w:r>
    </w:p>
    <w:p w14:paraId="4D2B9B50" w14:textId="5FBEAF21" w:rsidR="001D00DA" w:rsidRPr="0031468F" w:rsidRDefault="001D00DA" w:rsidP="001D00DA">
      <w:pPr>
        <w:pStyle w:val="Caption"/>
        <w:rPr>
          <w:sz w:val="24"/>
          <w:szCs w:val="24"/>
        </w:rPr>
      </w:pPr>
      <w:bookmarkStart w:id="493" w:name="_Ref11421086"/>
      <w:bookmarkStart w:id="494" w:name="_Toc531935360"/>
      <w:bookmarkStart w:id="495" w:name="_Toc27396225"/>
      <w:r>
        <w:t xml:space="preserve">Tablica </w:t>
      </w:r>
      <w:r w:rsidR="00182C96">
        <w:rPr>
          <w:noProof/>
        </w:rPr>
        <w:fldChar w:fldCharType="begin"/>
      </w:r>
      <w:r w:rsidR="00182C96">
        <w:rPr>
          <w:noProof/>
        </w:rPr>
        <w:instrText xml:space="preserve"> STYLEREF 1 \s </w:instrText>
      </w:r>
      <w:r w:rsidR="00182C96">
        <w:rPr>
          <w:noProof/>
        </w:rPr>
        <w:fldChar w:fldCharType="separate"/>
      </w:r>
      <w:r w:rsidR="00154150">
        <w:rPr>
          <w:noProof/>
        </w:rPr>
        <w:t>4</w:t>
      </w:r>
      <w:r w:rsidR="00182C96">
        <w:rPr>
          <w:noProof/>
        </w:rPr>
        <w:fldChar w:fldCharType="end"/>
      </w:r>
      <w:r w:rsidR="00214B02">
        <w:t>–</w:t>
      </w:r>
      <w:fldSimple w:instr=" SEQ Tablica \* ARABIC \s 1 ">
        <w:r w:rsidR="00154150">
          <w:rPr>
            <w:noProof/>
          </w:rPr>
          <w:t>11</w:t>
        </w:r>
      </w:fldSimple>
      <w:bookmarkEnd w:id="493"/>
      <w:r w:rsidR="0098147A">
        <w:t>.</w:t>
      </w:r>
      <w:r>
        <w:t>: Struktura primarne i neposredne potrošnje energije po sektorima u 2017. godini</w:t>
      </w:r>
      <w:bookmarkEnd w:id="494"/>
      <w:r>
        <w:t xml:space="preserve"> (bilanca prema EUROSTAT metodologiji)</w:t>
      </w:r>
      <w:bookmarkEnd w:id="495"/>
    </w:p>
    <w:tbl>
      <w:tblPr>
        <w:tblStyle w:val="Svijetlatablicareetke11"/>
        <w:tblW w:w="0" w:type="auto"/>
        <w:tblLook w:val="04A0" w:firstRow="1" w:lastRow="0" w:firstColumn="1" w:lastColumn="0" w:noHBand="0" w:noVBand="1"/>
      </w:tblPr>
      <w:tblGrid>
        <w:gridCol w:w="6156"/>
        <w:gridCol w:w="1286"/>
        <w:gridCol w:w="1618"/>
      </w:tblGrid>
      <w:tr w:rsidR="00C21988" w14:paraId="64AE9CA0"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6" w:type="dxa"/>
            <w:shd w:val="clear" w:color="auto" w:fill="DEEAF6" w:themeFill="accent1" w:themeFillTint="33"/>
          </w:tcPr>
          <w:p w14:paraId="68403929" w14:textId="1ED9D715" w:rsidR="00C21988" w:rsidRPr="00A97F0C" w:rsidRDefault="00C21988" w:rsidP="00907258">
            <w:pPr>
              <w:spacing w:before="0" w:after="0" w:line="240" w:lineRule="auto"/>
              <w:rPr>
                <w:rFonts w:cstheme="minorHAnsi"/>
                <w:sz w:val="20"/>
                <w:szCs w:val="20"/>
              </w:rPr>
            </w:pPr>
            <w:r>
              <w:rPr>
                <w:rFonts w:cstheme="minorHAnsi"/>
                <w:sz w:val="20"/>
                <w:szCs w:val="20"/>
              </w:rPr>
              <w:t>201</w:t>
            </w:r>
            <w:r w:rsidR="001D00DA">
              <w:rPr>
                <w:rFonts w:cstheme="minorHAnsi"/>
                <w:sz w:val="20"/>
                <w:szCs w:val="20"/>
              </w:rPr>
              <w:t>7</w:t>
            </w:r>
            <w:r>
              <w:rPr>
                <w:rFonts w:cstheme="minorHAnsi"/>
                <w:sz w:val="20"/>
                <w:szCs w:val="20"/>
              </w:rPr>
              <w:t>. GODINA</w:t>
            </w:r>
          </w:p>
        </w:tc>
        <w:tc>
          <w:tcPr>
            <w:tcW w:w="1286" w:type="dxa"/>
            <w:shd w:val="clear" w:color="auto" w:fill="DEEAF6" w:themeFill="accent1" w:themeFillTint="33"/>
          </w:tcPr>
          <w:p w14:paraId="02DDD11C" w14:textId="77777777" w:rsidR="00C21988" w:rsidRPr="00A97F0C" w:rsidRDefault="00C21988" w:rsidP="0090725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PJ</w:t>
            </w:r>
          </w:p>
        </w:tc>
        <w:tc>
          <w:tcPr>
            <w:tcW w:w="1618" w:type="dxa"/>
            <w:shd w:val="clear" w:color="auto" w:fill="DEEAF6" w:themeFill="accent1" w:themeFillTint="33"/>
          </w:tcPr>
          <w:p w14:paraId="12ABD247" w14:textId="77777777" w:rsidR="00C21988" w:rsidRPr="00A97F0C" w:rsidRDefault="00C21988" w:rsidP="0090725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ktoe</w:t>
            </w:r>
          </w:p>
        </w:tc>
      </w:tr>
      <w:tr w:rsidR="001D00DA" w14:paraId="3278C067" w14:textId="77777777" w:rsidTr="00725326">
        <w:tc>
          <w:tcPr>
            <w:cnfStyle w:val="001000000000" w:firstRow="0" w:lastRow="0" w:firstColumn="1" w:lastColumn="0" w:oddVBand="0" w:evenVBand="0" w:oddHBand="0" w:evenHBand="0" w:firstRowFirstColumn="0" w:firstRowLastColumn="0" w:lastRowFirstColumn="0" w:lastRowLastColumn="0"/>
            <w:tcW w:w="6156" w:type="dxa"/>
            <w:shd w:val="clear" w:color="auto" w:fill="D9D9D9" w:themeFill="background1" w:themeFillShade="D9"/>
          </w:tcPr>
          <w:p w14:paraId="19BB84C3" w14:textId="788A59C4" w:rsidR="001D00DA" w:rsidRPr="00A97F0C" w:rsidRDefault="008F3767" w:rsidP="001D00DA">
            <w:pPr>
              <w:rPr>
                <w:rFonts w:cstheme="minorHAnsi"/>
                <w:sz w:val="20"/>
                <w:szCs w:val="20"/>
              </w:rPr>
            </w:pPr>
            <w:r>
              <w:rPr>
                <w:rFonts w:cstheme="minorHAnsi"/>
                <w:sz w:val="20"/>
                <w:szCs w:val="20"/>
              </w:rPr>
              <w:t>UKUPNA</w:t>
            </w:r>
            <w:r w:rsidRPr="00A97F0C">
              <w:rPr>
                <w:rFonts w:cstheme="minorHAnsi"/>
                <w:sz w:val="20"/>
                <w:szCs w:val="20"/>
              </w:rPr>
              <w:t xml:space="preserve"> </w:t>
            </w:r>
            <w:r w:rsidR="001D00DA" w:rsidRPr="00A97F0C">
              <w:rPr>
                <w:rFonts w:cstheme="minorHAnsi"/>
                <w:sz w:val="20"/>
                <w:szCs w:val="20"/>
              </w:rPr>
              <w:t>POTROŠNJA ENERGIJE</w:t>
            </w:r>
          </w:p>
        </w:tc>
        <w:tc>
          <w:tcPr>
            <w:tcW w:w="1286" w:type="dxa"/>
            <w:shd w:val="clear" w:color="auto" w:fill="D9D9D9" w:themeFill="background1" w:themeFillShade="D9"/>
          </w:tcPr>
          <w:p w14:paraId="49E0F020" w14:textId="261CF7A1" w:rsidR="001D00DA" w:rsidRPr="00F65963" w:rsidRDefault="001D00DA" w:rsidP="001D00DA">
            <w:pPr>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11B75">
              <w:rPr>
                <w:sz w:val="20"/>
              </w:rPr>
              <w:t>371,8</w:t>
            </w:r>
          </w:p>
        </w:tc>
        <w:tc>
          <w:tcPr>
            <w:tcW w:w="1618" w:type="dxa"/>
            <w:shd w:val="clear" w:color="auto" w:fill="D9D9D9" w:themeFill="background1" w:themeFillShade="D9"/>
          </w:tcPr>
          <w:p w14:paraId="5568D9CF" w14:textId="40549B67" w:rsidR="001D00DA" w:rsidRPr="00F65963" w:rsidRDefault="001D00DA" w:rsidP="001D00DA">
            <w:pPr>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11B75">
              <w:rPr>
                <w:sz w:val="20"/>
              </w:rPr>
              <w:t>8.879,9</w:t>
            </w:r>
          </w:p>
        </w:tc>
      </w:tr>
      <w:tr w:rsidR="001D00DA" w14:paraId="213A20C0"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5D79FFF7"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Gubitci transformacija</w:t>
            </w:r>
          </w:p>
        </w:tc>
        <w:tc>
          <w:tcPr>
            <w:tcW w:w="1286" w:type="dxa"/>
          </w:tcPr>
          <w:p w14:paraId="2C5D8AB0" w14:textId="08DA95F0"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222,8</w:t>
            </w:r>
          </w:p>
        </w:tc>
        <w:tc>
          <w:tcPr>
            <w:tcW w:w="1618" w:type="dxa"/>
          </w:tcPr>
          <w:p w14:paraId="1B9E4141" w14:textId="44B6D1A8"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5.320,3</w:t>
            </w:r>
          </w:p>
        </w:tc>
      </w:tr>
      <w:tr w:rsidR="001D00DA" w14:paraId="05368B5C"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4E0719D3"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Pogonska potrošnja</w:t>
            </w:r>
          </w:p>
        </w:tc>
        <w:tc>
          <w:tcPr>
            <w:tcW w:w="1286" w:type="dxa"/>
          </w:tcPr>
          <w:p w14:paraId="017696B6" w14:textId="34960016"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25,5</w:t>
            </w:r>
          </w:p>
        </w:tc>
        <w:tc>
          <w:tcPr>
            <w:tcW w:w="1618" w:type="dxa"/>
          </w:tcPr>
          <w:p w14:paraId="3D807C8A" w14:textId="798E0E9A"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608,9</w:t>
            </w:r>
          </w:p>
        </w:tc>
      </w:tr>
      <w:tr w:rsidR="001D00DA" w14:paraId="29677BB9"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188D0378"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Gubitci transporta i distribucije</w:t>
            </w:r>
          </w:p>
        </w:tc>
        <w:tc>
          <w:tcPr>
            <w:tcW w:w="1286" w:type="dxa"/>
          </w:tcPr>
          <w:p w14:paraId="74CACB29" w14:textId="59D31624"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9,1</w:t>
            </w:r>
          </w:p>
        </w:tc>
        <w:tc>
          <w:tcPr>
            <w:tcW w:w="1618" w:type="dxa"/>
          </w:tcPr>
          <w:p w14:paraId="22E0E96B" w14:textId="12054802"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218,0</w:t>
            </w:r>
          </w:p>
        </w:tc>
      </w:tr>
      <w:tr w:rsidR="001D00DA" w14:paraId="52ADD03F"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0202377C"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Neenergetska potrošnja</w:t>
            </w:r>
          </w:p>
        </w:tc>
        <w:tc>
          <w:tcPr>
            <w:tcW w:w="1286" w:type="dxa"/>
          </w:tcPr>
          <w:p w14:paraId="2A174A45" w14:textId="6FA841E6"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22,3</w:t>
            </w:r>
          </w:p>
        </w:tc>
        <w:tc>
          <w:tcPr>
            <w:tcW w:w="1618" w:type="dxa"/>
          </w:tcPr>
          <w:p w14:paraId="5A88F1B7" w14:textId="24F51835"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533,7</w:t>
            </w:r>
          </w:p>
        </w:tc>
      </w:tr>
      <w:tr w:rsidR="001D00DA" w14:paraId="43C15484" w14:textId="77777777" w:rsidTr="00725326">
        <w:tc>
          <w:tcPr>
            <w:cnfStyle w:val="001000000000" w:firstRow="0" w:lastRow="0" w:firstColumn="1" w:lastColumn="0" w:oddVBand="0" w:evenVBand="0" w:oddHBand="0" w:evenHBand="0" w:firstRowFirstColumn="0" w:firstRowLastColumn="0" w:lastRowFirstColumn="0" w:lastRowLastColumn="0"/>
            <w:tcW w:w="6156" w:type="dxa"/>
            <w:shd w:val="clear" w:color="auto" w:fill="D9D9D9" w:themeFill="background1" w:themeFillShade="D9"/>
          </w:tcPr>
          <w:p w14:paraId="711AE7C3" w14:textId="3A01A1BB" w:rsidR="001D00DA" w:rsidRPr="00A97F0C" w:rsidRDefault="001D00DA" w:rsidP="001D00DA">
            <w:pPr>
              <w:spacing w:before="0" w:after="0" w:line="240" w:lineRule="auto"/>
              <w:rPr>
                <w:rFonts w:cstheme="minorHAnsi"/>
                <w:sz w:val="20"/>
                <w:szCs w:val="20"/>
              </w:rPr>
            </w:pPr>
            <w:r w:rsidRPr="00A97F0C">
              <w:rPr>
                <w:rFonts w:cstheme="minorHAnsi"/>
                <w:sz w:val="20"/>
                <w:szCs w:val="20"/>
              </w:rPr>
              <w:t xml:space="preserve">POTROŠNJA </w:t>
            </w:r>
            <w:r w:rsidR="00322BE8">
              <w:rPr>
                <w:rFonts w:cstheme="minorHAnsi"/>
                <w:sz w:val="20"/>
                <w:szCs w:val="20"/>
              </w:rPr>
              <w:t xml:space="preserve">PRIMARNE </w:t>
            </w:r>
            <w:r w:rsidRPr="00A97F0C">
              <w:rPr>
                <w:rFonts w:cstheme="minorHAnsi"/>
                <w:sz w:val="20"/>
                <w:szCs w:val="20"/>
              </w:rPr>
              <w:t>ENERGIJE</w:t>
            </w:r>
          </w:p>
        </w:tc>
        <w:tc>
          <w:tcPr>
            <w:tcW w:w="1286" w:type="dxa"/>
            <w:shd w:val="clear" w:color="auto" w:fill="D9D9D9" w:themeFill="background1" w:themeFillShade="D9"/>
          </w:tcPr>
          <w:p w14:paraId="303A0CBE" w14:textId="69AE6246"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11B75">
              <w:rPr>
                <w:sz w:val="20"/>
              </w:rPr>
              <w:t>349,4</w:t>
            </w:r>
          </w:p>
        </w:tc>
        <w:tc>
          <w:tcPr>
            <w:tcW w:w="1618" w:type="dxa"/>
            <w:shd w:val="clear" w:color="auto" w:fill="D9D9D9" w:themeFill="background1" w:themeFillShade="D9"/>
          </w:tcPr>
          <w:p w14:paraId="3E0793E4" w14:textId="61FCFA09" w:rsidR="001D00DA" w:rsidRPr="00F65963" w:rsidRDefault="001D00DA"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11B75">
              <w:rPr>
                <w:sz w:val="20"/>
              </w:rPr>
              <w:t>8.346,2</w:t>
            </w:r>
          </w:p>
        </w:tc>
      </w:tr>
      <w:tr w:rsidR="00F330CD" w14:paraId="627A544E" w14:textId="77777777" w:rsidTr="0054724C">
        <w:tc>
          <w:tcPr>
            <w:cnfStyle w:val="001000000000" w:firstRow="0" w:lastRow="0" w:firstColumn="1" w:lastColumn="0" w:oddVBand="0" w:evenVBand="0" w:oddHBand="0" w:evenHBand="0" w:firstRowFirstColumn="0" w:firstRowLastColumn="0" w:lastRowFirstColumn="0" w:lastRowLastColumn="0"/>
            <w:tcW w:w="6156" w:type="dxa"/>
            <w:shd w:val="clear" w:color="auto" w:fill="D9D9D9" w:themeFill="background1" w:themeFillShade="D9"/>
          </w:tcPr>
          <w:p w14:paraId="6A1133CA" w14:textId="77777777" w:rsidR="0054724C" w:rsidRPr="00A97F0C" w:rsidRDefault="0054724C" w:rsidP="0054724C">
            <w:pPr>
              <w:spacing w:before="0" w:after="0" w:line="240" w:lineRule="auto"/>
              <w:rPr>
                <w:rFonts w:cstheme="minorHAnsi"/>
                <w:sz w:val="20"/>
                <w:szCs w:val="20"/>
              </w:rPr>
            </w:pPr>
            <w:r w:rsidRPr="00A97F0C">
              <w:rPr>
                <w:rFonts w:cstheme="minorHAnsi"/>
                <w:sz w:val="20"/>
                <w:szCs w:val="20"/>
              </w:rPr>
              <w:t>NEPOSREDNA POTROŠNJA ENERGIJE</w:t>
            </w:r>
          </w:p>
        </w:tc>
        <w:tc>
          <w:tcPr>
            <w:tcW w:w="1286" w:type="dxa"/>
            <w:shd w:val="clear" w:color="auto" w:fill="D9D9D9" w:themeFill="background1" w:themeFillShade="D9"/>
          </w:tcPr>
          <w:p w14:paraId="30FCB00A" w14:textId="601C02C4" w:rsidR="0054724C" w:rsidRPr="00F65963" w:rsidRDefault="0054724C" w:rsidP="0054724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D11B75">
              <w:rPr>
                <w:sz w:val="20"/>
              </w:rPr>
              <w:t>289,9</w:t>
            </w:r>
          </w:p>
        </w:tc>
        <w:tc>
          <w:tcPr>
            <w:tcW w:w="1618" w:type="dxa"/>
            <w:shd w:val="clear" w:color="auto" w:fill="D9D9D9" w:themeFill="background1" w:themeFillShade="D9"/>
          </w:tcPr>
          <w:p w14:paraId="68FA396F" w14:textId="24614DFF" w:rsidR="0054724C" w:rsidRPr="00F65963" w:rsidRDefault="0054724C" w:rsidP="0054724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sz w:val="20"/>
              </w:rPr>
              <w:t>6.924,0</w:t>
            </w:r>
          </w:p>
        </w:tc>
      </w:tr>
      <w:tr w:rsidR="001D00DA" w14:paraId="164B0D49"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6AD418C1"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Industrija</w:t>
            </w:r>
          </w:p>
        </w:tc>
        <w:tc>
          <w:tcPr>
            <w:tcW w:w="1286" w:type="dxa"/>
          </w:tcPr>
          <w:p w14:paraId="65C684EB" w14:textId="6BA66862" w:rsidR="001D00DA" w:rsidRPr="00F65963" w:rsidRDefault="0054724C"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49,3</w:t>
            </w:r>
          </w:p>
        </w:tc>
        <w:tc>
          <w:tcPr>
            <w:tcW w:w="1618" w:type="dxa"/>
          </w:tcPr>
          <w:p w14:paraId="0BE61F4A" w14:textId="69FF758E" w:rsidR="001D00DA" w:rsidRPr="00CB44B3" w:rsidRDefault="0054724C"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725326">
              <w:rPr>
                <w:sz w:val="20"/>
              </w:rPr>
              <w:t>1.178,3</w:t>
            </w:r>
          </w:p>
        </w:tc>
      </w:tr>
      <w:tr w:rsidR="001D00DA" w14:paraId="78D9636F"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58497439"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Promet</w:t>
            </w:r>
          </w:p>
        </w:tc>
        <w:tc>
          <w:tcPr>
            <w:tcW w:w="1286" w:type="dxa"/>
          </w:tcPr>
          <w:p w14:paraId="14FC8C38" w14:textId="084DAF77" w:rsidR="001D00DA" w:rsidRPr="00F65963" w:rsidRDefault="0054724C"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97,8</w:t>
            </w:r>
          </w:p>
        </w:tc>
        <w:tc>
          <w:tcPr>
            <w:tcW w:w="1618" w:type="dxa"/>
          </w:tcPr>
          <w:p w14:paraId="379C0E32" w14:textId="27512AC5" w:rsidR="001D00DA" w:rsidRPr="00CB44B3" w:rsidRDefault="0054724C"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sz w:val="20"/>
              </w:rPr>
            </w:pPr>
            <w:r w:rsidRPr="00725326">
              <w:rPr>
                <w:sz w:val="20"/>
              </w:rPr>
              <w:t>2.336,9</w:t>
            </w:r>
          </w:p>
        </w:tc>
      </w:tr>
      <w:tr w:rsidR="001D00DA" w14:paraId="65694F60"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46C8A045"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Kućanstva</w:t>
            </w:r>
          </w:p>
        </w:tc>
        <w:tc>
          <w:tcPr>
            <w:tcW w:w="1286" w:type="dxa"/>
          </w:tcPr>
          <w:p w14:paraId="19B95627" w14:textId="6FE2866E" w:rsidR="001D00DA" w:rsidRPr="00F65963" w:rsidRDefault="0054724C"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99,5</w:t>
            </w:r>
          </w:p>
        </w:tc>
        <w:tc>
          <w:tcPr>
            <w:tcW w:w="1618" w:type="dxa"/>
          </w:tcPr>
          <w:p w14:paraId="762ADCE6" w14:textId="604C1302" w:rsidR="001D00DA" w:rsidRPr="00F65963" w:rsidRDefault="0054724C"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2.377,1</w:t>
            </w:r>
          </w:p>
        </w:tc>
      </w:tr>
      <w:tr w:rsidR="001D00DA" w14:paraId="542949EA"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1416FE67" w14:textId="77777777"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Usluge</w:t>
            </w:r>
          </w:p>
        </w:tc>
        <w:tc>
          <w:tcPr>
            <w:tcW w:w="1286" w:type="dxa"/>
          </w:tcPr>
          <w:p w14:paraId="512A77CE" w14:textId="6182270A" w:rsidR="001D00DA" w:rsidRPr="00F65963" w:rsidRDefault="00E92C22"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33,5</w:t>
            </w:r>
          </w:p>
        </w:tc>
        <w:tc>
          <w:tcPr>
            <w:tcW w:w="1618" w:type="dxa"/>
          </w:tcPr>
          <w:p w14:paraId="6542F120" w14:textId="59209960" w:rsidR="001D00DA" w:rsidRPr="00F65963" w:rsidRDefault="00E92C22"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11B75">
              <w:rPr>
                <w:sz w:val="20"/>
              </w:rPr>
              <w:t>801,1</w:t>
            </w:r>
          </w:p>
        </w:tc>
      </w:tr>
      <w:tr w:rsidR="001D00DA" w14:paraId="364BB559"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4F05886C" w14:textId="1A997F7C" w:rsidR="001D00DA" w:rsidRPr="00A97F0C" w:rsidRDefault="001D00DA" w:rsidP="001D00DA">
            <w:pPr>
              <w:spacing w:before="0" w:after="0" w:line="240" w:lineRule="auto"/>
              <w:ind w:left="306"/>
              <w:rPr>
                <w:rFonts w:cstheme="minorHAnsi"/>
                <w:b w:val="0"/>
                <w:sz w:val="20"/>
                <w:szCs w:val="20"/>
              </w:rPr>
            </w:pPr>
            <w:r w:rsidRPr="00A97F0C">
              <w:rPr>
                <w:rFonts w:cstheme="minorHAnsi"/>
                <w:b w:val="0"/>
                <w:sz w:val="20"/>
                <w:szCs w:val="20"/>
              </w:rPr>
              <w:t>Poljoprivreda</w:t>
            </w:r>
            <w:r w:rsidR="00E92C22">
              <w:rPr>
                <w:rFonts w:cstheme="minorHAnsi"/>
                <w:b w:val="0"/>
                <w:sz w:val="20"/>
                <w:szCs w:val="20"/>
              </w:rPr>
              <w:t xml:space="preserve"> i šumarstvo</w:t>
            </w:r>
          </w:p>
        </w:tc>
        <w:tc>
          <w:tcPr>
            <w:tcW w:w="1286" w:type="dxa"/>
          </w:tcPr>
          <w:p w14:paraId="224F7F16" w14:textId="52A8E38C" w:rsidR="001D00DA" w:rsidRPr="00F65963" w:rsidRDefault="003060F8"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rPr>
              <w:t>8.6</w:t>
            </w:r>
          </w:p>
        </w:tc>
        <w:tc>
          <w:tcPr>
            <w:tcW w:w="1618" w:type="dxa"/>
          </w:tcPr>
          <w:p w14:paraId="5ECB3F64" w14:textId="342E4C60" w:rsidR="001D00DA" w:rsidRPr="00F65963" w:rsidRDefault="00CE30D6" w:rsidP="001D00D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sz w:val="20"/>
              </w:rPr>
              <w:t>204,9</w:t>
            </w:r>
          </w:p>
        </w:tc>
      </w:tr>
      <w:tr w:rsidR="00C21988" w14:paraId="5C7BDFFC" w14:textId="77777777" w:rsidTr="00725326">
        <w:tc>
          <w:tcPr>
            <w:cnfStyle w:val="001000000000" w:firstRow="0" w:lastRow="0" w:firstColumn="1" w:lastColumn="0" w:oddVBand="0" w:evenVBand="0" w:oddHBand="0" w:evenHBand="0" w:firstRowFirstColumn="0" w:firstRowLastColumn="0" w:lastRowFirstColumn="0" w:lastRowLastColumn="0"/>
            <w:tcW w:w="6156" w:type="dxa"/>
          </w:tcPr>
          <w:p w14:paraId="1178DEE4" w14:textId="673A8B41" w:rsidR="00C21988" w:rsidRPr="00A97F0C" w:rsidRDefault="001771A6" w:rsidP="00907258">
            <w:pPr>
              <w:spacing w:before="0" w:after="0" w:line="240" w:lineRule="auto"/>
              <w:ind w:left="306"/>
              <w:rPr>
                <w:rFonts w:cstheme="minorHAnsi"/>
                <w:b w:val="0"/>
                <w:sz w:val="20"/>
                <w:szCs w:val="20"/>
              </w:rPr>
            </w:pPr>
            <w:r>
              <w:rPr>
                <w:rFonts w:cstheme="minorHAnsi"/>
                <w:b w:val="0"/>
                <w:sz w:val="20"/>
                <w:szCs w:val="20"/>
              </w:rPr>
              <w:t>Ribarstvo</w:t>
            </w:r>
          </w:p>
        </w:tc>
        <w:tc>
          <w:tcPr>
            <w:tcW w:w="1286" w:type="dxa"/>
          </w:tcPr>
          <w:p w14:paraId="650B9636" w14:textId="6FD474C6" w:rsidR="00C21988" w:rsidRPr="00A97F0C" w:rsidRDefault="00DF0D70"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w:t>
            </w:r>
          </w:p>
        </w:tc>
        <w:tc>
          <w:tcPr>
            <w:tcW w:w="1618" w:type="dxa"/>
          </w:tcPr>
          <w:p w14:paraId="088E771A" w14:textId="5ADBCA4E" w:rsidR="00C21988" w:rsidRPr="00A97F0C" w:rsidRDefault="00CE30D6" w:rsidP="0090725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25,7</w:t>
            </w:r>
          </w:p>
        </w:tc>
      </w:tr>
    </w:tbl>
    <w:p w14:paraId="3CB4FAC9" w14:textId="77777777" w:rsidR="00D26C92" w:rsidRDefault="00D26C92" w:rsidP="00F149EB">
      <w:pPr>
        <w:pStyle w:val="Caption"/>
      </w:pPr>
      <w:bookmarkStart w:id="496" w:name="_Ref525300678"/>
    </w:p>
    <w:p w14:paraId="174CA196" w14:textId="2565BCF1" w:rsidR="00C21988" w:rsidRDefault="00C21988" w:rsidP="00F149EB">
      <w:pPr>
        <w:pStyle w:val="Caption"/>
        <w:rPr>
          <w:rFonts w:cstheme="minorHAnsi"/>
          <w:sz w:val="24"/>
        </w:rPr>
      </w:pPr>
      <w:bookmarkStart w:id="497" w:name="_Toc27396226"/>
      <w:r>
        <w:t xml:space="preserve">Tablica </w:t>
      </w:r>
      <w:r w:rsidR="00182C96">
        <w:rPr>
          <w:noProof/>
        </w:rPr>
        <w:fldChar w:fldCharType="begin"/>
      </w:r>
      <w:r w:rsidR="00182C96">
        <w:rPr>
          <w:noProof/>
        </w:rPr>
        <w:instrText xml:space="preserve"> STYLEREF 1 \s </w:instrText>
      </w:r>
      <w:r w:rsidR="00182C96">
        <w:rPr>
          <w:noProof/>
        </w:rPr>
        <w:fldChar w:fldCharType="separate"/>
      </w:r>
      <w:r w:rsidR="00154150">
        <w:rPr>
          <w:noProof/>
        </w:rPr>
        <w:t>4</w:t>
      </w:r>
      <w:r w:rsidR="00182C96">
        <w:rPr>
          <w:noProof/>
        </w:rPr>
        <w:fldChar w:fldCharType="end"/>
      </w:r>
      <w:r w:rsidR="00214B02">
        <w:t>–</w:t>
      </w:r>
      <w:fldSimple w:instr=" SEQ Tablica \* ARABIC \s 1 ">
        <w:r w:rsidR="00154150">
          <w:rPr>
            <w:noProof/>
          </w:rPr>
          <w:t>12</w:t>
        </w:r>
      </w:fldSimple>
      <w:bookmarkEnd w:id="496"/>
      <w:r w:rsidR="0098147A">
        <w:rPr>
          <w:noProof/>
        </w:rPr>
        <w:t>.</w:t>
      </w:r>
      <w:r>
        <w:t>: Struktura primarne i neposredne potrošnje energije po energentima</w:t>
      </w:r>
      <w:r w:rsidR="001228FB">
        <w:t xml:space="preserve"> u 2017. godini (bilanca prema EUROSTAT metodologiji)</w:t>
      </w:r>
      <w:bookmarkEnd w:id="497"/>
    </w:p>
    <w:tbl>
      <w:tblPr>
        <w:tblStyle w:val="Svijetlatablicareetke11"/>
        <w:tblW w:w="0" w:type="auto"/>
        <w:tblLook w:val="04A0" w:firstRow="1" w:lastRow="0" w:firstColumn="1" w:lastColumn="0" w:noHBand="0" w:noVBand="1"/>
      </w:tblPr>
      <w:tblGrid>
        <w:gridCol w:w="5760"/>
        <w:gridCol w:w="1304"/>
        <w:gridCol w:w="1996"/>
      </w:tblGrid>
      <w:tr w:rsidR="00C21988" w14:paraId="6A5B6A4B" w14:textId="77777777" w:rsidTr="00725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tcPr>
          <w:p w14:paraId="71DFC591" w14:textId="4A923B33" w:rsidR="00C21988" w:rsidRPr="00A97F0C" w:rsidRDefault="00C21988" w:rsidP="003F204A">
            <w:pPr>
              <w:spacing w:before="0" w:after="0" w:line="240" w:lineRule="auto"/>
              <w:rPr>
                <w:rFonts w:cstheme="minorHAnsi"/>
                <w:sz w:val="20"/>
                <w:szCs w:val="20"/>
              </w:rPr>
            </w:pPr>
            <w:r>
              <w:rPr>
                <w:rFonts w:cstheme="minorHAnsi"/>
                <w:sz w:val="20"/>
                <w:szCs w:val="20"/>
              </w:rPr>
              <w:t>201</w:t>
            </w:r>
            <w:r w:rsidR="00F65963">
              <w:rPr>
                <w:rFonts w:cstheme="minorHAnsi"/>
                <w:sz w:val="20"/>
                <w:szCs w:val="20"/>
              </w:rPr>
              <w:t>7</w:t>
            </w:r>
            <w:r>
              <w:rPr>
                <w:rFonts w:cstheme="minorHAnsi"/>
                <w:sz w:val="20"/>
                <w:szCs w:val="20"/>
              </w:rPr>
              <w:t>. GODINA</w:t>
            </w:r>
          </w:p>
        </w:tc>
        <w:tc>
          <w:tcPr>
            <w:tcW w:w="1304" w:type="dxa"/>
          </w:tcPr>
          <w:p w14:paraId="30AB2FDB" w14:textId="77777777" w:rsidR="00C21988" w:rsidRPr="00A97F0C" w:rsidRDefault="00C21988" w:rsidP="003F20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PJ</w:t>
            </w:r>
          </w:p>
        </w:tc>
        <w:tc>
          <w:tcPr>
            <w:tcW w:w="1996" w:type="dxa"/>
          </w:tcPr>
          <w:p w14:paraId="3257B8DB" w14:textId="1DB25897" w:rsidR="00C21988" w:rsidRPr="00A97F0C" w:rsidRDefault="00FD22C9" w:rsidP="003F20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97F0C">
              <w:rPr>
                <w:rFonts w:cstheme="minorHAnsi"/>
                <w:sz w:val="20"/>
                <w:szCs w:val="20"/>
              </w:rPr>
              <w:t>K</w:t>
            </w:r>
            <w:r w:rsidR="00C21988" w:rsidRPr="00A97F0C">
              <w:rPr>
                <w:rFonts w:cstheme="minorHAnsi"/>
                <w:sz w:val="20"/>
                <w:szCs w:val="20"/>
              </w:rPr>
              <w:t>toe</w:t>
            </w:r>
          </w:p>
        </w:tc>
      </w:tr>
      <w:tr w:rsidR="00F65963" w14:paraId="4A2ECA5B" w14:textId="77777777" w:rsidTr="00725326">
        <w:tc>
          <w:tcPr>
            <w:cnfStyle w:val="001000000000" w:firstRow="0" w:lastRow="0" w:firstColumn="1" w:lastColumn="0" w:oddVBand="0" w:evenVBand="0" w:oddHBand="0" w:evenHBand="0" w:firstRowFirstColumn="0" w:firstRowLastColumn="0" w:lastRowFirstColumn="0" w:lastRowLastColumn="0"/>
            <w:tcW w:w="5760" w:type="dxa"/>
            <w:shd w:val="clear" w:color="auto" w:fill="D9D9D9" w:themeFill="background1" w:themeFillShade="D9"/>
          </w:tcPr>
          <w:p w14:paraId="5009BD0D" w14:textId="7CF43710" w:rsidR="00F65963" w:rsidRPr="00A97F0C" w:rsidRDefault="001228FB" w:rsidP="00F65963">
            <w:pPr>
              <w:spacing w:before="0" w:after="0" w:line="240" w:lineRule="auto"/>
              <w:rPr>
                <w:rFonts w:cstheme="minorHAnsi"/>
                <w:sz w:val="20"/>
                <w:szCs w:val="20"/>
              </w:rPr>
            </w:pPr>
            <w:r>
              <w:rPr>
                <w:rFonts w:cstheme="minorHAnsi"/>
                <w:sz w:val="20"/>
                <w:szCs w:val="20"/>
              </w:rPr>
              <w:t>UKUPNA</w:t>
            </w:r>
            <w:r w:rsidRPr="00A97F0C">
              <w:rPr>
                <w:rFonts w:cstheme="minorHAnsi"/>
                <w:sz w:val="20"/>
                <w:szCs w:val="20"/>
              </w:rPr>
              <w:t xml:space="preserve"> </w:t>
            </w:r>
            <w:r w:rsidR="00F65963" w:rsidRPr="00A97F0C">
              <w:rPr>
                <w:rFonts w:cstheme="minorHAnsi"/>
                <w:sz w:val="20"/>
                <w:szCs w:val="20"/>
              </w:rPr>
              <w:t>POTROŠNJA ENERGIJE</w:t>
            </w:r>
          </w:p>
        </w:tc>
        <w:tc>
          <w:tcPr>
            <w:tcW w:w="1304" w:type="dxa"/>
            <w:shd w:val="clear" w:color="auto" w:fill="D9D9D9" w:themeFill="background1" w:themeFillShade="D9"/>
          </w:tcPr>
          <w:p w14:paraId="20A67497" w14:textId="66F5FCCD"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11B75">
              <w:rPr>
                <w:rFonts w:cs="Arial"/>
                <w:sz w:val="20"/>
              </w:rPr>
              <w:t>371,8</w:t>
            </w:r>
          </w:p>
        </w:tc>
        <w:tc>
          <w:tcPr>
            <w:tcW w:w="1996" w:type="dxa"/>
            <w:shd w:val="clear" w:color="auto" w:fill="D9D9D9" w:themeFill="background1" w:themeFillShade="D9"/>
          </w:tcPr>
          <w:p w14:paraId="2CD388AB" w14:textId="05F0262F"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11B75">
              <w:rPr>
                <w:rFonts w:cs="Arial"/>
                <w:sz w:val="20"/>
              </w:rPr>
              <w:t>8.879,9</w:t>
            </w:r>
          </w:p>
        </w:tc>
      </w:tr>
      <w:tr w:rsidR="00F65963" w14:paraId="2F5BCEF0"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0015F4C8"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Ugljen i koks</w:t>
            </w:r>
          </w:p>
        </w:tc>
        <w:tc>
          <w:tcPr>
            <w:tcW w:w="1304" w:type="dxa"/>
          </w:tcPr>
          <w:p w14:paraId="655C4976" w14:textId="68F58727"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16,5</w:t>
            </w:r>
          </w:p>
        </w:tc>
        <w:tc>
          <w:tcPr>
            <w:tcW w:w="1996" w:type="dxa"/>
          </w:tcPr>
          <w:p w14:paraId="207B2589" w14:textId="2E4ED835"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393,9</w:t>
            </w:r>
          </w:p>
        </w:tc>
      </w:tr>
      <w:tr w:rsidR="00F65963" w14:paraId="22F1DC71"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0A7DB104"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Tekuća goriva</w:t>
            </w:r>
          </w:p>
        </w:tc>
        <w:tc>
          <w:tcPr>
            <w:tcW w:w="1304" w:type="dxa"/>
          </w:tcPr>
          <w:p w14:paraId="12FC91EA" w14:textId="08A8F8C2" w:rsidR="00F65963" w:rsidRPr="00F65963" w:rsidRDefault="00F755D5"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rPr>
              <w:t>145,4</w:t>
            </w:r>
          </w:p>
        </w:tc>
        <w:tc>
          <w:tcPr>
            <w:tcW w:w="1996" w:type="dxa"/>
          </w:tcPr>
          <w:p w14:paraId="7E767EF8" w14:textId="5DAB1AB3" w:rsidR="00F65963" w:rsidRPr="00F65963" w:rsidRDefault="00024F8F"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rPr>
              <w:t>3.</w:t>
            </w:r>
            <w:r w:rsidR="00A35724">
              <w:rPr>
                <w:rFonts w:cs="Arial"/>
                <w:sz w:val="20"/>
              </w:rPr>
              <w:t>4</w:t>
            </w:r>
            <w:r w:rsidR="00222C2B">
              <w:rPr>
                <w:rFonts w:cs="Arial"/>
                <w:sz w:val="20"/>
              </w:rPr>
              <w:t>71</w:t>
            </w:r>
            <w:r>
              <w:rPr>
                <w:rFonts w:cs="Arial"/>
                <w:sz w:val="20"/>
              </w:rPr>
              <w:t>,7</w:t>
            </w:r>
          </w:p>
        </w:tc>
      </w:tr>
      <w:tr w:rsidR="00F65963" w14:paraId="7921C05E"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33A2A7B4"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Prirodni plin</w:t>
            </w:r>
          </w:p>
        </w:tc>
        <w:tc>
          <w:tcPr>
            <w:tcW w:w="1304" w:type="dxa"/>
          </w:tcPr>
          <w:p w14:paraId="02087744" w14:textId="082C27A3" w:rsidR="00F65963" w:rsidRPr="00F65963" w:rsidRDefault="001C195F"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104,4</w:t>
            </w:r>
          </w:p>
        </w:tc>
        <w:tc>
          <w:tcPr>
            <w:tcW w:w="1996" w:type="dxa"/>
          </w:tcPr>
          <w:p w14:paraId="19D41B23" w14:textId="20F94D31" w:rsidR="00F65963" w:rsidRPr="00F65963" w:rsidRDefault="001C195F"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2.493,3</w:t>
            </w:r>
          </w:p>
        </w:tc>
      </w:tr>
      <w:tr w:rsidR="00F65963" w14:paraId="78657FAC"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1EDDBEE7" w14:textId="17131464" w:rsidR="00F65963" w:rsidRPr="00A97F0C" w:rsidRDefault="001C195F" w:rsidP="00F65963">
            <w:pPr>
              <w:spacing w:before="0" w:after="0" w:line="240" w:lineRule="auto"/>
              <w:ind w:left="306"/>
              <w:rPr>
                <w:rFonts w:cstheme="minorHAnsi"/>
                <w:b w:val="0"/>
                <w:sz w:val="20"/>
                <w:szCs w:val="20"/>
              </w:rPr>
            </w:pPr>
            <w:r>
              <w:rPr>
                <w:rFonts w:cstheme="minorHAnsi"/>
                <w:b w:val="0"/>
                <w:sz w:val="20"/>
                <w:szCs w:val="20"/>
              </w:rPr>
              <w:t>Obnovljivi izvori energije</w:t>
            </w:r>
          </w:p>
        </w:tc>
        <w:tc>
          <w:tcPr>
            <w:tcW w:w="1304" w:type="dxa"/>
          </w:tcPr>
          <w:p w14:paraId="3BF154FF" w14:textId="5201EDA9" w:rsidR="00F65963" w:rsidRPr="00F65963" w:rsidRDefault="001C195F"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80,0</w:t>
            </w:r>
          </w:p>
        </w:tc>
        <w:tc>
          <w:tcPr>
            <w:tcW w:w="1996" w:type="dxa"/>
          </w:tcPr>
          <w:p w14:paraId="34569381" w14:textId="2F07421D" w:rsidR="00F65963" w:rsidRPr="00F65963" w:rsidRDefault="001C195F"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1.911,5</w:t>
            </w:r>
          </w:p>
        </w:tc>
      </w:tr>
      <w:tr w:rsidR="003A35F6" w14:paraId="7C7D6334" w14:textId="77777777" w:rsidTr="00120F00">
        <w:tc>
          <w:tcPr>
            <w:cnfStyle w:val="001000000000" w:firstRow="0" w:lastRow="0" w:firstColumn="1" w:lastColumn="0" w:oddVBand="0" w:evenVBand="0" w:oddHBand="0" w:evenHBand="0" w:firstRowFirstColumn="0" w:firstRowLastColumn="0" w:lastRowFirstColumn="0" w:lastRowLastColumn="0"/>
            <w:tcW w:w="5760" w:type="dxa"/>
          </w:tcPr>
          <w:p w14:paraId="40CDFA95" w14:textId="4C4F3178" w:rsidR="004F12F6" w:rsidRPr="00725326" w:rsidDel="00E06738" w:rsidRDefault="004F12F6" w:rsidP="001C195F">
            <w:pPr>
              <w:spacing w:before="0" w:after="0" w:line="240" w:lineRule="auto"/>
              <w:ind w:left="306"/>
              <w:rPr>
                <w:rFonts w:cstheme="minorHAnsi"/>
                <w:b w:val="0"/>
                <w:sz w:val="20"/>
                <w:szCs w:val="20"/>
              </w:rPr>
            </w:pPr>
            <w:r w:rsidRPr="004D5201">
              <w:rPr>
                <w:rFonts w:cstheme="minorHAnsi"/>
                <w:sz w:val="20"/>
                <w:szCs w:val="20"/>
              </w:rPr>
              <w:t>Otpad neobnovljivi</w:t>
            </w:r>
          </w:p>
        </w:tc>
        <w:tc>
          <w:tcPr>
            <w:tcW w:w="1304" w:type="dxa"/>
          </w:tcPr>
          <w:p w14:paraId="39130BE2" w14:textId="44802495" w:rsidR="004F12F6" w:rsidRPr="00D11B75" w:rsidRDefault="004F12F6" w:rsidP="001C19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rPr>
            </w:pPr>
          </w:p>
        </w:tc>
        <w:tc>
          <w:tcPr>
            <w:tcW w:w="1996" w:type="dxa"/>
          </w:tcPr>
          <w:p w14:paraId="2ABBAA34" w14:textId="03083E00" w:rsidR="004F12F6" w:rsidRPr="00D11B75" w:rsidRDefault="004F12F6" w:rsidP="001C195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rPr>
            </w:pPr>
          </w:p>
        </w:tc>
      </w:tr>
      <w:tr w:rsidR="00F65963" w14:paraId="1E479C52"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68DFD215"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Električna energija</w:t>
            </w:r>
          </w:p>
        </w:tc>
        <w:tc>
          <w:tcPr>
            <w:tcW w:w="1304" w:type="dxa"/>
          </w:tcPr>
          <w:p w14:paraId="6D8B5F58" w14:textId="360D9F19"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25,0</w:t>
            </w:r>
          </w:p>
        </w:tc>
        <w:tc>
          <w:tcPr>
            <w:tcW w:w="1996" w:type="dxa"/>
          </w:tcPr>
          <w:p w14:paraId="16D5AC81" w14:textId="439D55ED"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597,9</w:t>
            </w:r>
          </w:p>
        </w:tc>
      </w:tr>
      <w:tr w:rsidR="00F65963" w14:paraId="466390CE"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3C44A5E5"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Toplinska energija</w:t>
            </w:r>
          </w:p>
        </w:tc>
        <w:tc>
          <w:tcPr>
            <w:tcW w:w="1304" w:type="dxa"/>
          </w:tcPr>
          <w:p w14:paraId="309D0D32" w14:textId="05F648C2"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0,0</w:t>
            </w:r>
          </w:p>
        </w:tc>
        <w:tc>
          <w:tcPr>
            <w:tcW w:w="1996" w:type="dxa"/>
          </w:tcPr>
          <w:p w14:paraId="14100A30" w14:textId="5451DDEB"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0,0</w:t>
            </w:r>
          </w:p>
        </w:tc>
      </w:tr>
      <w:tr w:rsidR="00F65963" w14:paraId="42248DA0" w14:textId="77777777" w:rsidTr="00725326">
        <w:tc>
          <w:tcPr>
            <w:cnfStyle w:val="001000000000" w:firstRow="0" w:lastRow="0" w:firstColumn="1" w:lastColumn="0" w:oddVBand="0" w:evenVBand="0" w:oddHBand="0" w:evenHBand="0" w:firstRowFirstColumn="0" w:firstRowLastColumn="0" w:lastRowFirstColumn="0" w:lastRowLastColumn="0"/>
            <w:tcW w:w="5760" w:type="dxa"/>
            <w:shd w:val="clear" w:color="auto" w:fill="D9D9D9" w:themeFill="background1" w:themeFillShade="D9"/>
          </w:tcPr>
          <w:p w14:paraId="7EA09D2D" w14:textId="77777777" w:rsidR="00F65963" w:rsidRPr="00A97F0C" w:rsidRDefault="00F65963" w:rsidP="00F65963">
            <w:pPr>
              <w:spacing w:before="0" w:after="0" w:line="240" w:lineRule="auto"/>
              <w:rPr>
                <w:rFonts w:cstheme="minorHAnsi"/>
                <w:sz w:val="20"/>
                <w:szCs w:val="20"/>
              </w:rPr>
            </w:pPr>
            <w:r w:rsidRPr="00A97F0C">
              <w:rPr>
                <w:rFonts w:cstheme="minorHAnsi"/>
                <w:sz w:val="20"/>
                <w:szCs w:val="20"/>
              </w:rPr>
              <w:t>NEPOSREDNA POTROŠNJA ENERGIJE</w:t>
            </w:r>
          </w:p>
        </w:tc>
        <w:tc>
          <w:tcPr>
            <w:tcW w:w="1304" w:type="dxa"/>
            <w:shd w:val="clear" w:color="auto" w:fill="D9D9D9" w:themeFill="background1" w:themeFillShade="D9"/>
          </w:tcPr>
          <w:p w14:paraId="72BAB9AF" w14:textId="4BFE75F9"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11B75">
              <w:rPr>
                <w:rFonts w:cs="Arial"/>
                <w:sz w:val="20"/>
              </w:rPr>
              <w:t>289,9</w:t>
            </w:r>
          </w:p>
        </w:tc>
        <w:tc>
          <w:tcPr>
            <w:tcW w:w="1996" w:type="dxa"/>
            <w:shd w:val="clear" w:color="auto" w:fill="D9D9D9" w:themeFill="background1" w:themeFillShade="D9"/>
          </w:tcPr>
          <w:p w14:paraId="007275F9" w14:textId="7C00B5EF"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b/>
                <w:sz w:val="20"/>
                <w:szCs w:val="20"/>
              </w:rPr>
            </w:pPr>
            <w:r w:rsidRPr="00D11B75">
              <w:rPr>
                <w:rFonts w:cs="Arial"/>
                <w:sz w:val="20"/>
              </w:rPr>
              <w:t>6.924,0</w:t>
            </w:r>
          </w:p>
        </w:tc>
      </w:tr>
      <w:tr w:rsidR="00F65963" w14:paraId="37F7DEE5"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0F5A0780"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Ugljen i koks</w:t>
            </w:r>
          </w:p>
        </w:tc>
        <w:tc>
          <w:tcPr>
            <w:tcW w:w="1304" w:type="dxa"/>
          </w:tcPr>
          <w:p w14:paraId="0BDE6650" w14:textId="425081EB"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3,1</w:t>
            </w:r>
          </w:p>
        </w:tc>
        <w:tc>
          <w:tcPr>
            <w:tcW w:w="1996" w:type="dxa"/>
          </w:tcPr>
          <w:p w14:paraId="6E07B000" w14:textId="2594E406" w:rsidR="00F65963" w:rsidRPr="00F65963" w:rsidRDefault="00F65963"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74,5</w:t>
            </w:r>
          </w:p>
        </w:tc>
      </w:tr>
      <w:tr w:rsidR="00F65963" w14:paraId="25E559D5"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655D25C1"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Tekuća goriva</w:t>
            </w:r>
          </w:p>
        </w:tc>
        <w:tc>
          <w:tcPr>
            <w:tcW w:w="1304" w:type="dxa"/>
          </w:tcPr>
          <w:p w14:paraId="417E59A5" w14:textId="2F3F11F1" w:rsidR="00F65963" w:rsidRPr="00F65963" w:rsidRDefault="002E497D"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rPr>
              <w:t>125,5</w:t>
            </w:r>
          </w:p>
        </w:tc>
        <w:tc>
          <w:tcPr>
            <w:tcW w:w="1996" w:type="dxa"/>
          </w:tcPr>
          <w:p w14:paraId="2741E470" w14:textId="135113AA" w:rsidR="00F65963" w:rsidRPr="00CB44B3" w:rsidRDefault="00866744"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2.998,2</w:t>
            </w:r>
          </w:p>
        </w:tc>
      </w:tr>
      <w:tr w:rsidR="00F65963" w14:paraId="35182D97"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6AB3FC3F"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Prirodni plin</w:t>
            </w:r>
          </w:p>
        </w:tc>
        <w:tc>
          <w:tcPr>
            <w:tcW w:w="1304" w:type="dxa"/>
          </w:tcPr>
          <w:p w14:paraId="15E0DBC0" w14:textId="286C1D60" w:rsidR="00F65963" w:rsidRPr="00F65963" w:rsidRDefault="00120F00"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45,3</w:t>
            </w:r>
          </w:p>
        </w:tc>
        <w:tc>
          <w:tcPr>
            <w:tcW w:w="1996" w:type="dxa"/>
          </w:tcPr>
          <w:p w14:paraId="6E5B0693" w14:textId="56AFC3B1" w:rsidR="00F65963" w:rsidRPr="00F65963" w:rsidRDefault="00120F00"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1.081,4</w:t>
            </w:r>
          </w:p>
        </w:tc>
      </w:tr>
      <w:tr w:rsidR="003A35F6" w14:paraId="571AF259" w14:textId="77777777" w:rsidTr="00120F00">
        <w:tc>
          <w:tcPr>
            <w:cnfStyle w:val="001000000000" w:firstRow="0" w:lastRow="0" w:firstColumn="1" w:lastColumn="0" w:oddVBand="0" w:evenVBand="0" w:oddHBand="0" w:evenHBand="0" w:firstRowFirstColumn="0" w:firstRowLastColumn="0" w:lastRowFirstColumn="0" w:lastRowLastColumn="0"/>
            <w:tcW w:w="5760" w:type="dxa"/>
          </w:tcPr>
          <w:p w14:paraId="7B391831" w14:textId="333A5618" w:rsidR="00120F00" w:rsidRPr="00725326" w:rsidRDefault="00120F00" w:rsidP="00120F00">
            <w:pPr>
              <w:spacing w:before="0" w:after="0" w:line="240" w:lineRule="auto"/>
              <w:ind w:left="306"/>
              <w:rPr>
                <w:rFonts w:cstheme="minorHAnsi"/>
                <w:b w:val="0"/>
                <w:sz w:val="20"/>
                <w:szCs w:val="20"/>
              </w:rPr>
            </w:pPr>
            <w:r w:rsidRPr="00D26C92">
              <w:rPr>
                <w:rFonts w:cstheme="minorHAnsi"/>
                <w:sz w:val="20"/>
                <w:szCs w:val="20"/>
              </w:rPr>
              <w:t>Obnovljivi izvori energije</w:t>
            </w:r>
          </w:p>
        </w:tc>
        <w:tc>
          <w:tcPr>
            <w:tcW w:w="1304" w:type="dxa"/>
          </w:tcPr>
          <w:p w14:paraId="58621B17" w14:textId="2B48791F" w:rsidR="00120F00" w:rsidRPr="00D11B75" w:rsidRDefault="00120F00" w:rsidP="00120F0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rPr>
            </w:pPr>
            <w:r w:rsidRPr="00D11B75">
              <w:rPr>
                <w:rFonts w:cs="Arial"/>
                <w:sz w:val="20"/>
              </w:rPr>
              <w:t>48,3</w:t>
            </w:r>
          </w:p>
        </w:tc>
        <w:tc>
          <w:tcPr>
            <w:tcW w:w="1996" w:type="dxa"/>
          </w:tcPr>
          <w:p w14:paraId="46B634F8" w14:textId="165B6950" w:rsidR="00120F00" w:rsidRPr="00D11B75" w:rsidRDefault="00120F00" w:rsidP="00120F0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rPr>
            </w:pPr>
            <w:r w:rsidRPr="00D11B75">
              <w:rPr>
                <w:rFonts w:cs="Arial"/>
                <w:sz w:val="20"/>
              </w:rPr>
              <w:t>1.152,9</w:t>
            </w:r>
          </w:p>
        </w:tc>
      </w:tr>
      <w:tr w:rsidR="003A35F6" w14:paraId="33C513B4" w14:textId="77777777" w:rsidTr="00120F00">
        <w:tc>
          <w:tcPr>
            <w:cnfStyle w:val="001000000000" w:firstRow="0" w:lastRow="0" w:firstColumn="1" w:lastColumn="0" w:oddVBand="0" w:evenVBand="0" w:oddHBand="0" w:evenHBand="0" w:firstRowFirstColumn="0" w:firstRowLastColumn="0" w:lastRowFirstColumn="0" w:lastRowLastColumn="0"/>
            <w:tcW w:w="5760" w:type="dxa"/>
          </w:tcPr>
          <w:p w14:paraId="3B0AE929" w14:textId="31C80773" w:rsidR="00120F00" w:rsidRPr="001C2285" w:rsidRDefault="00120F00" w:rsidP="00120F00">
            <w:pPr>
              <w:spacing w:before="0" w:after="0" w:line="240" w:lineRule="auto"/>
              <w:ind w:left="306"/>
              <w:rPr>
                <w:rFonts w:cstheme="minorHAnsi"/>
                <w:b w:val="0"/>
                <w:sz w:val="20"/>
                <w:szCs w:val="20"/>
              </w:rPr>
            </w:pPr>
            <w:r w:rsidRPr="00E37636">
              <w:rPr>
                <w:rFonts w:cstheme="minorHAnsi"/>
                <w:b w:val="0"/>
                <w:sz w:val="20"/>
                <w:szCs w:val="20"/>
              </w:rPr>
              <w:t>Otpad neobnovljivi</w:t>
            </w:r>
          </w:p>
        </w:tc>
        <w:tc>
          <w:tcPr>
            <w:tcW w:w="1304" w:type="dxa"/>
          </w:tcPr>
          <w:p w14:paraId="2C9FA396" w14:textId="1AA5364E" w:rsidR="00120F00" w:rsidRPr="00D11B75" w:rsidRDefault="00120F00" w:rsidP="00120F0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0,5</w:t>
            </w:r>
          </w:p>
        </w:tc>
        <w:tc>
          <w:tcPr>
            <w:tcW w:w="1996" w:type="dxa"/>
          </w:tcPr>
          <w:p w14:paraId="0353753B" w14:textId="4F210781" w:rsidR="00120F00" w:rsidRPr="00D11B75" w:rsidRDefault="00120F00" w:rsidP="00120F00">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11,5</w:t>
            </w:r>
          </w:p>
        </w:tc>
      </w:tr>
      <w:tr w:rsidR="00F65963" w14:paraId="7A552A7F"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7B99BAD1"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Električna energija</w:t>
            </w:r>
          </w:p>
        </w:tc>
        <w:tc>
          <w:tcPr>
            <w:tcW w:w="1304" w:type="dxa"/>
          </w:tcPr>
          <w:p w14:paraId="53A0D045" w14:textId="2FF332A5" w:rsidR="00F65963" w:rsidRPr="00F65963" w:rsidRDefault="00B63F89"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57,6</w:t>
            </w:r>
          </w:p>
        </w:tc>
        <w:tc>
          <w:tcPr>
            <w:tcW w:w="1996" w:type="dxa"/>
          </w:tcPr>
          <w:p w14:paraId="5B62DA14" w14:textId="1FEAB983" w:rsidR="00F65963" w:rsidRPr="00F65963" w:rsidRDefault="00B63F89"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D11B75">
              <w:rPr>
                <w:rFonts w:cs="Arial"/>
                <w:sz w:val="20"/>
              </w:rPr>
              <w:t>1.374,8</w:t>
            </w:r>
          </w:p>
        </w:tc>
      </w:tr>
      <w:tr w:rsidR="00F65963" w14:paraId="77A1263D" w14:textId="77777777" w:rsidTr="00725326">
        <w:tc>
          <w:tcPr>
            <w:cnfStyle w:val="001000000000" w:firstRow="0" w:lastRow="0" w:firstColumn="1" w:lastColumn="0" w:oddVBand="0" w:evenVBand="0" w:oddHBand="0" w:evenHBand="0" w:firstRowFirstColumn="0" w:firstRowLastColumn="0" w:lastRowFirstColumn="0" w:lastRowLastColumn="0"/>
            <w:tcW w:w="5760" w:type="dxa"/>
          </w:tcPr>
          <w:p w14:paraId="304C464B" w14:textId="77777777" w:rsidR="00F65963" w:rsidRPr="00A97F0C" w:rsidRDefault="00F65963" w:rsidP="00F65963">
            <w:pPr>
              <w:spacing w:before="0" w:after="0" w:line="240" w:lineRule="auto"/>
              <w:ind w:left="306"/>
              <w:rPr>
                <w:rFonts w:cstheme="minorHAnsi"/>
                <w:b w:val="0"/>
                <w:sz w:val="20"/>
                <w:szCs w:val="20"/>
              </w:rPr>
            </w:pPr>
            <w:r w:rsidRPr="00A97F0C">
              <w:rPr>
                <w:rFonts w:cstheme="minorHAnsi"/>
                <w:b w:val="0"/>
                <w:sz w:val="20"/>
                <w:szCs w:val="20"/>
              </w:rPr>
              <w:t>Toplinska energija</w:t>
            </w:r>
          </w:p>
        </w:tc>
        <w:tc>
          <w:tcPr>
            <w:tcW w:w="1304" w:type="dxa"/>
          </w:tcPr>
          <w:p w14:paraId="79318455" w14:textId="25CAA324" w:rsidR="00F65963" w:rsidRPr="00F65963" w:rsidRDefault="00866744"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rPr>
              <w:t>9,7</w:t>
            </w:r>
          </w:p>
        </w:tc>
        <w:tc>
          <w:tcPr>
            <w:tcW w:w="1996" w:type="dxa"/>
          </w:tcPr>
          <w:p w14:paraId="7BAEAFF4" w14:textId="0484C2F3" w:rsidR="00F65963" w:rsidRPr="00F65963" w:rsidRDefault="00551D12" w:rsidP="00F65963">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rPr>
              <w:t>230,8</w:t>
            </w:r>
          </w:p>
        </w:tc>
      </w:tr>
    </w:tbl>
    <w:p w14:paraId="2DAB9250" w14:textId="153B47FA" w:rsidR="00C21988" w:rsidRPr="004002F3" w:rsidRDefault="00C21988" w:rsidP="00C21988">
      <w:pPr>
        <w:spacing w:before="120"/>
        <w:jc w:val="center"/>
        <w:rPr>
          <w:i/>
          <w:sz w:val="20"/>
        </w:rPr>
      </w:pPr>
      <w:r w:rsidRPr="001B295F">
        <w:rPr>
          <w:i/>
          <w:sz w:val="20"/>
        </w:rPr>
        <w:t>Izvor: Godišnji energetski pregled – Energija u Hrvatskoj 201</w:t>
      </w:r>
      <w:r w:rsidR="0085292B">
        <w:rPr>
          <w:i/>
          <w:sz w:val="20"/>
        </w:rPr>
        <w:t>7</w:t>
      </w:r>
      <w:r w:rsidRPr="001B295F">
        <w:rPr>
          <w:i/>
          <w:sz w:val="20"/>
        </w:rPr>
        <w:t>., Ministarstvo zaštite okoliša i energetike, prosinac 201</w:t>
      </w:r>
      <w:r w:rsidR="0085292B">
        <w:rPr>
          <w:i/>
          <w:sz w:val="20"/>
        </w:rPr>
        <w:t>8</w:t>
      </w:r>
      <w:r w:rsidRPr="001B295F">
        <w:rPr>
          <w:i/>
          <w:sz w:val="20"/>
        </w:rPr>
        <w:t>.</w:t>
      </w:r>
    </w:p>
    <w:p w14:paraId="6C58CA07" w14:textId="77777777" w:rsidR="00202C7C" w:rsidRPr="00491DE8" w:rsidRDefault="00202C7C" w:rsidP="00840E2E">
      <w:pPr>
        <w:pStyle w:val="Heading3"/>
        <w:numPr>
          <w:ilvl w:val="0"/>
          <w:numId w:val="80"/>
        </w:numPr>
      </w:pPr>
      <w:r w:rsidRPr="00491DE8">
        <w:t xml:space="preserve">Trenutačni potencijal za primjenu visokoučinkovite kogeneracije i učinkovitog centraliziranog grijanja i hlađenja </w:t>
      </w:r>
    </w:p>
    <w:p w14:paraId="17958E4D" w14:textId="3A391AF3" w:rsidR="00C21988" w:rsidRPr="001D15C4" w:rsidRDefault="00C21988" w:rsidP="00C21988">
      <w:pPr>
        <w:rPr>
          <w:rFonts w:cstheme="minorHAnsi"/>
        </w:rPr>
      </w:pPr>
      <w:r w:rsidRPr="001D15C4">
        <w:rPr>
          <w:rFonts w:cstheme="minorHAnsi"/>
        </w:rPr>
        <w:t>Pokazatelji potencijala za primjenu visokoučinkovite kogeneracije i učinkovitog centraliziranog grijanja i hlađenja su preuzeti iz dokumenta „Program korištenja potencijala za učinkovitost u grijanju i hlađenju za razdoblje 2016. – 2030.“, iz studenog 2015. godine, koji je izrađen za potrebe Ministarstva gospodarstva (danas u nadležnosti Ministarstva zaštite okoliša i energetike) sukladno članku 14.</w:t>
      </w:r>
      <w:r w:rsidR="00F65963">
        <w:rPr>
          <w:rFonts w:cstheme="minorHAnsi"/>
        </w:rPr>
        <w:t xml:space="preserve"> stavku 1.</w:t>
      </w:r>
      <w:r w:rsidRPr="001D15C4">
        <w:rPr>
          <w:rFonts w:cstheme="minorHAnsi"/>
        </w:rPr>
        <w:t xml:space="preserve"> Direktive 2012/27/EZ.</w:t>
      </w:r>
    </w:p>
    <w:p w14:paraId="5F80D026" w14:textId="746E8F47" w:rsidR="00C21988" w:rsidRPr="001D15C4" w:rsidRDefault="00C21988" w:rsidP="00C21988">
      <w:pPr>
        <w:rPr>
          <w:rFonts w:cstheme="minorHAnsi"/>
        </w:rPr>
      </w:pPr>
      <w:r w:rsidRPr="001D15C4">
        <w:rPr>
          <w:rFonts w:cstheme="minorHAnsi"/>
        </w:rPr>
        <w:t xml:space="preserve">Utvrđeni sveukupni (teorijski) potencijal za visokoučinkovita kogeneracijska postrojenja u Republici Hrvatskoj je sagledan kroz dva scenarija udjela budućih potrošača na centraliziranim toplinskim sustavima </w:t>
      </w:r>
      <w:r w:rsidR="00F65963">
        <w:rPr>
          <w:rFonts w:cstheme="minorHAnsi"/>
        </w:rPr>
        <w:t>(CTS)</w:t>
      </w:r>
      <w:r w:rsidR="00F65963" w:rsidRPr="001D15C4">
        <w:rPr>
          <w:rFonts w:cstheme="minorHAnsi"/>
        </w:rPr>
        <w:t xml:space="preserve"> </w:t>
      </w:r>
      <w:r w:rsidRPr="001D15C4">
        <w:rPr>
          <w:rFonts w:cstheme="minorHAnsi"/>
        </w:rPr>
        <w:t>s visokoučinkovitom kogeneracijom: konzervativnom i optimističnom. Scenariji su bazirani prema udjelu potrošača na centraliziranim toplinskim sustavima koji su pretpostavljeni na temelju utvrđenih postojećih trendova (konzervativni scenarij) odnosno optimistične pretpostavke pozitivnih pomaka u gospodarstvu RH (optimistični scenarij). Pokazatelje potencijala za primjenu visokoučinkovite kogeneracije i učinkovitog centraliziranog grijanja i hlađenja prikazuje</w:t>
      </w:r>
      <w:r w:rsidR="00D067E9">
        <w:rPr>
          <w:rFonts w:cstheme="minorHAnsi"/>
        </w:rPr>
        <w:t xml:space="preserve"> </w:t>
      </w:r>
      <w:r w:rsidR="00D067E9">
        <w:rPr>
          <w:rFonts w:cstheme="minorHAnsi"/>
        </w:rPr>
        <w:fldChar w:fldCharType="begin"/>
      </w:r>
      <w:r w:rsidR="00D067E9">
        <w:rPr>
          <w:rFonts w:cstheme="minorHAnsi"/>
        </w:rPr>
        <w:instrText xml:space="preserve"> REF _Ref531013427 \h </w:instrText>
      </w:r>
      <w:r w:rsidR="00D067E9">
        <w:rPr>
          <w:rFonts w:cstheme="minorHAnsi"/>
        </w:rPr>
      </w:r>
      <w:r w:rsidR="00D067E9">
        <w:rPr>
          <w:rFonts w:cstheme="minorHAnsi"/>
        </w:rPr>
        <w:fldChar w:fldCharType="separate"/>
      </w:r>
      <w:r w:rsidR="00154150">
        <w:t xml:space="preserve">Tablica </w:t>
      </w:r>
      <w:r w:rsidR="00154150">
        <w:rPr>
          <w:noProof/>
        </w:rPr>
        <w:t>4</w:t>
      </w:r>
      <w:r w:rsidR="00154150">
        <w:t>–</w:t>
      </w:r>
      <w:r w:rsidR="00154150">
        <w:rPr>
          <w:noProof/>
        </w:rPr>
        <w:t>13</w:t>
      </w:r>
      <w:r w:rsidR="00D067E9">
        <w:rPr>
          <w:rFonts w:cstheme="minorHAnsi"/>
        </w:rPr>
        <w:fldChar w:fldCharType="end"/>
      </w:r>
      <w:r w:rsidRPr="001D15C4">
        <w:rPr>
          <w:rFonts w:cstheme="minorHAnsi"/>
        </w:rPr>
        <w:t>.</w:t>
      </w:r>
    </w:p>
    <w:p w14:paraId="6BBE3A23" w14:textId="37F99B8B" w:rsidR="00C21988" w:rsidRPr="00A91300" w:rsidRDefault="00C21988">
      <w:pPr>
        <w:pStyle w:val="Caption"/>
        <w:keepNext/>
        <w:rPr>
          <w:rFonts w:asciiTheme="minorHAnsi" w:hAnsiTheme="minorHAnsi" w:cstheme="minorHAnsi"/>
          <w:sz w:val="24"/>
          <w:szCs w:val="22"/>
          <w:lang w:eastAsia="en-US"/>
        </w:rPr>
      </w:pPr>
      <w:bookmarkStart w:id="498" w:name="_Ref531013427"/>
      <w:bookmarkStart w:id="499" w:name="_Toc27396227"/>
      <w:r>
        <w:t xml:space="preserve">Tablica </w:t>
      </w:r>
      <w:fldSimple w:instr=" STYLEREF 1 \s ">
        <w:r w:rsidR="00154150">
          <w:rPr>
            <w:noProof/>
          </w:rPr>
          <w:t>4</w:t>
        </w:r>
      </w:fldSimple>
      <w:r w:rsidR="00214B02">
        <w:t>–</w:t>
      </w:r>
      <w:fldSimple w:instr=" SEQ Tablica \* ARABIC \s 1 ">
        <w:r w:rsidR="00154150">
          <w:rPr>
            <w:noProof/>
          </w:rPr>
          <w:t>13</w:t>
        </w:r>
      </w:fldSimple>
      <w:bookmarkEnd w:id="498"/>
      <w:r w:rsidR="0098147A">
        <w:t>.</w:t>
      </w:r>
      <w:r>
        <w:t>: Potencijali za primjenu visokoučinkovite kogeneracije i učinkovitog centraliziranog grijanja i hlađenja</w:t>
      </w:r>
      <w:bookmarkEnd w:id="499"/>
    </w:p>
    <w:tbl>
      <w:tblPr>
        <w:tblStyle w:val="Svijetlatablicareetke11"/>
        <w:tblW w:w="0" w:type="auto"/>
        <w:tblLook w:val="04A0" w:firstRow="1" w:lastRow="0" w:firstColumn="1" w:lastColumn="0" w:noHBand="0" w:noVBand="1"/>
      </w:tblPr>
      <w:tblGrid>
        <w:gridCol w:w="3613"/>
        <w:gridCol w:w="1001"/>
        <w:gridCol w:w="2105"/>
        <w:gridCol w:w="2341"/>
      </w:tblGrid>
      <w:tr w:rsidR="00C21988" w:rsidRPr="001C78BF" w14:paraId="73F8B1A4" w14:textId="77777777" w:rsidTr="0072532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shd w:val="clear" w:color="auto" w:fill="DEEAF6" w:themeFill="accent1" w:themeFillTint="33"/>
            <w:noWrap/>
            <w:hideMark/>
          </w:tcPr>
          <w:p w14:paraId="7BC945F9" w14:textId="77777777" w:rsidR="00C21988" w:rsidRPr="001C78BF" w:rsidRDefault="00C21988" w:rsidP="00725326">
            <w:pPr>
              <w:keepNext/>
              <w:spacing w:before="0" w:after="0" w:line="240" w:lineRule="auto"/>
              <w:jc w:val="center"/>
              <w:rPr>
                <w:rFonts w:cstheme="minorHAnsi"/>
                <w:b w:val="0"/>
                <w:bCs w:val="0"/>
                <w:color w:val="000000"/>
                <w:sz w:val="20"/>
                <w:szCs w:val="20"/>
              </w:rPr>
            </w:pPr>
            <w:r w:rsidRPr="001C78BF">
              <w:rPr>
                <w:rFonts w:cstheme="minorHAnsi"/>
                <w:color w:val="000000"/>
                <w:sz w:val="20"/>
                <w:szCs w:val="20"/>
              </w:rPr>
              <w:t>Pokazatelj</w:t>
            </w:r>
          </w:p>
        </w:tc>
        <w:tc>
          <w:tcPr>
            <w:tcW w:w="0" w:type="dxa"/>
            <w:shd w:val="clear" w:color="auto" w:fill="DEEAF6" w:themeFill="accent1" w:themeFillTint="33"/>
            <w:noWrap/>
            <w:hideMark/>
          </w:tcPr>
          <w:p w14:paraId="738E6BFF" w14:textId="7CE0D10B" w:rsidR="00C21988" w:rsidRPr="001C78BF" w:rsidRDefault="00C21988" w:rsidP="00725326">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rPr>
            </w:pPr>
            <w:r w:rsidRPr="001C78BF">
              <w:rPr>
                <w:rFonts w:cstheme="minorHAnsi"/>
                <w:color w:val="000000"/>
                <w:sz w:val="20"/>
                <w:szCs w:val="20"/>
              </w:rPr>
              <w:t>Jed</w:t>
            </w:r>
            <w:r w:rsidR="004C6FC2">
              <w:rPr>
                <w:rFonts w:cstheme="minorHAnsi"/>
                <w:color w:val="000000"/>
                <w:sz w:val="20"/>
                <w:szCs w:val="20"/>
              </w:rPr>
              <w:t>inica</w:t>
            </w:r>
          </w:p>
        </w:tc>
        <w:tc>
          <w:tcPr>
            <w:tcW w:w="0" w:type="dxa"/>
            <w:shd w:val="clear" w:color="auto" w:fill="DEEAF6" w:themeFill="accent1" w:themeFillTint="33"/>
            <w:noWrap/>
            <w:hideMark/>
          </w:tcPr>
          <w:p w14:paraId="39D2104C" w14:textId="57C08C9B" w:rsidR="00C21988" w:rsidRPr="001C78BF" w:rsidRDefault="00C21988" w:rsidP="00725326">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rPr>
            </w:pPr>
            <w:r w:rsidRPr="001C78BF">
              <w:rPr>
                <w:rFonts w:cstheme="minorHAnsi"/>
                <w:color w:val="000000"/>
                <w:sz w:val="20"/>
                <w:szCs w:val="20"/>
              </w:rPr>
              <w:t>Konzervativni scenarij</w:t>
            </w:r>
            <w:r w:rsidR="004C6FC2">
              <w:rPr>
                <w:rFonts w:cstheme="minorHAnsi"/>
                <w:color w:val="000000"/>
                <w:sz w:val="20"/>
                <w:szCs w:val="20"/>
              </w:rPr>
              <w:t>,</w:t>
            </w:r>
            <w:r w:rsidRPr="001C78BF">
              <w:rPr>
                <w:rFonts w:cstheme="minorHAnsi"/>
                <w:color w:val="000000"/>
                <w:sz w:val="20"/>
                <w:szCs w:val="20"/>
              </w:rPr>
              <w:t xml:space="preserve"> 2030. god.</w:t>
            </w:r>
          </w:p>
        </w:tc>
        <w:tc>
          <w:tcPr>
            <w:tcW w:w="0" w:type="dxa"/>
            <w:shd w:val="clear" w:color="auto" w:fill="DEEAF6" w:themeFill="accent1" w:themeFillTint="33"/>
            <w:noWrap/>
            <w:hideMark/>
          </w:tcPr>
          <w:p w14:paraId="4AC7F46C" w14:textId="10DEE8A8" w:rsidR="00C21988" w:rsidRPr="001C78BF" w:rsidRDefault="00C21988" w:rsidP="00725326">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sz w:val="20"/>
                <w:szCs w:val="20"/>
              </w:rPr>
            </w:pPr>
            <w:r w:rsidRPr="001C78BF">
              <w:rPr>
                <w:rFonts w:cstheme="minorHAnsi"/>
                <w:color w:val="000000"/>
                <w:sz w:val="20"/>
                <w:szCs w:val="20"/>
              </w:rPr>
              <w:t>Optimistični scenarij</w:t>
            </w:r>
            <w:r w:rsidR="004C6FC2">
              <w:rPr>
                <w:rFonts w:cstheme="minorHAnsi"/>
                <w:color w:val="000000"/>
                <w:sz w:val="20"/>
                <w:szCs w:val="20"/>
              </w:rPr>
              <w:t>,</w:t>
            </w:r>
            <w:r w:rsidRPr="001C78BF">
              <w:rPr>
                <w:rFonts w:cstheme="minorHAnsi"/>
                <w:color w:val="000000"/>
                <w:sz w:val="20"/>
                <w:szCs w:val="20"/>
              </w:rPr>
              <w:t xml:space="preserve"> 2030. god.</w:t>
            </w:r>
          </w:p>
        </w:tc>
      </w:tr>
      <w:tr w:rsidR="00C21988" w:rsidRPr="001C78BF" w14:paraId="13426518" w14:textId="77777777" w:rsidTr="00BB735D">
        <w:trPr>
          <w:trHeight w:val="50"/>
        </w:trPr>
        <w:tc>
          <w:tcPr>
            <w:cnfStyle w:val="001000000000" w:firstRow="0" w:lastRow="0" w:firstColumn="1" w:lastColumn="0" w:oddVBand="0" w:evenVBand="0" w:oddHBand="0" w:evenHBand="0" w:firstRowFirstColumn="0" w:firstRowLastColumn="0" w:lastRowFirstColumn="0" w:lastRowLastColumn="0"/>
            <w:tcW w:w="3683" w:type="dxa"/>
            <w:vMerge w:val="restart"/>
            <w:hideMark/>
          </w:tcPr>
          <w:p w14:paraId="26C3DBB0" w14:textId="77777777" w:rsidR="00C21988" w:rsidRPr="001C78BF" w:rsidRDefault="00C21988" w:rsidP="00725326">
            <w:pPr>
              <w:keepNext/>
              <w:spacing w:before="0" w:after="0" w:line="240" w:lineRule="auto"/>
              <w:rPr>
                <w:rFonts w:cstheme="minorHAnsi"/>
                <w:bCs w:val="0"/>
                <w:color w:val="000000"/>
                <w:sz w:val="20"/>
                <w:szCs w:val="20"/>
              </w:rPr>
            </w:pPr>
            <w:r w:rsidRPr="001C78BF">
              <w:rPr>
                <w:rFonts w:cstheme="minorHAnsi"/>
                <w:color w:val="000000"/>
                <w:sz w:val="20"/>
                <w:szCs w:val="20"/>
              </w:rPr>
              <w:t xml:space="preserve">Ukupni toplinski konzum </w:t>
            </w:r>
            <w:r w:rsidRPr="001C78BF">
              <w:rPr>
                <w:rFonts w:cstheme="minorHAnsi"/>
                <w:color w:val="000000"/>
                <w:sz w:val="20"/>
                <w:szCs w:val="20"/>
              </w:rPr>
              <w:br/>
              <w:t>(teorijske toplinske potrebe u 2030. god.)</w:t>
            </w:r>
          </w:p>
        </w:tc>
        <w:tc>
          <w:tcPr>
            <w:tcW w:w="850" w:type="dxa"/>
            <w:noWrap/>
            <w:hideMark/>
          </w:tcPr>
          <w:p w14:paraId="42CFB333" w14:textId="77777777" w:rsidR="00C21988" w:rsidRPr="001C78BF" w:rsidRDefault="00C21988" w:rsidP="00725326">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GJ</w:t>
            </w:r>
          </w:p>
        </w:tc>
        <w:tc>
          <w:tcPr>
            <w:tcW w:w="2144" w:type="dxa"/>
            <w:noWrap/>
            <w:hideMark/>
          </w:tcPr>
          <w:p w14:paraId="351A7136" w14:textId="77777777" w:rsidR="00C21988" w:rsidRPr="001C78BF" w:rsidRDefault="00C21988" w:rsidP="00725326">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18.312.866</w:t>
            </w:r>
          </w:p>
        </w:tc>
        <w:tc>
          <w:tcPr>
            <w:tcW w:w="2385" w:type="dxa"/>
            <w:noWrap/>
            <w:hideMark/>
          </w:tcPr>
          <w:p w14:paraId="5275FB9C" w14:textId="77777777" w:rsidR="00C21988" w:rsidRPr="001C78BF" w:rsidRDefault="00C21988" w:rsidP="00725326">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29.982.128</w:t>
            </w:r>
          </w:p>
        </w:tc>
      </w:tr>
      <w:tr w:rsidR="00C21988" w:rsidRPr="001C78BF" w14:paraId="1E593FBC"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hideMark/>
          </w:tcPr>
          <w:p w14:paraId="752CFFE4" w14:textId="77777777" w:rsidR="00C21988" w:rsidRPr="001C78BF" w:rsidRDefault="00C21988" w:rsidP="00725326">
            <w:pPr>
              <w:keepNext/>
              <w:spacing w:before="0" w:after="0" w:line="240" w:lineRule="auto"/>
              <w:rPr>
                <w:rFonts w:cstheme="minorHAnsi"/>
                <w:bCs w:val="0"/>
                <w:color w:val="000000"/>
                <w:sz w:val="20"/>
                <w:szCs w:val="20"/>
              </w:rPr>
            </w:pPr>
          </w:p>
        </w:tc>
        <w:tc>
          <w:tcPr>
            <w:tcW w:w="850" w:type="dxa"/>
            <w:noWrap/>
            <w:hideMark/>
          </w:tcPr>
          <w:p w14:paraId="5A61B42E" w14:textId="77777777" w:rsidR="00C21988" w:rsidRPr="001C78BF" w:rsidRDefault="00C21988" w:rsidP="00725326">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MWh</w:t>
            </w:r>
          </w:p>
        </w:tc>
        <w:tc>
          <w:tcPr>
            <w:tcW w:w="2144" w:type="dxa"/>
            <w:noWrap/>
            <w:hideMark/>
          </w:tcPr>
          <w:p w14:paraId="714A2758" w14:textId="77777777" w:rsidR="00C21988" w:rsidRPr="001C78BF" w:rsidRDefault="00C21988" w:rsidP="00725326">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5.086.907</w:t>
            </w:r>
          </w:p>
        </w:tc>
        <w:tc>
          <w:tcPr>
            <w:tcW w:w="2385" w:type="dxa"/>
            <w:noWrap/>
            <w:hideMark/>
          </w:tcPr>
          <w:p w14:paraId="44D4449E" w14:textId="77777777" w:rsidR="00C21988" w:rsidRPr="001C78BF" w:rsidRDefault="00C21988" w:rsidP="00725326">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8.328.369</w:t>
            </w:r>
          </w:p>
        </w:tc>
      </w:tr>
      <w:tr w:rsidR="00C21988" w:rsidRPr="001C78BF" w14:paraId="35E646DD"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noWrap/>
            <w:hideMark/>
          </w:tcPr>
          <w:p w14:paraId="60EEDD12"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Potrebni toplinski kapacitet (teorijski)</w:t>
            </w:r>
          </w:p>
        </w:tc>
        <w:tc>
          <w:tcPr>
            <w:tcW w:w="850" w:type="dxa"/>
            <w:noWrap/>
            <w:hideMark/>
          </w:tcPr>
          <w:p w14:paraId="46A3EA35"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w:t>
            </w:r>
            <w:r w:rsidRPr="001C78BF">
              <w:rPr>
                <w:rFonts w:cstheme="minorHAnsi"/>
                <w:bCs/>
                <w:color w:val="000000"/>
                <w:sz w:val="20"/>
                <w:szCs w:val="20"/>
                <w:vertAlign w:val="subscript"/>
              </w:rPr>
              <w:t>t</w:t>
            </w:r>
          </w:p>
        </w:tc>
        <w:tc>
          <w:tcPr>
            <w:tcW w:w="2144" w:type="dxa"/>
            <w:noWrap/>
            <w:hideMark/>
          </w:tcPr>
          <w:p w14:paraId="195CD7F6"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3.178</w:t>
            </w:r>
          </w:p>
        </w:tc>
        <w:tc>
          <w:tcPr>
            <w:tcW w:w="2385" w:type="dxa"/>
            <w:noWrap/>
            <w:hideMark/>
          </w:tcPr>
          <w:p w14:paraId="19D5B0A4"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5.262</w:t>
            </w:r>
          </w:p>
        </w:tc>
      </w:tr>
      <w:tr w:rsidR="00C21988" w:rsidRPr="001C78BF" w14:paraId="79B85A5F"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noWrap/>
            <w:hideMark/>
          </w:tcPr>
          <w:p w14:paraId="5E396A78"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Udio potrošača na CTS</w:t>
            </w:r>
            <w:r w:rsidRPr="001C78BF">
              <w:rPr>
                <w:rFonts w:cstheme="minorHAnsi"/>
                <w:color w:val="000000"/>
                <w:sz w:val="20"/>
                <w:szCs w:val="20"/>
              </w:rPr>
              <w:noBreakHyphen/>
              <w:t>u</w:t>
            </w:r>
          </w:p>
        </w:tc>
        <w:tc>
          <w:tcPr>
            <w:tcW w:w="850" w:type="dxa"/>
            <w:noWrap/>
            <w:hideMark/>
          </w:tcPr>
          <w:p w14:paraId="5BB663C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w:t>
            </w:r>
          </w:p>
        </w:tc>
        <w:tc>
          <w:tcPr>
            <w:tcW w:w="2144" w:type="dxa"/>
            <w:noWrap/>
            <w:hideMark/>
          </w:tcPr>
          <w:p w14:paraId="7F1F59A7"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30,1</w:t>
            </w:r>
          </w:p>
        </w:tc>
        <w:tc>
          <w:tcPr>
            <w:tcW w:w="2385" w:type="dxa"/>
            <w:noWrap/>
            <w:hideMark/>
          </w:tcPr>
          <w:p w14:paraId="70BF65FC"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55,0</w:t>
            </w:r>
          </w:p>
        </w:tc>
      </w:tr>
      <w:tr w:rsidR="00C21988" w:rsidRPr="001C78BF" w14:paraId="1AAE3356"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val="restart"/>
            <w:noWrap/>
            <w:hideMark/>
          </w:tcPr>
          <w:p w14:paraId="306FE905"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Ekvivalentni toplinski konzum</w:t>
            </w:r>
          </w:p>
        </w:tc>
        <w:tc>
          <w:tcPr>
            <w:tcW w:w="850" w:type="dxa"/>
            <w:noWrap/>
            <w:hideMark/>
          </w:tcPr>
          <w:p w14:paraId="504B3E0E"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GJ</w:t>
            </w:r>
          </w:p>
        </w:tc>
        <w:tc>
          <w:tcPr>
            <w:tcW w:w="2144" w:type="dxa"/>
            <w:noWrap/>
            <w:hideMark/>
          </w:tcPr>
          <w:p w14:paraId="719885BC"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5.506.528</w:t>
            </w:r>
          </w:p>
        </w:tc>
        <w:tc>
          <w:tcPr>
            <w:tcW w:w="2385" w:type="dxa"/>
            <w:noWrap/>
            <w:hideMark/>
          </w:tcPr>
          <w:p w14:paraId="034F77A9"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16.625.599</w:t>
            </w:r>
          </w:p>
        </w:tc>
      </w:tr>
      <w:tr w:rsidR="00C21988" w:rsidRPr="001C78BF" w14:paraId="04A62EDC"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hideMark/>
          </w:tcPr>
          <w:p w14:paraId="27F432C7" w14:textId="77777777" w:rsidR="00C21988" w:rsidRPr="001C78BF" w:rsidRDefault="00C21988" w:rsidP="00DF22F6">
            <w:pPr>
              <w:spacing w:before="0" w:after="0" w:line="240" w:lineRule="auto"/>
              <w:rPr>
                <w:rFonts w:cstheme="minorHAnsi"/>
                <w:bCs w:val="0"/>
                <w:color w:val="000000"/>
                <w:sz w:val="20"/>
                <w:szCs w:val="20"/>
              </w:rPr>
            </w:pPr>
          </w:p>
        </w:tc>
        <w:tc>
          <w:tcPr>
            <w:tcW w:w="850" w:type="dxa"/>
            <w:noWrap/>
            <w:hideMark/>
          </w:tcPr>
          <w:p w14:paraId="5E4CC02D"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MWh</w:t>
            </w:r>
          </w:p>
        </w:tc>
        <w:tc>
          <w:tcPr>
            <w:tcW w:w="2144" w:type="dxa"/>
            <w:noWrap/>
            <w:hideMark/>
          </w:tcPr>
          <w:p w14:paraId="41756DE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1.529.591</w:t>
            </w:r>
          </w:p>
        </w:tc>
        <w:tc>
          <w:tcPr>
            <w:tcW w:w="2385" w:type="dxa"/>
            <w:noWrap/>
            <w:hideMark/>
          </w:tcPr>
          <w:p w14:paraId="5106959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4.618.222</w:t>
            </w:r>
          </w:p>
        </w:tc>
      </w:tr>
      <w:tr w:rsidR="00C21988" w:rsidRPr="001C78BF" w14:paraId="2CCF86EF"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noWrap/>
            <w:hideMark/>
          </w:tcPr>
          <w:p w14:paraId="76604F56"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Ekvivalentni toplinski kapacitet</w:t>
            </w:r>
          </w:p>
        </w:tc>
        <w:tc>
          <w:tcPr>
            <w:tcW w:w="850" w:type="dxa"/>
            <w:noWrap/>
            <w:hideMark/>
          </w:tcPr>
          <w:p w14:paraId="67D096E4"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w:t>
            </w:r>
            <w:r w:rsidRPr="001C78BF">
              <w:rPr>
                <w:rFonts w:cstheme="minorHAnsi"/>
                <w:bCs/>
                <w:color w:val="000000"/>
                <w:sz w:val="20"/>
                <w:szCs w:val="20"/>
                <w:vertAlign w:val="subscript"/>
              </w:rPr>
              <w:t>t</w:t>
            </w:r>
          </w:p>
        </w:tc>
        <w:tc>
          <w:tcPr>
            <w:tcW w:w="2144" w:type="dxa"/>
            <w:noWrap/>
            <w:hideMark/>
          </w:tcPr>
          <w:p w14:paraId="4839A462"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956</w:t>
            </w:r>
          </w:p>
        </w:tc>
        <w:tc>
          <w:tcPr>
            <w:tcW w:w="2385" w:type="dxa"/>
            <w:noWrap/>
            <w:hideMark/>
          </w:tcPr>
          <w:p w14:paraId="66643198"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2.903</w:t>
            </w:r>
          </w:p>
        </w:tc>
      </w:tr>
      <w:tr w:rsidR="00C21988" w:rsidRPr="001C78BF" w14:paraId="3008A1E8"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val="restart"/>
            <w:noWrap/>
            <w:hideMark/>
          </w:tcPr>
          <w:p w14:paraId="30785C30" w14:textId="77777777" w:rsidR="00C21988" w:rsidRPr="001C78BF" w:rsidRDefault="00C21988" w:rsidP="00DF22F6">
            <w:pPr>
              <w:spacing w:before="0" w:after="0" w:line="240" w:lineRule="auto"/>
              <w:rPr>
                <w:rFonts w:cstheme="minorHAnsi"/>
                <w:bCs w:val="0"/>
                <w:color w:val="000000"/>
                <w:sz w:val="20"/>
                <w:szCs w:val="20"/>
              </w:rPr>
            </w:pPr>
            <w:r w:rsidRPr="001C78BF">
              <w:rPr>
                <w:rFonts w:cstheme="minorHAnsi"/>
                <w:color w:val="000000"/>
                <w:sz w:val="20"/>
                <w:szCs w:val="20"/>
              </w:rPr>
              <w:t>Potencijalno proizvedena električna energija</w:t>
            </w:r>
          </w:p>
        </w:tc>
        <w:tc>
          <w:tcPr>
            <w:tcW w:w="850" w:type="dxa"/>
            <w:noWrap/>
            <w:hideMark/>
          </w:tcPr>
          <w:p w14:paraId="14755D5B"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GJ</w:t>
            </w:r>
          </w:p>
        </w:tc>
        <w:tc>
          <w:tcPr>
            <w:tcW w:w="2144" w:type="dxa"/>
            <w:noWrap/>
            <w:hideMark/>
          </w:tcPr>
          <w:p w14:paraId="758B1D35"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8.653.115</w:t>
            </w:r>
          </w:p>
        </w:tc>
        <w:tc>
          <w:tcPr>
            <w:tcW w:w="2385" w:type="dxa"/>
            <w:noWrap/>
            <w:hideMark/>
          </w:tcPr>
          <w:p w14:paraId="74EC8073"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26.125.941</w:t>
            </w:r>
          </w:p>
        </w:tc>
      </w:tr>
      <w:tr w:rsidR="00C21988" w:rsidRPr="001C78BF" w14:paraId="5AB6344D" w14:textId="77777777" w:rsidTr="00BB735D">
        <w:trPr>
          <w:trHeight w:val="70"/>
        </w:trPr>
        <w:tc>
          <w:tcPr>
            <w:cnfStyle w:val="001000000000" w:firstRow="0" w:lastRow="0" w:firstColumn="1" w:lastColumn="0" w:oddVBand="0" w:evenVBand="0" w:oddHBand="0" w:evenHBand="0" w:firstRowFirstColumn="0" w:firstRowLastColumn="0" w:lastRowFirstColumn="0" w:lastRowLastColumn="0"/>
            <w:tcW w:w="3683" w:type="dxa"/>
            <w:vMerge/>
            <w:hideMark/>
          </w:tcPr>
          <w:p w14:paraId="56380AEF" w14:textId="77777777" w:rsidR="00C21988" w:rsidRPr="001C78BF" w:rsidRDefault="00C21988" w:rsidP="00DF22F6">
            <w:pPr>
              <w:spacing w:before="0" w:after="0" w:line="240" w:lineRule="auto"/>
              <w:rPr>
                <w:rFonts w:cstheme="minorHAnsi"/>
                <w:bCs w:val="0"/>
                <w:color w:val="000000"/>
                <w:sz w:val="20"/>
                <w:szCs w:val="20"/>
              </w:rPr>
            </w:pPr>
          </w:p>
        </w:tc>
        <w:tc>
          <w:tcPr>
            <w:tcW w:w="850" w:type="dxa"/>
            <w:noWrap/>
            <w:hideMark/>
          </w:tcPr>
          <w:p w14:paraId="3F0861DE"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sz w:val="20"/>
                <w:szCs w:val="20"/>
              </w:rPr>
            </w:pPr>
            <w:r w:rsidRPr="001C78BF">
              <w:rPr>
                <w:rFonts w:cstheme="minorHAnsi"/>
                <w:bCs/>
                <w:color w:val="000000"/>
                <w:sz w:val="20"/>
                <w:szCs w:val="20"/>
              </w:rPr>
              <w:t>MWh</w:t>
            </w:r>
          </w:p>
        </w:tc>
        <w:tc>
          <w:tcPr>
            <w:tcW w:w="2144" w:type="dxa"/>
            <w:noWrap/>
            <w:hideMark/>
          </w:tcPr>
          <w:p w14:paraId="3F9F62D5"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2.403.643</w:t>
            </w:r>
          </w:p>
        </w:tc>
        <w:tc>
          <w:tcPr>
            <w:tcW w:w="2385" w:type="dxa"/>
            <w:noWrap/>
            <w:hideMark/>
          </w:tcPr>
          <w:p w14:paraId="609F4F68" w14:textId="77777777" w:rsidR="00C21988" w:rsidRPr="001C78BF" w:rsidRDefault="00C21988" w:rsidP="00DF22F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1C78BF">
              <w:rPr>
                <w:rFonts w:cstheme="minorHAnsi"/>
                <w:color w:val="000000"/>
                <w:sz w:val="20"/>
                <w:szCs w:val="20"/>
              </w:rPr>
              <w:t>7.257.206</w:t>
            </w:r>
          </w:p>
        </w:tc>
      </w:tr>
    </w:tbl>
    <w:p w14:paraId="1B0160EA" w14:textId="52904069" w:rsidR="00C21988" w:rsidRPr="0032353C" w:rsidRDefault="00C21988" w:rsidP="00C21988">
      <w:pPr>
        <w:spacing w:before="120"/>
        <w:ind w:left="360"/>
        <w:jc w:val="center"/>
        <w:rPr>
          <w:i/>
          <w:sz w:val="20"/>
        </w:rPr>
      </w:pPr>
      <w:r w:rsidRPr="0032353C">
        <w:rPr>
          <w:i/>
          <w:sz w:val="20"/>
        </w:rPr>
        <w:t>Izvor:</w:t>
      </w:r>
      <w:r w:rsidRPr="008A09AC">
        <w:t xml:space="preserve"> </w:t>
      </w:r>
      <w:r w:rsidRPr="0032353C">
        <w:rPr>
          <w:i/>
          <w:sz w:val="20"/>
        </w:rPr>
        <w:t xml:space="preserve">Program korištenja potencijala za učinkovitost u grijanju i hlađenju za razdoblje 2016. – 2030., Ministarstvo gospodarstva, studeni 2015. </w:t>
      </w:r>
    </w:p>
    <w:p w14:paraId="7EC81CC3" w14:textId="77777777" w:rsidR="00317CA9" w:rsidRPr="00491DE8" w:rsidRDefault="00317CA9" w:rsidP="00840E2E">
      <w:pPr>
        <w:pStyle w:val="Heading3"/>
        <w:numPr>
          <w:ilvl w:val="0"/>
          <w:numId w:val="80"/>
        </w:numPr>
      </w:pPr>
      <w:r w:rsidRPr="00491DE8">
        <w:t xml:space="preserve">Projekcije koje u obzir uzimaju postojeće politike, mjere i programe energetske učinkovitosti, kako su opisani pod točkom 1.2. podtočkom ii., za potrošnju primarne energije i krajnju potrošnju energije za svaki sektor barem do 2040. (uključujući projekcije za 2030.) </w:t>
      </w:r>
    </w:p>
    <w:p w14:paraId="3EBE7433" w14:textId="2C3256AA" w:rsidR="00C21988" w:rsidRPr="00BB198B" w:rsidRDefault="00581242" w:rsidP="00C21988">
      <w:r w:rsidRPr="00BB198B">
        <w:t>Projekcije primarne i neposredne potrošnje energije u razdoblju od 2020. do 2040. godine</w:t>
      </w:r>
      <w:r w:rsidR="00A26973" w:rsidRPr="00BB198B">
        <w:t xml:space="preserve"> koje uzimaju u obzir samo postojeće politike, mjere i programe energetske učinkovitosti prikazuje</w:t>
      </w:r>
      <w:r w:rsidR="00BB198B" w:rsidRPr="00BB198B">
        <w:t xml:space="preserve"> </w:t>
      </w:r>
      <w:r w:rsidR="00BB198B" w:rsidRPr="00BB198B">
        <w:fldChar w:fldCharType="begin"/>
      </w:r>
      <w:r w:rsidR="00BB198B" w:rsidRPr="00BB198B">
        <w:instrText xml:space="preserve"> REF _Ref531266751 \h </w:instrText>
      </w:r>
      <w:r w:rsidR="00BB198B">
        <w:instrText xml:space="preserve"> \* MERGEFORMAT </w:instrText>
      </w:r>
      <w:r w:rsidR="00BB198B" w:rsidRPr="00BB198B">
        <w:fldChar w:fldCharType="separate"/>
      </w:r>
      <w:r w:rsidR="00154150" w:rsidRPr="00976062">
        <w:t xml:space="preserve">Slika </w:t>
      </w:r>
      <w:r w:rsidR="00154150">
        <w:rPr>
          <w:noProof/>
        </w:rPr>
        <w:t>4</w:t>
      </w:r>
      <w:r w:rsidR="00154150">
        <w:rPr>
          <w:noProof/>
        </w:rPr>
        <w:noBreakHyphen/>
        <w:t>15</w:t>
      </w:r>
      <w:r w:rsidR="00BB198B" w:rsidRPr="00BB198B">
        <w:fldChar w:fldCharType="end"/>
      </w:r>
      <w:r w:rsidR="00BB198B" w:rsidRPr="00BB198B">
        <w:t>.</w:t>
      </w:r>
      <w:r w:rsidR="00A26973" w:rsidRPr="00BB198B">
        <w:t xml:space="preserve"> </w:t>
      </w:r>
    </w:p>
    <w:p w14:paraId="3A189163" w14:textId="57EFF069" w:rsidR="00F65963" w:rsidRPr="00F65963" w:rsidRDefault="003B6E78" w:rsidP="00286B4C">
      <w:pPr>
        <w:jc w:val="center"/>
      </w:pPr>
      <w:r w:rsidRPr="003B6E78">
        <w:rPr>
          <w:noProof/>
        </w:rPr>
        <w:drawing>
          <wp:inline distT="0" distB="0" distL="0" distR="0" wp14:anchorId="09276205" wp14:editId="09C10EB5">
            <wp:extent cx="5223052" cy="2950708"/>
            <wp:effectExtent l="0" t="0" r="0" b="254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5873" cy="2957951"/>
                    </a:xfrm>
                    <a:prstGeom prst="rect">
                      <a:avLst/>
                    </a:prstGeom>
                    <a:noFill/>
                    <a:ln>
                      <a:noFill/>
                    </a:ln>
                  </pic:spPr>
                </pic:pic>
              </a:graphicData>
            </a:graphic>
          </wp:inline>
        </w:drawing>
      </w:r>
    </w:p>
    <w:p w14:paraId="62CEDC85" w14:textId="22337760" w:rsidR="00A26973" w:rsidRDefault="00A26973" w:rsidP="00A26973">
      <w:pPr>
        <w:pStyle w:val="Caption"/>
      </w:pPr>
      <w:bookmarkStart w:id="500" w:name="_Ref531266751"/>
      <w:bookmarkStart w:id="501" w:name="_Toc27396167"/>
      <w:r w:rsidRPr="00976062">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15</w:t>
      </w:r>
      <w:r w:rsidR="005A7E31">
        <w:rPr>
          <w:noProof/>
        </w:rPr>
        <w:fldChar w:fldCharType="end"/>
      </w:r>
      <w:bookmarkEnd w:id="500"/>
      <w:r w:rsidR="00F458D6">
        <w:t>.</w:t>
      </w:r>
      <w:r w:rsidRPr="00976062">
        <w:t xml:space="preserve"> </w:t>
      </w:r>
      <w:r w:rsidR="00976071" w:rsidRPr="00976062">
        <w:t>Projekcija potrošnje energije do 2040. godine uz postojeće politike, mjere i programe energetske učinkovitosti</w:t>
      </w:r>
      <w:bookmarkEnd w:id="501"/>
    </w:p>
    <w:p w14:paraId="32D4CD6C" w14:textId="3303B1C4" w:rsidR="00B35C56" w:rsidRDefault="00B35C56" w:rsidP="00FE6FC9">
      <w:pPr>
        <w:pStyle w:val="Caption"/>
      </w:pPr>
      <w:bookmarkStart w:id="502" w:name="_Ref531267020"/>
    </w:p>
    <w:bookmarkEnd w:id="502"/>
    <w:p w14:paraId="094084A8" w14:textId="77777777" w:rsidR="00963BB1" w:rsidRPr="00491DE8" w:rsidRDefault="00963BB1" w:rsidP="00840E2E">
      <w:pPr>
        <w:pStyle w:val="Heading3"/>
        <w:numPr>
          <w:ilvl w:val="0"/>
          <w:numId w:val="80"/>
        </w:numPr>
      </w:pPr>
      <w:r w:rsidRPr="00491DE8">
        <w:t>Troškovno učinkovite razine minimalnih zahtjeva u pogledu energetske učinkovitosti proizašle iz nacionalnih izračuna, u skladu s člankom 5. Direktive 2010/31/EU</w:t>
      </w:r>
    </w:p>
    <w:p w14:paraId="0DF1FBE2" w14:textId="5594C48F" w:rsidR="00C21988" w:rsidRPr="000B2010" w:rsidRDefault="001D6899" w:rsidP="000B2010">
      <w:pPr>
        <w:rPr>
          <w:rFonts w:cstheme="minorHAnsi"/>
        </w:rPr>
      </w:pPr>
      <w:r w:rsidRPr="001D6899">
        <w:rPr>
          <w:rFonts w:cstheme="minorHAnsi"/>
        </w:rPr>
        <w:t>Minimalni zahtjevi za energetsko svojstvo zgrada određeni su troškovno optimalnom metodom prema članku 5. Direktive 2010/31/EU o ene</w:t>
      </w:r>
      <w:r w:rsidR="00994719">
        <w:rPr>
          <w:rFonts w:cstheme="minorHAnsi"/>
        </w:rPr>
        <w:t>r</w:t>
      </w:r>
      <w:r w:rsidRPr="001D6899">
        <w:rPr>
          <w:rFonts w:cstheme="minorHAnsi"/>
        </w:rPr>
        <w:t>getskim svojstvima zgrada u 2013. i 2014. godini, za stambene zgrade (jednoobiteljske i višestambene) te nestambene zgrade (uredske zgrade, zgrade za obrazovanje, zgrade za maloprodaju i veleprodaju</w:t>
      </w:r>
      <w:r w:rsidR="00994719">
        <w:rPr>
          <w:rFonts w:cstheme="minorHAnsi"/>
        </w:rPr>
        <w:t>,</w:t>
      </w:r>
      <w:r w:rsidRPr="001D6899">
        <w:rPr>
          <w:rFonts w:cstheme="minorHAnsi"/>
        </w:rPr>
        <w:t xml:space="preserve"> bolnice, hotele i restorane te dvorane)</w:t>
      </w:r>
      <w:r w:rsidR="00E94170">
        <w:rPr>
          <w:rStyle w:val="FootnoteReference"/>
          <w:rFonts w:cstheme="minorHAnsi"/>
        </w:rPr>
        <w:footnoteReference w:id="18"/>
      </w:r>
      <w:r w:rsidRPr="001D6899">
        <w:rPr>
          <w:rFonts w:cstheme="minorHAnsi"/>
        </w:rPr>
        <w:t>. Energetsko svojstvo je određeno kroz maksimalnu dozvoljenu primarnu energiju za zgrade, uz korištenje niza dodatnih p</w:t>
      </w:r>
      <w:r w:rsidR="00994719">
        <w:rPr>
          <w:rFonts w:cstheme="minorHAnsi"/>
        </w:rPr>
        <w:t>a</w:t>
      </w:r>
      <w:r w:rsidRPr="001D6899">
        <w:rPr>
          <w:rFonts w:cstheme="minorHAnsi"/>
        </w:rPr>
        <w:t>rametara kojima se preciznije uređuje ponašanje zgrade (potrebna energija, koeficij</w:t>
      </w:r>
      <w:r w:rsidR="00015E53">
        <w:rPr>
          <w:rFonts w:cstheme="minorHAnsi"/>
        </w:rPr>
        <w:t>e</w:t>
      </w:r>
      <w:r w:rsidRPr="001D6899">
        <w:rPr>
          <w:rFonts w:cstheme="minorHAnsi"/>
        </w:rPr>
        <w:t xml:space="preserve">nti prolaska topline vanjske ovojnice, udio obnovljivih izvora energije, stupanj djelovanja tehničkih sustava zgrada i drugi). </w:t>
      </w:r>
      <w:r w:rsidR="00DD1DDC">
        <w:rPr>
          <w:rFonts w:cstheme="minorHAnsi"/>
        </w:rPr>
        <w:t>Tijekom</w:t>
      </w:r>
      <w:r w:rsidRPr="001D6899">
        <w:rPr>
          <w:rFonts w:cstheme="minorHAnsi"/>
        </w:rPr>
        <w:t xml:space="preserve"> 2018. godine započet je novi ciklus troškovne optimizacije minimalnih zahtjeva na energetsko svojstvo zgrada korištenjem dinamičke metode proračuna energetskog svojstva zgrada, te usporedbom vrijednosti s nacionalnim algoritmom za proračun energetskog svojstva zgrada kako bi se zahtjevi uskladili s promjenama na tržištu i novim dostupnim tehnologijama, te doradila metoda proračuna i utvrđivanja energetskog svojstva zgrada. Rezultati ovog ciklusa optimizacije bi trebali biti dostupni i implementirani u regulativu do kraja 2019. godine, uključujući i određivanje jaza u odnosu na trenutne zahtjeve i mjere za premošćenje tog jaza.</w:t>
      </w:r>
      <w:r w:rsidRPr="000B2010">
        <w:rPr>
          <w:rFonts w:cstheme="minorHAnsi"/>
        </w:rPr>
        <w:t xml:space="preserve"> </w:t>
      </w:r>
    </w:p>
    <w:p w14:paraId="1758BB7C" w14:textId="3D3267F6" w:rsidR="00C21988" w:rsidRDefault="004E40FF" w:rsidP="00C21988">
      <w:pPr>
        <w:pStyle w:val="Heading2"/>
      </w:pPr>
      <w:bookmarkStart w:id="503" w:name="_Toc531935262"/>
      <w:bookmarkStart w:id="504" w:name="_Toc531945124"/>
      <w:bookmarkStart w:id="505" w:name="_Toc6302382"/>
      <w:bookmarkStart w:id="506" w:name="_Toc27396119"/>
      <w:r>
        <w:t>4.4</w:t>
      </w:r>
      <w:r>
        <w:tab/>
      </w:r>
      <w:r w:rsidR="00C21988">
        <w:t>Dimenzija: energetska sigurnost</w:t>
      </w:r>
      <w:bookmarkEnd w:id="503"/>
      <w:bookmarkEnd w:id="504"/>
      <w:bookmarkEnd w:id="505"/>
      <w:bookmarkEnd w:id="506"/>
      <w:r w:rsidR="00C21988">
        <w:t xml:space="preserve"> </w:t>
      </w:r>
    </w:p>
    <w:p w14:paraId="35AA902A" w14:textId="4CD50C41" w:rsidR="006B3979" w:rsidRPr="00491DE8" w:rsidRDefault="00C97221" w:rsidP="00840E2E">
      <w:pPr>
        <w:pStyle w:val="Heading3"/>
        <w:numPr>
          <w:ilvl w:val="0"/>
          <w:numId w:val="81"/>
        </w:numPr>
      </w:pPr>
      <w:r w:rsidRPr="00C97221">
        <w:t>Trenutačna mješavina energetskih izvora, domaći izvori energije, ovisnost o uvezenoj energiji, uključujući relevantne rizike</w:t>
      </w:r>
    </w:p>
    <w:p w14:paraId="5D8B95D1" w14:textId="44565AB1" w:rsidR="00F26D0A" w:rsidRPr="00725326" w:rsidRDefault="00F26D0A" w:rsidP="00F26D0A">
      <w:pPr>
        <w:rPr>
          <w:u w:val="single"/>
        </w:rPr>
      </w:pPr>
      <w:r w:rsidRPr="00725326">
        <w:rPr>
          <w:u w:val="single"/>
        </w:rPr>
        <w:t>Elektroenergetski sustav</w:t>
      </w:r>
    </w:p>
    <w:p w14:paraId="23205BBE" w14:textId="4612E297" w:rsidR="00F26D0A" w:rsidRPr="00D9022F" w:rsidRDefault="00F26D0A" w:rsidP="00F26D0A">
      <w:r>
        <w:t>O</w:t>
      </w:r>
      <w:r w:rsidRPr="00D9022F">
        <w:t>dgovornost za pokrivanje bilance EES RH, odnosno osiguravanj</w:t>
      </w:r>
      <w:r>
        <w:t>e</w:t>
      </w:r>
      <w:r w:rsidRPr="00D9022F">
        <w:t xml:space="preserve"> dostatnih količina električne energije, leži na nekoliko subjekata i to:</w:t>
      </w:r>
    </w:p>
    <w:p w14:paraId="2B6C50A1" w14:textId="7212C3CD" w:rsidR="00F26D0A" w:rsidRPr="00D9022F" w:rsidRDefault="00F26D0A" w:rsidP="00840E2E">
      <w:pPr>
        <w:pStyle w:val="ListParagraph"/>
        <w:numPr>
          <w:ilvl w:val="0"/>
          <w:numId w:val="35"/>
        </w:numPr>
      </w:pPr>
      <w:r w:rsidRPr="00D9022F">
        <w:t>Opskrbljivačima koji su dužni podmiriti svoje ugovorne obveze s kupcima, posebno HEP-Opskrbi kao najvećem komercijalnom opskrbljivaču i HEP</w:t>
      </w:r>
      <w:r w:rsidR="00110C9D">
        <w:t>-</w:t>
      </w:r>
      <w:r w:rsidRPr="00D9022F">
        <w:t>Elektri kao univerzalnom i zajamčenom opskrbljivaču</w:t>
      </w:r>
      <w:r>
        <w:t>,</w:t>
      </w:r>
    </w:p>
    <w:p w14:paraId="755E0AB3" w14:textId="77777777" w:rsidR="00F26D0A" w:rsidRPr="00D9022F" w:rsidRDefault="00F26D0A" w:rsidP="00840E2E">
      <w:pPr>
        <w:pStyle w:val="ListParagraph"/>
        <w:numPr>
          <w:ilvl w:val="0"/>
          <w:numId w:val="35"/>
        </w:numPr>
      </w:pPr>
      <w:r w:rsidRPr="00D9022F">
        <w:t>HEP-ODS-u za nabavu električne energije potrebne za pokrivanje gubitaka u distribucijskoj mreži</w:t>
      </w:r>
      <w:r>
        <w:t>,</w:t>
      </w:r>
    </w:p>
    <w:p w14:paraId="33CD698B" w14:textId="77777777" w:rsidR="00F26D0A" w:rsidRPr="00D9022F" w:rsidRDefault="00F26D0A" w:rsidP="00840E2E">
      <w:pPr>
        <w:pStyle w:val="ListParagraph"/>
        <w:numPr>
          <w:ilvl w:val="0"/>
          <w:numId w:val="35"/>
        </w:numPr>
      </w:pPr>
      <w:r w:rsidRPr="00D9022F">
        <w:t>HOPS-u za nabavu električne energije potrebne za pokrivanje gubitaka u prijenosnoj mreži i tehnički dio poslova vezanih uz nabavu električne energije za uravnoteženje sustava.</w:t>
      </w:r>
    </w:p>
    <w:p w14:paraId="6A56BE5A" w14:textId="214F294D" w:rsidR="00F26D0A" w:rsidRPr="00D9022F" w:rsidRDefault="00F26D0A" w:rsidP="00F26D0A">
      <w:r w:rsidRPr="00D9022F">
        <w:t xml:space="preserve">Najznačajnija odgovornost HOPS-a po pitanju sigurnosti opskrbe i dostatnosti sustava je održavanje visoke razine raspoloživosti prijenosne mreže, odnosno posebno interkonektivnih vodova, te </w:t>
      </w:r>
      <w:r>
        <w:t>održavanje/</w:t>
      </w:r>
      <w:r w:rsidRPr="00D9022F">
        <w:t xml:space="preserve">podizanje vrijednosti </w:t>
      </w:r>
      <w:r w:rsidRPr="00A824B2">
        <w:t>neto prijenosnog kapaciteta (engl. Net Transfer Capacity</w:t>
      </w:r>
      <w:r>
        <w:t xml:space="preserve">, </w:t>
      </w:r>
      <w:r w:rsidRPr="00A824B2">
        <w:t>NTC</w:t>
      </w:r>
      <w:r>
        <w:t xml:space="preserve"> - dozvoljenih programiranih prekograničnih razmjena)</w:t>
      </w:r>
      <w:r w:rsidRPr="00D9022F">
        <w:t xml:space="preserve"> na pojedinim granicama kako bi se tehnički omogućio uvoz nedostajućih količina električne energije </w:t>
      </w:r>
      <w:r>
        <w:t>u EES RH</w:t>
      </w:r>
      <w:r w:rsidR="005820F3">
        <w:t xml:space="preserve"> i razmjena sa susjedima</w:t>
      </w:r>
      <w:r>
        <w:t>, pri čemu je v</w:t>
      </w:r>
      <w:r w:rsidRPr="00D9022F">
        <w:t>ažno naglasiti da mogućnost uvoza energije u hrvatski EES ne ovisi samo o HOPS-u</w:t>
      </w:r>
      <w:r>
        <w:t>,</w:t>
      </w:r>
      <w:r w:rsidRPr="00D9022F">
        <w:t xml:space="preserve"> već i o drugim operatorima sustava.</w:t>
      </w:r>
      <w:r>
        <w:t xml:space="preserve"> Raspoloživi NTC</w:t>
      </w:r>
      <w:r w:rsidRPr="00D9022F">
        <w:t xml:space="preserve"> mogu </w:t>
      </w:r>
      <w:r>
        <w:t>koristiti svi tržišni sudionici, a</w:t>
      </w:r>
      <w:r w:rsidRPr="00D9022F">
        <w:t xml:space="preserve"> ne samo oni koji uvoze energiju u hrvatski EES.</w:t>
      </w:r>
    </w:p>
    <w:p w14:paraId="1CD18021" w14:textId="77777777" w:rsidR="00F26D0A" w:rsidRPr="00D9022F" w:rsidRDefault="00F26D0A" w:rsidP="00F26D0A">
      <w:r>
        <w:t xml:space="preserve">U cilju ocjene dostatnosti formirane su referentne elektroenergetske bilance EES u razdoblju 2018. – 2022. godine, te bilance snage za sate nastanka zimskog i ljetnog maksimuma opterećenja. </w:t>
      </w:r>
      <w:r w:rsidRPr="00D9022F">
        <w:t xml:space="preserve">Ocijenjeno je da će u referentnom scenariju biti potrebno uvoziti na godišnjoj razini električnu energiju iznosa od oko 7,4 </w:t>
      </w:r>
      <w:r>
        <w:t>TWh (pri normalnoj hidrološkoj godini)</w:t>
      </w:r>
      <w:r w:rsidRPr="00D9022F">
        <w:t xml:space="preserve">, a izuzetno će u slučaju nastanka jednog nepovoljnog događaja (bilo koji događaj koji dovodi do smanjenih mogućnosti domaće </w:t>
      </w:r>
      <w:r>
        <w:t>proizvodnje električne energije</w:t>
      </w:r>
      <w:r w:rsidRPr="00D9022F">
        <w:t xml:space="preserve"> ili do povećanih potreba za električnom energijom) uvoz porasti do 9,3 GWh. U satima nastanka zimskog i ljetnog maksimuma opterećenja uvoz se u referentnom scenariju predviđa na najveći iznos od 1.176 MWh/h (zima), odnosno do 1.638 MWh/h (ljeto), a u slučaju nastanka jednog nepovoljnog događaja te bi vrijednosti porasle do 1.561 MWh/h (zima) i 1.983 MWh/h (ljeto). U slučaju međusobnih kombinacija do tri nepovoljna događaja, odnosno u ekstremnim situacijama, uvoz bi mogao narasti do 11,6 TWh na godišnjoj razini, odnosno do 2.001 MWh/h (zima) i 2.388 MWh/h (ljeto) na satnim razinama.</w:t>
      </w:r>
    </w:p>
    <w:p w14:paraId="2C2D2803" w14:textId="77777777" w:rsidR="00F26D0A" w:rsidRPr="00D9022F" w:rsidRDefault="00F26D0A" w:rsidP="00F26D0A">
      <w:r>
        <w:t xml:space="preserve">Kako </w:t>
      </w:r>
      <w:r w:rsidRPr="00D9022F">
        <w:t>u zemljama bližeg i nešto daljeg okruženja ima dovoljno proizvodnih postrojenja prema podacima ENTSO-E, te s obzirom na postojeću zadovoljavajuću likvidnost burzi električne energije u okruženju, preliminarno se može ocijeniti da će nedostajuće količine električne energije biti nužno nabaviti u idućem razdoblju preko t</w:t>
      </w:r>
      <w:r>
        <w:t>ržišnih transakcija, pri čemu su</w:t>
      </w:r>
      <w:r w:rsidRPr="00D9022F">
        <w:t xml:space="preserve"> postojeće vrijednosti NTC na granicama dovoljno visoke da podrže previđene razine uvoza,</w:t>
      </w:r>
      <w:r>
        <w:t xml:space="preserve"> </w:t>
      </w:r>
      <w:r w:rsidRPr="00D9022F">
        <w:t>te se zadržavanje NTC-a na visokim razinama nameće kao preduvjet za siguran pogon hrvatskog EES.</w:t>
      </w:r>
    </w:p>
    <w:p w14:paraId="2C19745E" w14:textId="77777777" w:rsidR="00785F90" w:rsidRDefault="00F26D0A" w:rsidP="00223709">
      <w:r w:rsidRPr="00D9022F">
        <w:t>Izuzetak od prethodno navedenog zaključka može nastati jed</w:t>
      </w:r>
      <w:r>
        <w:t>i</w:t>
      </w:r>
      <w:r w:rsidRPr="00D9022F">
        <w:t>no u slučaju pojave iznimno</w:t>
      </w:r>
      <w:r>
        <w:t xml:space="preserve"> </w:t>
      </w:r>
      <w:r w:rsidRPr="00D9022F">
        <w:t>velike krize na širem europskom području kada bi zbog istodobnog ugrožavanja dostatnosti EES u više zemalja bila ograničena mogućnost nabave električne energije iz uvoza. Takav se scenarij do sada nije dogodio</w:t>
      </w:r>
      <w:r>
        <w:t>,</w:t>
      </w:r>
      <w:r w:rsidRPr="00D9022F">
        <w:t xml:space="preserve"> ali određena, iako niska, vjerojatnost takvog događaja ili grupe simultanih nepovoljnih događaja ne smije se zanemariti. Prema dosadašnjem stanju na burzama električne energije moguće je očekivati povremena razdoblja izuzetno visokih cijena električne energije (&gt;100 €/MWh) bilo radi povećane potrošnje (na primjer u slučaju vrlo hladnih vremenskih prilika), bilo radi privremene neraspoloživosti proizvodnih postrojenja (kvarovi, havarije), odnosno njihovih smanjenih mogućnosti proizvodnje (mirno vrijeme bez sunca i vjetra, eventualna ograničenja u opskrbi plinom i slično).</w:t>
      </w:r>
      <w:r w:rsidR="00785F90">
        <w:t xml:space="preserve"> U skladu sa zahtjevima ENTSO-e i Mrežnim pravilima hrvatskog prijenosnog sustava Hrvatski operator prijenosnog sustava je donio </w:t>
      </w:r>
      <w:r w:rsidR="00785F90" w:rsidRPr="00223709">
        <w:t>Plan obrane elektroenergetskog sustava od velikih poremećaja.</w:t>
      </w:r>
      <w:r w:rsidR="00785F90" w:rsidRPr="447AFC27">
        <w:t xml:space="preserve"> </w:t>
      </w:r>
      <w:r w:rsidR="00785F90">
        <w:t xml:space="preserve">To je </w:t>
      </w:r>
      <w:r w:rsidR="00785F90" w:rsidRPr="447AFC27">
        <w:t xml:space="preserve">dokument </w:t>
      </w:r>
      <w:r w:rsidR="00785F90" w:rsidRPr="001226CA">
        <w:t xml:space="preserve">s </w:t>
      </w:r>
      <w:r w:rsidR="00785F90">
        <w:t xml:space="preserve">konkretnim </w:t>
      </w:r>
      <w:r w:rsidR="00785F90" w:rsidRPr="001226CA">
        <w:t>tehničkim i organizacijskim mjerama koje treba poduzeti da se sustav iz stanja poremećenog pogona ili raspada sustava ponovno vrati u normalni pogon</w:t>
      </w:r>
      <w:r w:rsidR="00785F90">
        <w:t>, a ukupno obuhvaća:</w:t>
      </w:r>
    </w:p>
    <w:p w14:paraId="6792102A"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način objave velikog poremećaja,</w:t>
      </w:r>
    </w:p>
    <w:p w14:paraId="6983092D"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način aktiviranja plana obrane od velikog poremećaja,</w:t>
      </w:r>
    </w:p>
    <w:p w14:paraId="6303EF18"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mjere i postupke obrane elektroenergetskog sustava od velikih poremećaja,</w:t>
      </w:r>
    </w:p>
    <w:p w14:paraId="28F84D34"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plan podfrekvencijskog rasterećenja elektroenergetskog sustava,</w:t>
      </w:r>
    </w:p>
    <w:p w14:paraId="58B6836E"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plan ograničenja potrošnje električne energije i hitnog rasterećenja elektroenergetskog sustava,</w:t>
      </w:r>
    </w:p>
    <w:p w14:paraId="6CDCEDFF"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plan ponovne uspostave elektroenergetskog sustava,</w:t>
      </w:r>
    </w:p>
    <w:p w14:paraId="72A34413"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izdavanje uputa ovlaštenicima korisnika prijenosne mreže i ovlašteniku operatora distribucijskog sustava,</w:t>
      </w:r>
    </w:p>
    <w:p w14:paraId="7C77713A"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obavještavanje operatora susjednih prijenosnih sustava,</w:t>
      </w:r>
    </w:p>
    <w:p w14:paraId="0D3FC6AB"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međusobno izvješćivanje i komunikaciju s operatorima susjednih prijenosnih sustava, ovlaštenicima korisnika prijenosne mreže i ovlaštenikom operatora distribucijske mreže,</w:t>
      </w:r>
    </w:p>
    <w:p w14:paraId="62B546B1"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smjernice za djelovanje radi ponovne uspostave napajanja,</w:t>
      </w:r>
    </w:p>
    <w:p w14:paraId="5F65D375"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upućivanje na radne procedure,</w:t>
      </w:r>
    </w:p>
    <w:p w14:paraId="606E2391"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izvještavanje o velikom poremećaju i</w:t>
      </w:r>
    </w:p>
    <w:p w14:paraId="7C575960" w14:textId="77777777" w:rsidR="00785F90" w:rsidRPr="00223709" w:rsidRDefault="00785F90" w:rsidP="00840E2E">
      <w:pPr>
        <w:pStyle w:val="NormalWeb"/>
        <w:numPr>
          <w:ilvl w:val="1"/>
          <w:numId w:val="51"/>
        </w:numPr>
        <w:spacing w:before="0" w:beforeAutospacing="0" w:after="0" w:afterAutospacing="0"/>
        <w:ind w:left="851"/>
        <w:jc w:val="both"/>
        <w:rPr>
          <w:rFonts w:ascii="Arial" w:eastAsiaTheme="minorHAnsi" w:hAnsi="Arial" w:cs="Arial"/>
          <w:sz w:val="22"/>
          <w:szCs w:val="22"/>
          <w:lang w:eastAsia="en-US"/>
        </w:rPr>
      </w:pPr>
      <w:r w:rsidRPr="00223709">
        <w:rPr>
          <w:rFonts w:ascii="Arial" w:eastAsiaTheme="minorHAnsi" w:hAnsi="Arial" w:cs="Arial"/>
          <w:sz w:val="22"/>
          <w:szCs w:val="22"/>
          <w:lang w:eastAsia="en-US"/>
        </w:rPr>
        <w:t>analizu velikog poremećaja.</w:t>
      </w:r>
    </w:p>
    <w:p w14:paraId="4D8AFA34" w14:textId="12E47797" w:rsidR="0067220B" w:rsidRPr="00491DE8" w:rsidRDefault="0067220B" w:rsidP="00840E2E">
      <w:pPr>
        <w:pStyle w:val="Heading3"/>
        <w:numPr>
          <w:ilvl w:val="0"/>
          <w:numId w:val="81"/>
        </w:numPr>
      </w:pPr>
      <w:r w:rsidRPr="0067220B">
        <w:t>Projekcije kretanja uz postojeće politike i mjere barem do 2040. (uključujući projekcije za 2030.)</w:t>
      </w:r>
    </w:p>
    <w:p w14:paraId="22250EFA" w14:textId="78C51607" w:rsidR="0047554F" w:rsidRDefault="004C6FC2" w:rsidP="0047554F">
      <w:r>
        <w:t>S</w:t>
      </w:r>
      <w:r w:rsidR="0047554F">
        <w:t>truktur</w:t>
      </w:r>
      <w:r w:rsidR="005831AD">
        <w:t>u</w:t>
      </w:r>
      <w:r w:rsidR="0047554F">
        <w:t xml:space="preserve"> i </w:t>
      </w:r>
      <w:r w:rsidR="005831AD">
        <w:t xml:space="preserve">očekivanu proizvodnju </w:t>
      </w:r>
      <w:r w:rsidR="0047554F">
        <w:t>primarne energije za Scenarij s postojećim mjerama prikaz</w:t>
      </w:r>
      <w:r w:rsidR="005831AD">
        <w:t xml:space="preserve">uju </w:t>
      </w:r>
      <w:r w:rsidR="005831AD">
        <w:fldChar w:fldCharType="begin"/>
      </w:r>
      <w:r w:rsidR="005831AD">
        <w:instrText xml:space="preserve"> REF _Ref11062612 \h </w:instrText>
      </w:r>
      <w:r w:rsidR="005831AD">
        <w:fldChar w:fldCharType="separate"/>
      </w:r>
      <w:r w:rsidR="00154150">
        <w:t xml:space="preserve">Tablica </w:t>
      </w:r>
      <w:r w:rsidR="00154150">
        <w:rPr>
          <w:noProof/>
        </w:rPr>
        <w:t>4</w:t>
      </w:r>
      <w:r w:rsidR="00154150">
        <w:t>–</w:t>
      </w:r>
      <w:r w:rsidR="00154150">
        <w:rPr>
          <w:noProof/>
        </w:rPr>
        <w:t>14</w:t>
      </w:r>
      <w:r w:rsidR="00154150">
        <w:t xml:space="preserve">. </w:t>
      </w:r>
      <w:r w:rsidR="005831AD">
        <w:fldChar w:fldCharType="end"/>
      </w:r>
      <w:r w:rsidR="0047554F">
        <w:t xml:space="preserve"> i </w:t>
      </w:r>
      <w:r w:rsidR="005831AD">
        <w:fldChar w:fldCharType="begin"/>
      </w:r>
      <w:r w:rsidR="005831AD">
        <w:instrText xml:space="preserve"> REF _Ref11062639 \h </w:instrText>
      </w:r>
      <w:r w:rsidR="005831AD">
        <w:fldChar w:fldCharType="separate"/>
      </w:r>
      <w:r w:rsidR="00154150">
        <w:t xml:space="preserve">Slika </w:t>
      </w:r>
      <w:r w:rsidR="00154150">
        <w:rPr>
          <w:noProof/>
        </w:rPr>
        <w:t>4</w:t>
      </w:r>
      <w:r w:rsidR="00154150">
        <w:noBreakHyphen/>
      </w:r>
      <w:r w:rsidR="00154150">
        <w:rPr>
          <w:noProof/>
        </w:rPr>
        <w:t>16</w:t>
      </w:r>
      <w:r w:rsidR="00154150">
        <w:t>.</w:t>
      </w:r>
      <w:r w:rsidR="005831AD">
        <w:fldChar w:fldCharType="end"/>
      </w:r>
    </w:p>
    <w:p w14:paraId="02BC4CD0" w14:textId="65141893" w:rsidR="0047554F" w:rsidRDefault="0047554F" w:rsidP="0047554F">
      <w:pPr>
        <w:pStyle w:val="Caption"/>
        <w:keepNext/>
        <w:spacing w:after="0"/>
        <w:jc w:val="both"/>
      </w:pPr>
      <w:bookmarkStart w:id="507" w:name="_Ref11062612"/>
      <w:bookmarkStart w:id="508" w:name="_Toc27396228"/>
      <w:r>
        <w:t xml:space="preserve">Tablica </w:t>
      </w:r>
      <w:fldSimple w:instr=" STYLEREF 1 \s ">
        <w:r w:rsidR="00154150">
          <w:rPr>
            <w:noProof/>
          </w:rPr>
          <w:t>4</w:t>
        </w:r>
      </w:fldSimple>
      <w:r w:rsidR="00562DF0">
        <w:t>–</w:t>
      </w:r>
      <w:fldSimple w:instr=" SEQ Tablica \* ARABIC \s 1 ">
        <w:r w:rsidR="00154150">
          <w:rPr>
            <w:noProof/>
          </w:rPr>
          <w:t>14</w:t>
        </w:r>
      </w:fldSimple>
      <w:r>
        <w:t xml:space="preserve">. </w:t>
      </w:r>
      <w:bookmarkEnd w:id="507"/>
      <w:r>
        <w:t>Očekivana proizvodnja primarne energije – Scenarij s postojećim mjerama</w:t>
      </w:r>
      <w:bookmarkEnd w:id="508"/>
    </w:p>
    <w:p w14:paraId="0CDB7FB0" w14:textId="2DDB27AD" w:rsidR="0047554F" w:rsidRDefault="00970D87" w:rsidP="0047554F">
      <w:pPr>
        <w:spacing w:before="0"/>
      </w:pPr>
      <w:r w:rsidRPr="00970D87">
        <w:rPr>
          <w:noProof/>
        </w:rPr>
        <w:drawing>
          <wp:inline distT="0" distB="0" distL="0" distR="0" wp14:anchorId="5132C76D" wp14:editId="6E69477B">
            <wp:extent cx="4857750" cy="965200"/>
            <wp:effectExtent l="0" t="0" r="0" b="635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57750" cy="965200"/>
                    </a:xfrm>
                    <a:prstGeom prst="rect">
                      <a:avLst/>
                    </a:prstGeom>
                    <a:noFill/>
                    <a:ln>
                      <a:noFill/>
                    </a:ln>
                  </pic:spPr>
                </pic:pic>
              </a:graphicData>
            </a:graphic>
          </wp:inline>
        </w:drawing>
      </w:r>
    </w:p>
    <w:p w14:paraId="5BBE384A" w14:textId="4B8DF07D" w:rsidR="0047554F" w:rsidRDefault="00272FC1" w:rsidP="0047554F">
      <w:pPr>
        <w:keepNext/>
        <w:jc w:val="center"/>
      </w:pPr>
      <w:r w:rsidRPr="00272FC1">
        <w:rPr>
          <w:noProof/>
        </w:rPr>
        <w:drawing>
          <wp:inline distT="0" distB="0" distL="0" distR="0" wp14:anchorId="3DF7D43F" wp14:editId="4F457843">
            <wp:extent cx="4736548" cy="2425700"/>
            <wp:effectExtent l="0" t="0" r="698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7416" cy="2436387"/>
                    </a:xfrm>
                    <a:prstGeom prst="rect">
                      <a:avLst/>
                    </a:prstGeom>
                    <a:noFill/>
                    <a:ln>
                      <a:noFill/>
                    </a:ln>
                  </pic:spPr>
                </pic:pic>
              </a:graphicData>
            </a:graphic>
          </wp:inline>
        </w:drawing>
      </w:r>
    </w:p>
    <w:p w14:paraId="2B8245F1" w14:textId="430DD2E0" w:rsidR="0047554F" w:rsidRDefault="0047554F" w:rsidP="0047554F">
      <w:pPr>
        <w:pStyle w:val="Caption"/>
      </w:pPr>
      <w:bookmarkStart w:id="509" w:name="_Ref11062639"/>
      <w:bookmarkStart w:id="510" w:name="_Toc27396168"/>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16</w:t>
      </w:r>
      <w:r w:rsidR="005A7E31">
        <w:rPr>
          <w:noProof/>
        </w:rPr>
        <w:fldChar w:fldCharType="end"/>
      </w:r>
      <w:r>
        <w:t>.</w:t>
      </w:r>
      <w:bookmarkEnd w:id="509"/>
      <w:r>
        <w:t xml:space="preserve"> Očekivana proizvodnja primarne energije – Scenarij s postojećim mjerama</w:t>
      </w:r>
      <w:bookmarkEnd w:id="510"/>
    </w:p>
    <w:p w14:paraId="3FC1FBA7" w14:textId="77777777" w:rsidR="0047554F" w:rsidRDefault="0047554F" w:rsidP="0047554F">
      <w:r>
        <w:t>Buduća domaća proizvodnja fosilnih oblika energije (sirova nafta i prirodni plin) ovisit će o otvaranju i razvoju novih polja. Bez dodatne proizvodnje sva današnja polja prestat će s radom do 2030./2035. godine.</w:t>
      </w:r>
    </w:p>
    <w:p w14:paraId="0FE00BFD" w14:textId="740F70CA" w:rsidR="0047554F" w:rsidRDefault="004C6FC2" w:rsidP="0047554F">
      <w:r>
        <w:t>S</w:t>
      </w:r>
      <w:r w:rsidR="0047554F">
        <w:t>truktura i očekivana ukupna potrošnja energije (proizvodnja + uvoz – izvoz) za Scenarij s postojećim mjerama prikazan</w:t>
      </w:r>
      <w:r>
        <w:t>i</w:t>
      </w:r>
      <w:r w:rsidR="00763031">
        <w:t xml:space="preserve"> </w:t>
      </w:r>
      <w:r>
        <w:t>su</w:t>
      </w:r>
      <w:r w:rsidR="0047554F">
        <w:t xml:space="preserve"> u sljedećoj tablici i na slici.</w:t>
      </w:r>
    </w:p>
    <w:p w14:paraId="2138A5FB" w14:textId="6AFAEC2D" w:rsidR="0047554F" w:rsidRDefault="0047554F" w:rsidP="0047554F">
      <w:pPr>
        <w:pStyle w:val="Caption"/>
        <w:keepNext/>
        <w:spacing w:after="0"/>
        <w:jc w:val="both"/>
      </w:pPr>
      <w:bookmarkStart w:id="511" w:name="_Toc27396229"/>
      <w:r>
        <w:t xml:space="preserve">Tablica </w:t>
      </w:r>
      <w:fldSimple w:instr=" STYLEREF 1 \s ">
        <w:r w:rsidR="00154150">
          <w:rPr>
            <w:noProof/>
          </w:rPr>
          <w:t>4</w:t>
        </w:r>
      </w:fldSimple>
      <w:r w:rsidR="00562DF0">
        <w:t>–</w:t>
      </w:r>
      <w:fldSimple w:instr=" SEQ Tablica \* ARABIC \s 1 ">
        <w:r w:rsidR="00154150">
          <w:rPr>
            <w:noProof/>
          </w:rPr>
          <w:t>15</w:t>
        </w:r>
      </w:fldSimple>
      <w:r>
        <w:t>. Očekivana ukupna potrošnja energije – Scenarij s postojećim mjerama</w:t>
      </w:r>
      <w:bookmarkEnd w:id="511"/>
    </w:p>
    <w:p w14:paraId="15444316" w14:textId="77777777" w:rsidR="0047554F" w:rsidRDefault="0047554F" w:rsidP="0047554F">
      <w:pPr>
        <w:spacing w:before="0"/>
      </w:pPr>
      <w:r w:rsidRPr="00A42972">
        <w:rPr>
          <w:noProof/>
        </w:rPr>
        <w:drawing>
          <wp:inline distT="0" distB="0" distL="0" distR="0" wp14:anchorId="4113F4C0" wp14:editId="35A1452A">
            <wp:extent cx="5760085" cy="593090"/>
            <wp:effectExtent l="0" t="0" r="0" b="0"/>
            <wp:docPr id="218790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85" cy="593090"/>
                    </a:xfrm>
                    <a:prstGeom prst="rect">
                      <a:avLst/>
                    </a:prstGeom>
                    <a:noFill/>
                    <a:ln>
                      <a:noFill/>
                    </a:ln>
                  </pic:spPr>
                </pic:pic>
              </a:graphicData>
            </a:graphic>
          </wp:inline>
        </w:drawing>
      </w:r>
    </w:p>
    <w:p w14:paraId="76CE5F9B" w14:textId="44B6B668" w:rsidR="0047554F" w:rsidRDefault="008C647D" w:rsidP="0047554F">
      <w:pPr>
        <w:keepNext/>
        <w:jc w:val="center"/>
      </w:pPr>
      <w:r w:rsidRPr="008C647D">
        <w:rPr>
          <w:noProof/>
        </w:rPr>
        <w:drawing>
          <wp:inline distT="0" distB="0" distL="0" distR="0" wp14:anchorId="288ED13A" wp14:editId="00EF6060">
            <wp:extent cx="4784490" cy="2436076"/>
            <wp:effectExtent l="0" t="0" r="0" b="254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4892" cy="2446464"/>
                    </a:xfrm>
                    <a:prstGeom prst="rect">
                      <a:avLst/>
                    </a:prstGeom>
                    <a:noFill/>
                    <a:ln>
                      <a:noFill/>
                    </a:ln>
                  </pic:spPr>
                </pic:pic>
              </a:graphicData>
            </a:graphic>
          </wp:inline>
        </w:drawing>
      </w:r>
    </w:p>
    <w:p w14:paraId="6636BB7C" w14:textId="7F1F75D5" w:rsidR="0047554F" w:rsidRDefault="0047554F" w:rsidP="0047554F">
      <w:pPr>
        <w:pStyle w:val="Caption"/>
      </w:pPr>
      <w:bookmarkStart w:id="512" w:name="_Toc27396169"/>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17</w:t>
      </w:r>
      <w:r w:rsidR="005A7E31">
        <w:rPr>
          <w:noProof/>
        </w:rPr>
        <w:fldChar w:fldCharType="end"/>
      </w:r>
      <w:r>
        <w:t>. Očekivana ukupna potrošnja energije – Scenarij s postojećim mjerama</w:t>
      </w:r>
      <w:bookmarkEnd w:id="512"/>
    </w:p>
    <w:p w14:paraId="5CC37FC1" w14:textId="47375C7D" w:rsidR="0047554F" w:rsidRDefault="00604828" w:rsidP="0047554F">
      <w:r>
        <w:t>P</w:t>
      </w:r>
      <w:r w:rsidR="0047554F">
        <w:t xml:space="preserve">rema Scenariju s postojećim mjerama </w:t>
      </w:r>
      <w:r w:rsidRPr="00604828">
        <w:t>potrošnja energije se zadržava na razini sadašnje te se lagano smanjuje pred kraj razdoblja. Vlastita opskrbljenost najprije raste, a zatim snažno opada nakon 2040. godine zbog smanjenja domaće proizvodnje nafte i prirodnog plina.</w:t>
      </w:r>
    </w:p>
    <w:p w14:paraId="0BB9A4D0" w14:textId="76009E79" w:rsidR="00604828" w:rsidRDefault="00604828" w:rsidP="0047554F">
      <w:r>
        <w:rPr>
          <w:noProof/>
        </w:rPr>
        <w:drawing>
          <wp:inline distT="0" distB="0" distL="0" distR="0" wp14:anchorId="108A041D" wp14:editId="5E01615A">
            <wp:extent cx="5761355" cy="3030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1355" cy="3030220"/>
                    </a:xfrm>
                    <a:prstGeom prst="rect">
                      <a:avLst/>
                    </a:prstGeom>
                    <a:noFill/>
                  </pic:spPr>
                </pic:pic>
              </a:graphicData>
            </a:graphic>
          </wp:inline>
        </w:drawing>
      </w:r>
    </w:p>
    <w:p w14:paraId="1739D1B0" w14:textId="70F35755" w:rsidR="0047554F" w:rsidRDefault="0047554F" w:rsidP="0047554F">
      <w:pPr>
        <w:pStyle w:val="Caption"/>
      </w:pPr>
      <w:bookmarkStart w:id="513" w:name="_Toc27396170"/>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18</w:t>
      </w:r>
      <w:r w:rsidR="005A7E31">
        <w:rPr>
          <w:noProof/>
        </w:rPr>
        <w:fldChar w:fldCharType="end"/>
      </w:r>
      <w:r>
        <w:t xml:space="preserve">. </w:t>
      </w:r>
      <w:r w:rsidR="00781513">
        <w:t>Ukupna potrošnja</w:t>
      </w:r>
      <w:r w:rsidR="00781513" w:rsidRPr="00781513">
        <w:t xml:space="preserve"> energije</w:t>
      </w:r>
      <w:r w:rsidR="00936BE2">
        <w:t xml:space="preserve"> </w:t>
      </w:r>
      <w:r w:rsidRPr="00781513">
        <w:t xml:space="preserve">i vlastita opskrbljenost </w:t>
      </w:r>
      <w:r w:rsidR="00781513">
        <w:t>(</w:t>
      </w:r>
      <w:r w:rsidRPr="00781513">
        <w:t>Scenarij s postojećim mjerama</w:t>
      </w:r>
      <w:r w:rsidR="00781513">
        <w:t>)</w:t>
      </w:r>
      <w:bookmarkEnd w:id="513"/>
    </w:p>
    <w:p w14:paraId="6B1350B3" w14:textId="1CFF6498" w:rsidR="00C21988" w:rsidRDefault="004E40FF" w:rsidP="00C21988">
      <w:pPr>
        <w:pStyle w:val="Heading2"/>
      </w:pPr>
      <w:bookmarkStart w:id="514" w:name="_Toc531935263"/>
      <w:bookmarkStart w:id="515" w:name="_Toc531945125"/>
      <w:bookmarkStart w:id="516" w:name="_Toc6302383"/>
      <w:bookmarkStart w:id="517" w:name="_Toc27396120"/>
      <w:r>
        <w:t>4.5</w:t>
      </w:r>
      <w:r>
        <w:tab/>
      </w:r>
      <w:r w:rsidR="00C21988">
        <w:t>Dimenzija: unutarnje energetsko tržište</w:t>
      </w:r>
      <w:bookmarkEnd w:id="514"/>
      <w:bookmarkEnd w:id="515"/>
      <w:bookmarkEnd w:id="516"/>
      <w:bookmarkEnd w:id="517"/>
    </w:p>
    <w:p w14:paraId="15F8EBDB" w14:textId="77777777" w:rsidR="003D00FC" w:rsidRPr="00BE1ECD" w:rsidRDefault="003D00FC" w:rsidP="003D00FC">
      <w:pPr>
        <w:pStyle w:val="Heading3"/>
      </w:pPr>
      <w:bookmarkStart w:id="518" w:name="_Toc531935264"/>
      <w:bookmarkStart w:id="519" w:name="_Toc531945126"/>
      <w:bookmarkStart w:id="520" w:name="_Toc6302384"/>
      <w:r>
        <w:t>4.5.1</w:t>
      </w:r>
      <w:r>
        <w:tab/>
      </w:r>
      <w:r w:rsidRPr="00BE1ECD">
        <w:t xml:space="preserve">Elektroenergetska povezanost </w:t>
      </w:r>
    </w:p>
    <w:bookmarkEnd w:id="518"/>
    <w:bookmarkEnd w:id="519"/>
    <w:bookmarkEnd w:id="520"/>
    <w:p w14:paraId="43AA7BDF" w14:textId="77777777" w:rsidR="006C2162" w:rsidRPr="00BE1ECD" w:rsidRDefault="006C2162" w:rsidP="00840E2E">
      <w:pPr>
        <w:pStyle w:val="Heading3"/>
        <w:numPr>
          <w:ilvl w:val="0"/>
          <w:numId w:val="82"/>
        </w:numPr>
      </w:pPr>
      <w:r w:rsidRPr="00BE1ECD">
        <w:t xml:space="preserve">Trenutačna razina povezanosti i glavni spojni vodovi </w:t>
      </w:r>
    </w:p>
    <w:p w14:paraId="44DFFBC3" w14:textId="77777777" w:rsidR="0050611F" w:rsidRDefault="0050611F" w:rsidP="0050611F">
      <w:r>
        <w:t xml:space="preserve">Hrvatski elektroenergetski sustav </w:t>
      </w:r>
      <w:r w:rsidRPr="004E2DB7">
        <w:t>povezan je naponskim razinama 400 kV,</w:t>
      </w:r>
      <w:r>
        <w:t xml:space="preserve"> </w:t>
      </w:r>
      <w:r w:rsidRPr="004E2DB7">
        <w:t>220 kV i 110 kV sa sustavima susjednih zemalja</w:t>
      </w:r>
      <w:r>
        <w:t>. Dalekovodima 400 kV naponske razine (ukupno sedam DV od čega su tri dvostruka, a četiri jednostruka) povezan je elektroenergetski sustav RH sa sustavima:</w:t>
      </w:r>
    </w:p>
    <w:p w14:paraId="5FCA32D7" w14:textId="77777777" w:rsidR="0050611F" w:rsidRDefault="0050611F" w:rsidP="00840E2E">
      <w:pPr>
        <w:numPr>
          <w:ilvl w:val="0"/>
          <w:numId w:val="19"/>
        </w:numPr>
        <w:suppressAutoHyphens w:val="0"/>
        <w:spacing w:before="60" w:after="0" w:line="240" w:lineRule="auto"/>
      </w:pPr>
      <w:r>
        <w:t xml:space="preserve">Bosne i Hercegovine (DV 400 kV Ernestinovo - Ugljevik i DV 400 kV Konjsko - Mostar), </w:t>
      </w:r>
    </w:p>
    <w:p w14:paraId="6B0D5B7D" w14:textId="77777777" w:rsidR="0050611F" w:rsidRDefault="0050611F" w:rsidP="00840E2E">
      <w:pPr>
        <w:numPr>
          <w:ilvl w:val="0"/>
          <w:numId w:val="19"/>
        </w:numPr>
        <w:suppressAutoHyphens w:val="0"/>
        <w:spacing w:before="60" w:after="0" w:line="240" w:lineRule="auto"/>
      </w:pPr>
      <w:r>
        <w:t xml:space="preserve">Srbije (DV 400 kV Ernestinovo – Sremska Mitrovica 2), </w:t>
      </w:r>
    </w:p>
    <w:p w14:paraId="7A7BAE23" w14:textId="77777777" w:rsidR="0050611F" w:rsidRDefault="0050611F" w:rsidP="00840E2E">
      <w:pPr>
        <w:numPr>
          <w:ilvl w:val="0"/>
          <w:numId w:val="19"/>
        </w:numPr>
        <w:suppressAutoHyphens w:val="0"/>
        <w:spacing w:before="60" w:after="0" w:line="240" w:lineRule="auto"/>
      </w:pPr>
      <w:r>
        <w:t xml:space="preserve">Mađarske (DV 2x400 kV Žerjavinec – Heviz, DV 2x400 kV Ernestinovo – Pecs) i </w:t>
      </w:r>
    </w:p>
    <w:p w14:paraId="75D46BEC" w14:textId="77777777" w:rsidR="0050611F" w:rsidRDefault="0050611F" w:rsidP="00840E2E">
      <w:pPr>
        <w:numPr>
          <w:ilvl w:val="0"/>
          <w:numId w:val="19"/>
        </w:numPr>
        <w:suppressAutoHyphens w:val="0"/>
        <w:spacing w:before="60" w:after="0" w:line="240" w:lineRule="auto"/>
      </w:pPr>
      <w:r>
        <w:t>Slovenije (DV 2x400 kV Tumbri – Krško, DV 400 kV Melina – Divača).</w:t>
      </w:r>
    </w:p>
    <w:p w14:paraId="72F6EFD8" w14:textId="77777777" w:rsidR="00C55036" w:rsidRDefault="0050611F" w:rsidP="00C55036">
      <w:r>
        <w:t xml:space="preserve">Interkonekcijska povezanost hrvatskog sustava sa susjednim članicama ENTSO-E ostvarena je i s 8 dalekovoda 220 kV. Također, hrvatski sustav je umrežen s okruženjem i na 110 kV razini (ukupno 18 dalekovoda u trajnom ili povremenom pogonu). </w:t>
      </w:r>
    </w:p>
    <w:p w14:paraId="177BB7FB" w14:textId="3E3F3E01" w:rsidR="00C55036" w:rsidRDefault="00C55036" w:rsidP="00AB029E">
      <w:r>
        <w:t>Ukupna instalirana snaga</w:t>
      </w:r>
      <w:r w:rsidRPr="00C55036">
        <w:t xml:space="preserve"> </w:t>
      </w:r>
      <w:r>
        <w:t>svih interkonektivnih vodova iznosi 1</w:t>
      </w:r>
      <w:r w:rsidR="00C91F30">
        <w:t>3</w:t>
      </w:r>
      <w:r w:rsidR="005820F3">
        <w:t>.</w:t>
      </w:r>
      <w:r w:rsidR="0022454B">
        <w:t xml:space="preserve">450 </w:t>
      </w:r>
      <w:r>
        <w:t>MVA. Zbog ograničenja u internim prijenosnim mrežama s obje strane granice definirane su maksimalne moguće snage razmjene po pojedinim granicama kako bi bio očuvan siguran pogon elektroenergetskog sustava. Te granice dozvoljenog prijenosa (NTC – Net Transfer Capacity) su daleko manje od instalirane snage dalekovoda (ukupno na svim granicama je u rasponu 3</w:t>
      </w:r>
      <w:r w:rsidR="005820F3">
        <w:t>.</w:t>
      </w:r>
      <w:r>
        <w:t>000-3</w:t>
      </w:r>
      <w:r w:rsidR="005820F3">
        <w:t>.</w:t>
      </w:r>
      <w:r>
        <w:t>500 MW), ali još uvijek više nego dovoljne za velike razmjene električne energije sa susjednim sustavima i za pokrivanje opterećenja elektroenergetskog sustava Hrvatske (vršno opterećenje oko 3</w:t>
      </w:r>
      <w:r w:rsidR="005820F3">
        <w:t>.</w:t>
      </w:r>
      <w:r>
        <w:t>000 MW). Obzirom da na razinu razmjene električne energije sa susjednim sustavima utječe</w:t>
      </w:r>
      <w:r w:rsidR="00232F9B">
        <w:t xml:space="preserve"> </w:t>
      </w:r>
      <w:r>
        <w:t>izrazita ovisnost proizvodnog portfelja u Hrvatskoj o hidrologiji, sve veći udio vjetroelektrana s također vrlo promjenjivom proizvodnjom te promjenjive</w:t>
      </w:r>
      <w:r w:rsidR="00AB029E">
        <w:t xml:space="preserve"> </w:t>
      </w:r>
      <w:r>
        <w:t>cijene na veleprodajnim tržištima električne energije u okruženju, snag</w:t>
      </w:r>
      <w:r w:rsidR="00097BDE">
        <w:t>a</w:t>
      </w:r>
      <w:r>
        <w:t xml:space="preserve"> razmjena prema susjedima je također vrlo promjenjiva. No, još uvijek je ukupna razmjena sa susjednim sustavima značajno niža od ukupne mogućnosti razmjena, pa faktor iskorištenja pojedinih interkonektivnih vodova (omjer prenesene energije i umnoška vremena i instalirane snage) varira između 0 i 50%, prosječno se procjenjuje na 35%. Većina interkonektivnih vodova je većinu vremena nisko opterećena.</w:t>
      </w:r>
    </w:p>
    <w:p w14:paraId="3468EC2A" w14:textId="259F62F8" w:rsidR="00F8255D" w:rsidRDefault="00F8255D" w:rsidP="00223709">
      <w:r>
        <w:t xml:space="preserve">U 2018. godini u hrvatski elektroenergetski sustav ušlo je oko 12,7 TWh, a izašlo oko 6,5 TWh, kao što je prikazano na sljedećoj slici za razdoblje 2016.-2018. Najveća razmjena obavlja se s elektroenergetskim sustavom Slovenije i Bosne i Hercegovine, što je i očekivano obzirom na vrlo visoku razinu instaliranih interkonektivnih kapaciteta. Samo s BiH Hrvatska ima čak 21 interkonektivni vod, a sa Slovenijom 8 interkonektivnih vodova. </w:t>
      </w:r>
      <w:r w:rsidR="00B803A7">
        <w:t>Količine električne energije razmijenjene sa susjednim državama (Slovenijom, Mađarskom, Srbijom te Bosnom i Hercegovinom)</w:t>
      </w:r>
      <w:r w:rsidR="00D5362A">
        <w:t xml:space="preserve"> u 2016., 2017. i 2018. godini prikazuje </w:t>
      </w:r>
      <w:r w:rsidR="00BC6CAE">
        <w:fldChar w:fldCharType="begin"/>
      </w:r>
      <w:r w:rsidR="00BC6CAE">
        <w:instrText xml:space="preserve"> REF _Ref19519012 \h </w:instrText>
      </w:r>
      <w:r w:rsidR="00BC6CAE">
        <w:fldChar w:fldCharType="separate"/>
      </w:r>
      <w:r w:rsidR="00154150" w:rsidRPr="00462AD9">
        <w:t xml:space="preserve">Slika </w:t>
      </w:r>
      <w:r w:rsidR="00154150">
        <w:rPr>
          <w:noProof/>
        </w:rPr>
        <w:t>4</w:t>
      </w:r>
      <w:r w:rsidR="00154150">
        <w:noBreakHyphen/>
      </w:r>
      <w:r w:rsidR="00154150">
        <w:rPr>
          <w:noProof/>
        </w:rPr>
        <w:t>19</w:t>
      </w:r>
      <w:r w:rsidR="00BC6CAE">
        <w:fldChar w:fldCharType="end"/>
      </w:r>
      <w:r w:rsidR="00D5362A">
        <w:t>.</w:t>
      </w:r>
    </w:p>
    <w:p w14:paraId="3838D782" w14:textId="3A88DCC8" w:rsidR="00F8255D" w:rsidRDefault="00F8255D" w:rsidP="00F8255D">
      <w:pPr>
        <w:jc w:val="center"/>
      </w:pPr>
      <w:r>
        <w:rPr>
          <w:noProof/>
        </w:rPr>
        <w:drawing>
          <wp:inline distT="0" distB="0" distL="0" distR="0" wp14:anchorId="77B05E4E" wp14:editId="441ECC7F">
            <wp:extent cx="4781550" cy="505441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0203" t="18029" r="29233" b="5742"/>
                    <a:stretch/>
                  </pic:blipFill>
                  <pic:spPr bwMode="auto">
                    <a:xfrm>
                      <a:off x="0" y="0"/>
                      <a:ext cx="4786105" cy="5059224"/>
                    </a:xfrm>
                    <a:prstGeom prst="rect">
                      <a:avLst/>
                    </a:prstGeom>
                    <a:ln>
                      <a:noFill/>
                    </a:ln>
                    <a:extLst>
                      <a:ext uri="{53640926-AAD7-44D8-BBD7-CCE9431645EC}">
                        <a14:shadowObscured xmlns:a14="http://schemas.microsoft.com/office/drawing/2010/main"/>
                      </a:ext>
                    </a:extLst>
                  </pic:spPr>
                </pic:pic>
              </a:graphicData>
            </a:graphic>
          </wp:inline>
        </w:drawing>
      </w:r>
    </w:p>
    <w:p w14:paraId="2F3B373D" w14:textId="6EA4880D" w:rsidR="00BC6CAE" w:rsidRPr="00462AD9" w:rsidRDefault="00BC6CAE" w:rsidP="00BC6CAE">
      <w:pPr>
        <w:pStyle w:val="Caption"/>
      </w:pPr>
      <w:bookmarkStart w:id="521" w:name="_Ref19519012"/>
      <w:bookmarkStart w:id="522" w:name="_Toc27396171"/>
      <w:r w:rsidRPr="00462AD9">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19</w:t>
      </w:r>
      <w:r>
        <w:rPr>
          <w:noProof/>
        </w:rPr>
        <w:fldChar w:fldCharType="end"/>
      </w:r>
      <w:bookmarkEnd w:id="521"/>
      <w:r w:rsidRPr="00462AD9">
        <w:t xml:space="preserve">. </w:t>
      </w:r>
      <w:r>
        <w:t>Razmjena električne energije sa susjednim državama, 2016., 2017. i 2018. godine</w:t>
      </w:r>
      <w:bookmarkEnd w:id="522"/>
    </w:p>
    <w:p w14:paraId="2F8AA4F2" w14:textId="61207213" w:rsidR="00D5362A" w:rsidRDefault="00BC6CAE" w:rsidP="00223709">
      <w:pPr>
        <w:pStyle w:val="Slike"/>
        <w:keepNext w:val="0"/>
      </w:pPr>
      <w:r w:rsidRPr="00462AD9">
        <w:t>Izvor</w:t>
      </w:r>
      <w:r>
        <w:t>: HOPS</w:t>
      </w:r>
    </w:p>
    <w:p w14:paraId="08395F9D" w14:textId="77777777" w:rsidR="00A20585" w:rsidRDefault="00A20585" w:rsidP="00C55036"/>
    <w:p w14:paraId="713D3CA2" w14:textId="765434D5" w:rsidR="0050611F" w:rsidRDefault="0050611F" w:rsidP="0050611F">
      <w:r>
        <w:t>Dobra povezanost sa susjednim sustavima omogućava značajnije izvoze, uvoze i tranzite električne energije preko prijenosne mreže, te svrstava RH u važnu poveznicu elektroenergetskih sustava srednje i jugoistočne Europe.</w:t>
      </w:r>
    </w:p>
    <w:p w14:paraId="29C18DDA" w14:textId="47227D40" w:rsidR="00550EC2" w:rsidRPr="00BE1ECD" w:rsidRDefault="00550EC2" w:rsidP="00840E2E">
      <w:pPr>
        <w:pStyle w:val="Heading3"/>
        <w:numPr>
          <w:ilvl w:val="0"/>
          <w:numId w:val="82"/>
        </w:numPr>
      </w:pPr>
      <w:r w:rsidRPr="00550EC2">
        <w:t>Projekcije zahtjeva za povećanjem broja spojnih vodova najmanje do 2040. (uključujući projekcije za 2030.)</w:t>
      </w:r>
    </w:p>
    <w:p w14:paraId="2EF817E0" w14:textId="77777777" w:rsidR="000444F7" w:rsidRDefault="000444F7" w:rsidP="000444F7">
      <w:r w:rsidRPr="008B7F81">
        <w:t xml:space="preserve">Do </w:t>
      </w:r>
      <w:r>
        <w:t>2030. godine moguća je izgradnja novog interkonekcijskog voda 400 kV Lika – Banja Luka koji bi dodatno povezao EES RH i EES BiH. Trenutno su u izradi tehno-ekonomske ocjene isplativosti njegove izgradnje.</w:t>
      </w:r>
    </w:p>
    <w:p w14:paraId="7EB8A864" w14:textId="77777777" w:rsidR="000444F7" w:rsidRDefault="000444F7" w:rsidP="000444F7">
      <w:r>
        <w:t>Od dodatnih novih interkonekcijskih dalekovoda trenutno se na razini ENTSO-E analizira mogućnost i opravdanost izgradnje sljedećih vodova:</w:t>
      </w:r>
    </w:p>
    <w:p w14:paraId="0D20F121" w14:textId="77777777" w:rsidR="000444F7" w:rsidRDefault="000444F7" w:rsidP="00840E2E">
      <w:pPr>
        <w:pStyle w:val="ListParagraph"/>
        <w:numPr>
          <w:ilvl w:val="0"/>
          <w:numId w:val="13"/>
        </w:numPr>
      </w:pPr>
      <w:r>
        <w:t>DV 400 kV Đakovo (RH) – Tuzla (BiH);</w:t>
      </w:r>
    </w:p>
    <w:p w14:paraId="43CF2893" w14:textId="77777777" w:rsidR="000444F7" w:rsidRDefault="000444F7" w:rsidP="00840E2E">
      <w:pPr>
        <w:pStyle w:val="ListParagraph"/>
        <w:numPr>
          <w:ilvl w:val="0"/>
          <w:numId w:val="13"/>
        </w:numPr>
      </w:pPr>
      <w:r>
        <w:t>DV 400 kV Đakovo (RH) – Gradačac (BiH);</w:t>
      </w:r>
    </w:p>
    <w:p w14:paraId="7D5461F8" w14:textId="77777777" w:rsidR="000444F7" w:rsidRDefault="000444F7" w:rsidP="00840E2E">
      <w:pPr>
        <w:pStyle w:val="ListParagraph"/>
        <w:numPr>
          <w:ilvl w:val="0"/>
          <w:numId w:val="13"/>
        </w:numPr>
      </w:pPr>
      <w:r>
        <w:t>DV 400 kV Žerjavinec/Drava (RH) – Heviz 2 (Mađarska);</w:t>
      </w:r>
    </w:p>
    <w:p w14:paraId="293F6DBE" w14:textId="77777777" w:rsidR="000444F7" w:rsidRDefault="000444F7" w:rsidP="00840E2E">
      <w:pPr>
        <w:pStyle w:val="ListParagraph"/>
        <w:numPr>
          <w:ilvl w:val="0"/>
          <w:numId w:val="13"/>
        </w:numPr>
      </w:pPr>
      <w:r>
        <w:t>DV 400 kV Ernestinovo (RH) – Sombor (RS).</w:t>
      </w:r>
    </w:p>
    <w:p w14:paraId="3C7BED2F" w14:textId="25F74B44" w:rsidR="000444F7" w:rsidRDefault="006601BD" w:rsidP="006601BD">
      <w:r>
        <w:t xml:space="preserve">Njihova eventualna realizacija ovisi o velikom broju faktora, a prije svega </w:t>
      </w:r>
      <w:r w:rsidR="000444F7">
        <w:t xml:space="preserve">o razvoju budućeg tržišta </w:t>
      </w:r>
      <w:r>
        <w:t xml:space="preserve">električne energije </w:t>
      </w:r>
      <w:r w:rsidR="000444F7">
        <w:t>i integraciji OiE u EES.</w:t>
      </w:r>
    </w:p>
    <w:p w14:paraId="056F375E" w14:textId="77777777" w:rsidR="00285AD9" w:rsidRPr="00BE1ECD" w:rsidRDefault="00285AD9" w:rsidP="00285AD9">
      <w:pPr>
        <w:pStyle w:val="Heading3"/>
      </w:pPr>
      <w:bookmarkStart w:id="523" w:name="_Toc531935265"/>
      <w:bookmarkStart w:id="524" w:name="_Toc531945127"/>
      <w:bookmarkStart w:id="525" w:name="_Toc6302385"/>
      <w:r>
        <w:t>4.5.4</w:t>
      </w:r>
      <w:r>
        <w:tab/>
      </w:r>
      <w:r w:rsidRPr="00BE1ECD">
        <w:t xml:space="preserve">Infrastruktura za prijenos energije </w:t>
      </w:r>
    </w:p>
    <w:p w14:paraId="16ABCC1F" w14:textId="77777777" w:rsidR="00285AD9" w:rsidRPr="00BE1ECD" w:rsidRDefault="00285AD9" w:rsidP="00840E2E">
      <w:pPr>
        <w:pStyle w:val="Heading3"/>
        <w:numPr>
          <w:ilvl w:val="0"/>
          <w:numId w:val="83"/>
        </w:numPr>
      </w:pPr>
      <w:r w:rsidRPr="00BE1ECD">
        <w:t xml:space="preserve">Ključne osobine postojeće infrastrukture za prijenos električne energije i plina </w:t>
      </w:r>
    </w:p>
    <w:bookmarkEnd w:id="523"/>
    <w:bookmarkEnd w:id="524"/>
    <w:bookmarkEnd w:id="525"/>
    <w:p w14:paraId="4C669771" w14:textId="77777777" w:rsidR="005B4729" w:rsidRPr="00462AD9" w:rsidRDefault="005B4729" w:rsidP="005B4729">
      <w:r w:rsidRPr="00DB7DF8">
        <w:rPr>
          <w:b/>
        </w:rPr>
        <w:t>Prijenosna elektroenergetska mreža na području Republike Hrvatske</w:t>
      </w:r>
      <w:r w:rsidRPr="00462AD9">
        <w:t xml:space="preserve"> sastoji se od nadzemnih vodova i kabela, transformatorskih stanica i ostale visokonaponske opreme/postrojenja koji su u pogonu pod naponskim razinama 400 kV, 220 kV i 110 kV. Prijenosna mreža povezuje elektrane i veća potrošačka središta, odnosno distribucijsku mrežu, preko više mogućih pravaca u cilju postizanja zadovoljavajuće sigurnosti opskrbe kupaca električnom energijom propisane kvalitete. </w:t>
      </w:r>
    </w:p>
    <w:p w14:paraId="16CCA6D1" w14:textId="46AC23E8" w:rsidR="005B4729" w:rsidRPr="00462AD9" w:rsidRDefault="005B4729" w:rsidP="005B4729">
      <w:r w:rsidRPr="00462AD9">
        <w:t>Ukupna duljina visokonaponskih nadzemnih vodova i kabela prethodno navedenih naponskih razina trenutno iznosi oko 7</w:t>
      </w:r>
      <w:r w:rsidR="005820F3">
        <w:t>.</w:t>
      </w:r>
      <w:r w:rsidRPr="00462AD9">
        <w:t xml:space="preserve">600 km, a u mreži se nalazi oko 200 transformatorskih stanica 400/220/110 kV, 400/110 kV, 220/110 kV i 110/x kV. Okosnica prijenosne mreže je 400 kV mreža koja povezuje šire osječko, zagrebačko, riječko i splitsko područje, na 220 kV mrežu koja povezuje pojedine regije unutar zemlje priključen je značajan broj većih proizvodnih postrojenja, dok 110 kV mreža povezuje lokalna područja i služi za napajanje distribucijske mreže ili velikih kupaca izravno priključenih na ovu naponsku razinu, pri čemu je dio elektrana/generatora priključen i na mrežu 110 kV. </w:t>
      </w:r>
    </w:p>
    <w:p w14:paraId="44284E75" w14:textId="77777777" w:rsidR="005B4729" w:rsidRPr="00462AD9" w:rsidRDefault="005B4729" w:rsidP="005B4729">
      <w:r w:rsidRPr="00462AD9">
        <w:t xml:space="preserve">Prijenosnom mrežom upravlja tvrtka HOPS d.o.o., a ujedno je ista odgovorna i za razvoj prijenosne mreže kao i za upravljanje i vođenje čitavog elektroenergetskog sustava, koje provodi iz Nacionalnog dispečerskog centra (NDC), te četiri regionalna centra upravljanja. Pod ingerencijom HOPS-a je i uravnoteženje sustava, te nabava pomoćnih usluga sustavu koje omogućavaju postizanje jednakosti proizvodnje i potrošnje električne energije u određenom razdoblju, odnosno održavanje frekvencije na propisanoj razini kao i međugraničnih razmjena snage/energije prema pravilima rada organizacije europskih operatora prijenosnih sustava (ENTSO-E), održavanje propisanih naponskih prilika u svim dijelovima mreže odnosno kompenzaciju jalove energije unutar sustava, ponovnu uspostavu napajanja nakon velikih poremećaja ili raspada sustava, odnosno otočni rad elektrana unutar električki izoliranih područja nakon većih poremećaja. </w:t>
      </w:r>
    </w:p>
    <w:p w14:paraId="5956B0A0" w14:textId="77777777" w:rsidR="005B4729" w:rsidRPr="00462AD9" w:rsidRDefault="005B4729" w:rsidP="005B4729">
      <w:pPr>
        <w:keepNext/>
        <w:jc w:val="center"/>
      </w:pPr>
      <w:bookmarkStart w:id="526" w:name="_Toc528672898"/>
      <w:r>
        <w:rPr>
          <w:noProof/>
        </w:rPr>
        <w:drawing>
          <wp:anchor distT="0" distB="0" distL="114300" distR="114300" simplePos="0" relativeHeight="251658240" behindDoc="0" locked="0" layoutInCell="1" allowOverlap="1" wp14:anchorId="0EE39049" wp14:editId="4B230467">
            <wp:simplePos x="0" y="0"/>
            <wp:positionH relativeFrom="column">
              <wp:posOffset>233045</wp:posOffset>
            </wp:positionH>
            <wp:positionV relativeFrom="paragraph">
              <wp:posOffset>3952875</wp:posOffset>
            </wp:positionV>
            <wp:extent cx="2200275" cy="1270804"/>
            <wp:effectExtent l="0" t="0" r="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27253" r="30713" b="8714"/>
                    <a:stretch/>
                  </pic:blipFill>
                  <pic:spPr bwMode="auto">
                    <a:xfrm>
                      <a:off x="0" y="0"/>
                      <a:ext cx="2200275" cy="12708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7898">
        <w:rPr>
          <w:noProof/>
        </w:rPr>
        <w:drawing>
          <wp:inline distT="0" distB="0" distL="0" distR="0" wp14:anchorId="196CD2FD" wp14:editId="7EE6F924">
            <wp:extent cx="5861190" cy="52673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0758" t="22755" r="31705" b="23267"/>
                    <a:stretch/>
                  </pic:blipFill>
                  <pic:spPr bwMode="auto">
                    <a:xfrm>
                      <a:off x="0" y="0"/>
                      <a:ext cx="5861190" cy="5267325"/>
                    </a:xfrm>
                    <a:prstGeom prst="rect">
                      <a:avLst/>
                    </a:prstGeom>
                    <a:ln>
                      <a:noFill/>
                    </a:ln>
                    <a:extLst>
                      <a:ext uri="{53640926-AAD7-44D8-BBD7-CCE9431645EC}">
                        <a14:shadowObscured xmlns:a14="http://schemas.microsoft.com/office/drawing/2010/main"/>
                      </a:ext>
                    </a:extLst>
                  </pic:spPr>
                </pic:pic>
              </a:graphicData>
            </a:graphic>
          </wp:inline>
        </w:drawing>
      </w:r>
    </w:p>
    <w:p w14:paraId="6457A73A" w14:textId="6269138D" w:rsidR="005B4729" w:rsidRPr="00462AD9" w:rsidRDefault="005B4729" w:rsidP="005B4729">
      <w:pPr>
        <w:pStyle w:val="Caption"/>
      </w:pPr>
      <w:bookmarkStart w:id="527" w:name="_Toc27396172"/>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20</w:t>
      </w:r>
      <w:r w:rsidR="005A7E31">
        <w:rPr>
          <w:noProof/>
        </w:rPr>
        <w:fldChar w:fldCharType="end"/>
      </w:r>
      <w:r w:rsidRPr="00462AD9">
        <w:t>. Hrvatska prijenosna elektroenergetska mreža</w:t>
      </w:r>
      <w:bookmarkEnd w:id="526"/>
      <w:bookmarkEnd w:id="527"/>
    </w:p>
    <w:p w14:paraId="11B75096" w14:textId="77777777" w:rsidR="005B4729" w:rsidRPr="00462AD9" w:rsidRDefault="005B4729" w:rsidP="005B4729">
      <w:pPr>
        <w:pStyle w:val="Slike"/>
        <w:keepNext w:val="0"/>
      </w:pPr>
      <w:r w:rsidRPr="00462AD9">
        <w:t>Izvor: HOPS</w:t>
      </w:r>
    </w:p>
    <w:p w14:paraId="409B4F47" w14:textId="54EA544C" w:rsidR="005B4729" w:rsidRPr="00462AD9" w:rsidRDefault="005B4729" w:rsidP="005B4729">
      <w:pPr>
        <w:widowControl w:val="0"/>
      </w:pPr>
      <w:r w:rsidRPr="00462AD9">
        <w:t xml:space="preserve">Topologija (oblik) prijenosne mreže trenutno je određen u skladu s aktualnom prostornom raspodjelom potrošnje električne energije, lokacijama postojećih elektrana, tržišnim prilikama u Hrvatskoj i njenom okruženju, te propisanim kriterijima planiranja mreže i operativnog vođenja pogona. Prijenosna je mreža dimenzionirana </w:t>
      </w:r>
      <w:r w:rsidR="004E16BA">
        <w:t>tako</w:t>
      </w:r>
      <w:r w:rsidRPr="00462AD9">
        <w:t xml:space="preserve"> da u slučaju nastanka pojedinačnog ispada voda, transformatora ili generatora prijenos električne energije propisane kvalitete ne bude onemogućen na bilo kojem dijelu zemlje. Uz postojeće iznose osnovnih ulaznih parametara važnih za planiranje i pogon prijenosne mreže u iznosu od oko 3 100 MW vršnog opterećenja, 17 TWh godišnje potrošnje električne energije, uvoza energije na godišnjoj razini od oko 7 TWh, tranzita za potrebe trećih strana u iznosu do 7 TWh te priključka na prijenosnu mrežu elektrana ukupne snage od oko 4</w:t>
      </w:r>
      <w:r w:rsidR="005820F3">
        <w:t>.</w:t>
      </w:r>
      <w:r w:rsidRPr="00462AD9">
        <w:t>600 MW, izgrađenost prijenosne mreže možemo smatrati zadovoljavajućom što se očituje u vrlo rijetkim raspadima sustava (u prošlosti su se rijetko događali samo lokalni raspadi pojedinih dijelova sustava) te niskim godišnjim iznosima neisporučene električne energije iz prijenosne mreže (reda veličine do 1 GWh). Kvaliteta električne energije iz prijenosne mreže trenutno je djelomično narušena radi dugotrajnih pojava visokih napona na sve tri visokonaponske razine ali trenutno je u izvedbi projekt ugradnje kompenzacijskih postrojenja koja će riješiti taj problem. Frekvencija je stabilna, a njena uobičajena i izvanredna odstupanja se kreću unutar propisanih granica.</w:t>
      </w:r>
    </w:p>
    <w:p w14:paraId="7FA4828A" w14:textId="47B438D2" w:rsidR="00A17BFA" w:rsidRDefault="002E4DA9" w:rsidP="00A17BFA">
      <w:r>
        <w:t>Instalirana prijenosna moć interkonektivnih vodova</w:t>
      </w:r>
      <w:r w:rsidDel="002E4DA9">
        <w:t xml:space="preserve"> </w:t>
      </w:r>
      <w:r w:rsidR="00636AD6">
        <w:t>iznosi</w:t>
      </w:r>
      <w:r w:rsidR="00A17BFA">
        <w:t xml:space="preserve"> oko 15000 MVA, što višestruko premašuje vršno opterećenje elektroenergetskog sustava (oko 3000 MW). </w:t>
      </w:r>
      <w:r w:rsidR="00592BF9">
        <w:fldChar w:fldCharType="begin"/>
      </w:r>
      <w:r w:rsidR="00592BF9">
        <w:instrText xml:space="preserve"> REF _Ref19517741 \h </w:instrText>
      </w:r>
      <w:r w:rsidR="00592BF9">
        <w:fldChar w:fldCharType="separate"/>
      </w:r>
      <w:r w:rsidR="00154150" w:rsidRPr="00462AD9">
        <w:t xml:space="preserve">Slika </w:t>
      </w:r>
      <w:r w:rsidR="00154150">
        <w:rPr>
          <w:noProof/>
        </w:rPr>
        <w:t>4</w:t>
      </w:r>
      <w:r w:rsidR="00154150">
        <w:noBreakHyphen/>
      </w:r>
      <w:r w:rsidR="00154150">
        <w:rPr>
          <w:noProof/>
        </w:rPr>
        <w:t>21</w:t>
      </w:r>
      <w:r w:rsidR="00154150" w:rsidRPr="00462AD9">
        <w:t>.</w:t>
      </w:r>
      <w:r w:rsidR="00592BF9">
        <w:fldChar w:fldCharType="end"/>
      </w:r>
      <w:r w:rsidR="00592BF9">
        <w:t xml:space="preserve"> </w:t>
      </w:r>
      <w:r w:rsidR="00A17BFA">
        <w:t>prikaz</w:t>
      </w:r>
      <w:r w:rsidR="00592BF9">
        <w:t>uje</w:t>
      </w:r>
      <w:r w:rsidR="00A17BFA">
        <w:t xml:space="preserve"> omjer</w:t>
      </w:r>
      <w:r w:rsidR="00471E9F">
        <w:t>e</w:t>
      </w:r>
      <w:r w:rsidR="00A17BFA">
        <w:t xml:space="preserve"> instalirane snage interkonektivnih vodova i vršnog opterećenja, odnosno instalirane snage proizvodnje</w:t>
      </w:r>
      <w:r w:rsidR="00636AD6">
        <w:t xml:space="preserve"> u europskim zemljama</w:t>
      </w:r>
      <w:r w:rsidR="00A17BFA">
        <w:t>. Po oba navedena kriterija Hrvatska je među najbolje povezanim zemljama Europe, zajedno s ostalim malim sustavima u kojima je relativno niska razina opterećenja i instalirane snage elektrana.</w:t>
      </w:r>
    </w:p>
    <w:p w14:paraId="6530D706" w14:textId="01E1594D" w:rsidR="00A17BFA" w:rsidRDefault="00A17BFA" w:rsidP="00A17BFA">
      <w:pPr>
        <w:jc w:val="center"/>
      </w:pPr>
      <w:r>
        <w:rPr>
          <w:noProof/>
        </w:rPr>
        <w:drawing>
          <wp:inline distT="0" distB="0" distL="0" distR="0" wp14:anchorId="6962E9A7" wp14:editId="12AA9672">
            <wp:extent cx="5673271" cy="2622550"/>
            <wp:effectExtent l="0" t="0" r="381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6755" t="28611" r="36508" b="32980"/>
                    <a:stretch/>
                  </pic:blipFill>
                  <pic:spPr bwMode="auto">
                    <a:xfrm>
                      <a:off x="0" y="0"/>
                      <a:ext cx="5685828" cy="2628355"/>
                    </a:xfrm>
                    <a:prstGeom prst="rect">
                      <a:avLst/>
                    </a:prstGeom>
                    <a:ln>
                      <a:noFill/>
                    </a:ln>
                    <a:extLst>
                      <a:ext uri="{53640926-AAD7-44D8-BBD7-CCE9431645EC}">
                        <a14:shadowObscured xmlns:a14="http://schemas.microsoft.com/office/drawing/2010/main"/>
                      </a:ext>
                    </a:extLst>
                  </pic:spPr>
                </pic:pic>
              </a:graphicData>
            </a:graphic>
          </wp:inline>
        </w:drawing>
      </w:r>
    </w:p>
    <w:p w14:paraId="146664B1" w14:textId="67F49D77" w:rsidR="00F03128" w:rsidRPr="00462AD9" w:rsidRDefault="00F03128" w:rsidP="00F03128">
      <w:pPr>
        <w:pStyle w:val="Caption"/>
      </w:pPr>
      <w:bookmarkStart w:id="528" w:name="_Ref19517741"/>
      <w:bookmarkStart w:id="529" w:name="_Toc27396173"/>
      <w:r w:rsidRPr="00462AD9">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21</w:t>
      </w:r>
      <w:r>
        <w:rPr>
          <w:noProof/>
        </w:rPr>
        <w:fldChar w:fldCharType="end"/>
      </w:r>
      <w:r w:rsidRPr="00462AD9">
        <w:t>.</w:t>
      </w:r>
      <w:bookmarkEnd w:id="528"/>
      <w:r w:rsidRPr="00462AD9">
        <w:t xml:space="preserve"> </w:t>
      </w:r>
      <w:r w:rsidR="00711F24">
        <w:t>I</w:t>
      </w:r>
      <w:r w:rsidR="00592BF9">
        <w:t>nstaliran</w:t>
      </w:r>
      <w:r w:rsidR="00711F24">
        <w:t>a</w:t>
      </w:r>
      <w:r w:rsidR="00592BF9">
        <w:t xml:space="preserve"> snag</w:t>
      </w:r>
      <w:r w:rsidR="00711F24">
        <w:t>a</w:t>
      </w:r>
      <w:r w:rsidR="00592BF9">
        <w:t xml:space="preserve"> interkonektivnih vodova</w:t>
      </w:r>
      <w:r w:rsidR="00850CA4">
        <w:t xml:space="preserve"> i instaliran</w:t>
      </w:r>
      <w:r w:rsidR="00711F24">
        <w:t>a</w:t>
      </w:r>
      <w:r w:rsidR="00850CA4">
        <w:t xml:space="preserve"> snag</w:t>
      </w:r>
      <w:r w:rsidR="00711F24">
        <w:t>a</w:t>
      </w:r>
      <w:r w:rsidR="00850CA4">
        <w:t xml:space="preserve"> proizvodnje</w:t>
      </w:r>
      <w:r w:rsidR="00711F24">
        <w:t xml:space="preserve"> u odnosu na</w:t>
      </w:r>
      <w:r w:rsidR="00592BF9">
        <w:t xml:space="preserve"> vršno opterećenj</w:t>
      </w:r>
      <w:r w:rsidR="00711F24">
        <w:t>e</w:t>
      </w:r>
      <w:r w:rsidR="00592BF9">
        <w:t xml:space="preserve"> u europskim zemljama</w:t>
      </w:r>
      <w:bookmarkEnd w:id="529"/>
    </w:p>
    <w:p w14:paraId="213D26E5" w14:textId="796AD1C9" w:rsidR="005B4729" w:rsidRPr="00462AD9" w:rsidRDefault="005B4729" w:rsidP="005B4729">
      <w:pPr>
        <w:widowControl w:val="0"/>
      </w:pPr>
      <w:r w:rsidRPr="00462AD9">
        <w:t xml:space="preserve">Nepovoljna karakteristika prijenosne mreže je relativno visoki udio starih postrojenja i jedinica mreže, posebno naponske razine 110 kV i 220 kV, koje u idućem razdoblju HOPS planira sistematski obnavljati i revitalizirati. Usprkos tomu, postojeći su pokazatelji pouzdanosti na vrlo visokoj razini uz relativno nizak iznos godišnjih gubitaka električne energije (ispod 500 GWh) imajući u vidu visoke tranzite kojima je mreža izložena. </w:t>
      </w:r>
    </w:p>
    <w:p w14:paraId="4209D956" w14:textId="77777777" w:rsidR="005B4729" w:rsidRPr="00462AD9" w:rsidRDefault="005B4729" w:rsidP="005B4729">
      <w:pPr>
        <w:widowControl w:val="0"/>
      </w:pPr>
      <w:r w:rsidRPr="00462AD9">
        <w:t>Posljednjih godina HOPS je registrirao nepovoljan trend u procjenama sigurnosti opskrbe kupaca električnom energijom radi nedostatnih proizvodnih postrojenja na području RH, uzrokovanih tržišnim razlozima (nekonkurentnost domaćih elektrana poput TE Rijeka, TE Sisak A i B), odnosno velikim kvarovima i/ili ekološkim razlozima (poput TE Plomin 1 i TE</w:t>
      </w:r>
      <w:r w:rsidRPr="00462AD9">
        <w:noBreakHyphen/>
        <w:t>TO Zagreb blok C). Zbog toga dostatnost/sigurnost opskrbe kupaca sve više ovisi o uvozu električne energije čije su mogućnosti uvjetovane raspoloživošću prekograničnih prijenosnih kapaciteta i iznosima tih kapaciteta koji se daju na korištenje tržišnim sudionicima, a na čije vrijednosti HOPS ne može samostalno utjecati.</w:t>
      </w:r>
    </w:p>
    <w:p w14:paraId="2E706061" w14:textId="77777777" w:rsidR="00A626AB" w:rsidRDefault="00A626AB" w:rsidP="00A626AB">
      <w:r w:rsidRPr="00DB7DF8">
        <w:rPr>
          <w:b/>
        </w:rPr>
        <w:t>Plinski transportni sustav RH</w:t>
      </w:r>
      <w:r>
        <w:t xml:space="preserve"> sastoji se od ukupno 2 693 km plinovoda kojima raspolaže operator transportnog sustava (PLINACRO). Plin su u transportni plinski sustav preuzima preko devet priključaka na ulaznim mjernim stanicama, od čega je šest priključaka u funkciji prihvata iz proizvodnih polja na teritoriju Republike Hrvatske, dva priključka za prihvat plina iz uvoznih dobavnih pravaca te jedan priključak u funkciji povlačenja plina iz podzemnog skladišta plina Okoli.</w:t>
      </w:r>
    </w:p>
    <w:p w14:paraId="282E3E22" w14:textId="77777777" w:rsidR="00A626AB" w:rsidRDefault="00A626AB" w:rsidP="00A626AB">
      <w:r>
        <w:t>Predaja plina iz transportnog sustava odvija se preko 194 priključka na 157 izlaznih mjerno-redukcijskih stanica. T</w:t>
      </w:r>
      <w:r w:rsidRPr="005F77A6">
        <w:t xml:space="preserve">ransportni plinski sustav RH dosegao </w:t>
      </w:r>
      <w:r>
        <w:t xml:space="preserve">je </w:t>
      </w:r>
      <w:r w:rsidRPr="005F77A6">
        <w:t>značajnu razinu razvijenosti, kako prema kapacitetima i prema rasprostranjenosti na gotovo 95 % teritorija RH, tako i u povezanosti s plinskim sustavima susjednih zemalja, te u tehnološkoj pouzdanosti i operativnoj sigurnosti</w:t>
      </w:r>
      <w:r>
        <w:t>. Transportni plinski sustav omogućuje predaju plina na području 19 županija.</w:t>
      </w:r>
    </w:p>
    <w:p w14:paraId="1112707A" w14:textId="77777777" w:rsidR="00A626AB" w:rsidRDefault="00A626AB" w:rsidP="00A626AB">
      <w:r>
        <w:t>Plinski transportni sustav RH prikazan je na slici u nastavku.</w:t>
      </w:r>
    </w:p>
    <w:p w14:paraId="0B71AECC" w14:textId="77777777" w:rsidR="00A626AB" w:rsidRDefault="00A626AB" w:rsidP="00A626AB">
      <w:r w:rsidRPr="00BA49CB">
        <w:rPr>
          <w:rFonts w:eastAsia="Calibri"/>
          <w:noProof/>
        </w:rPr>
        <w:drawing>
          <wp:inline distT="0" distB="0" distL="0" distR="0" wp14:anchorId="3CE24B01" wp14:editId="5064451F">
            <wp:extent cx="5760720" cy="3666863"/>
            <wp:effectExtent l="0" t="0" r="0" b="0"/>
            <wp:docPr id="21" name="Picture 12" descr="Description: Y:\INSTITUCIJE\Hrvatska energetska regulatorna agencija\Godišnja izvješća\Podaci za izradu GI o radu HERA\2013\Plinski transportni sustav-31.12.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Y:\INSTITUCIJE\Hrvatska energetska regulatorna agencija\Godišnja izvješća\Podaci za izradu GI o radu HERA\2013\Plinski transportni sustav-31.12.201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720" cy="3666863"/>
                    </a:xfrm>
                    <a:prstGeom prst="rect">
                      <a:avLst/>
                    </a:prstGeom>
                    <a:noFill/>
                    <a:ln>
                      <a:noFill/>
                    </a:ln>
                  </pic:spPr>
                </pic:pic>
              </a:graphicData>
            </a:graphic>
          </wp:inline>
        </w:drawing>
      </w:r>
    </w:p>
    <w:p w14:paraId="0ABF1A11" w14:textId="1CAE1A3B" w:rsidR="00C95155" w:rsidRPr="00462AD9" w:rsidRDefault="00C95155" w:rsidP="00C95155">
      <w:pPr>
        <w:pStyle w:val="Caption"/>
      </w:pPr>
      <w:bookmarkStart w:id="530" w:name="_Toc27396174"/>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22</w:t>
      </w:r>
      <w:r w:rsidR="005A7E31">
        <w:rPr>
          <w:noProof/>
        </w:rPr>
        <w:fldChar w:fldCharType="end"/>
      </w:r>
      <w:r w:rsidRPr="00462AD9">
        <w:t xml:space="preserve">. </w:t>
      </w:r>
      <w:r w:rsidRPr="00C95155">
        <w:t>Plinski transportni sustav u Republici Hrvatskoj</w:t>
      </w:r>
      <w:bookmarkEnd w:id="530"/>
    </w:p>
    <w:p w14:paraId="221E97AD" w14:textId="77777777" w:rsidR="00A626AB" w:rsidRPr="00BA49CB" w:rsidRDefault="00A626AB" w:rsidP="00A626AB">
      <w:pPr>
        <w:jc w:val="center"/>
        <w:rPr>
          <w:i/>
          <w:sz w:val="20"/>
          <w:szCs w:val="20"/>
        </w:rPr>
      </w:pPr>
      <w:r w:rsidRPr="00BA49CB">
        <w:rPr>
          <w:i/>
          <w:sz w:val="20"/>
          <w:szCs w:val="20"/>
        </w:rPr>
        <w:t>Izvor: PLINACRO</w:t>
      </w:r>
    </w:p>
    <w:p w14:paraId="0AAD7EB3" w14:textId="1F70D805" w:rsidR="00A626AB" w:rsidRDefault="00A626AB" w:rsidP="00A626AB">
      <w:r w:rsidRPr="005D443B">
        <w:t>U 2017. godini sustavom je transportirano 32,348 TWh prirodnog plina od čega 29,149 TWh od ulaza u transportni sustav do izlaznih mjerno-redukcijskih stanica te ostatak od 3,199 TWh do podzemnog skladišta plina Okoli. Tijekom 2017. godine na razini sustava ostvaren je najveći transport u iznosu od 158 GWh/dan.</w:t>
      </w:r>
    </w:p>
    <w:p w14:paraId="471C08D0" w14:textId="198AFAF7" w:rsidR="003F32E7" w:rsidRDefault="003F32E7" w:rsidP="00A626AB"/>
    <w:p w14:paraId="03CAA2B0" w14:textId="77777777" w:rsidR="003F32E7" w:rsidRDefault="003F32E7" w:rsidP="00A626AB"/>
    <w:p w14:paraId="334AD7DE" w14:textId="77777777" w:rsidR="00736C33" w:rsidRPr="00BE1ECD" w:rsidRDefault="00736C33" w:rsidP="00840E2E">
      <w:pPr>
        <w:pStyle w:val="Heading3"/>
        <w:numPr>
          <w:ilvl w:val="0"/>
          <w:numId w:val="83"/>
        </w:numPr>
      </w:pPr>
      <w:r w:rsidRPr="00BE1ECD">
        <w:t xml:space="preserve">Projekcije u pogledu zahtjeva za širenjem mreže barem do 2040. (uključujući projekcije za 2030.) </w:t>
      </w:r>
    </w:p>
    <w:p w14:paraId="6D2BCFE4" w14:textId="73B7EC8B" w:rsidR="00B8686F" w:rsidRPr="00462AD9" w:rsidRDefault="00B8686F" w:rsidP="00B8686F">
      <w:pPr>
        <w:rPr>
          <w:rFonts w:cs="Arial"/>
        </w:rPr>
      </w:pPr>
      <w:r w:rsidRPr="00462AD9">
        <w:rPr>
          <w:rFonts w:cs="Arial"/>
        </w:rPr>
        <w:t xml:space="preserve">Imajući u vidu </w:t>
      </w:r>
      <w:r>
        <w:rPr>
          <w:rFonts w:cs="Arial"/>
        </w:rPr>
        <w:t xml:space="preserve">očekivanu ubrzanu integraciju OiE i predviđenu energetsku tranziciju u cilju smanjenja emisija stakleničkih plinova, </w:t>
      </w:r>
      <w:r w:rsidRPr="00DB7DF8">
        <w:rPr>
          <w:rFonts w:cs="Arial"/>
          <w:b/>
        </w:rPr>
        <w:t xml:space="preserve">razvoj prijenosne </w:t>
      </w:r>
      <w:r w:rsidR="005742C0" w:rsidRPr="00DB7DF8">
        <w:rPr>
          <w:rFonts w:cs="Arial"/>
          <w:b/>
        </w:rPr>
        <w:t>elektroenergetske</w:t>
      </w:r>
      <w:r w:rsidRPr="00DB7DF8">
        <w:rPr>
          <w:rFonts w:cs="Arial"/>
          <w:b/>
        </w:rPr>
        <w:t xml:space="preserve"> mreže</w:t>
      </w:r>
      <w:r>
        <w:rPr>
          <w:rFonts w:cs="Arial"/>
        </w:rPr>
        <w:t xml:space="preserve"> treba odrediti uzimajući u obzir sljedeće</w:t>
      </w:r>
      <w:r w:rsidRPr="00462AD9">
        <w:rPr>
          <w:rFonts w:cs="Arial"/>
        </w:rPr>
        <w:t>:</w:t>
      </w:r>
    </w:p>
    <w:p w14:paraId="44D35617" w14:textId="77777777" w:rsidR="00B8686F" w:rsidRPr="00462AD9" w:rsidRDefault="00B8686F" w:rsidP="00840E2E">
      <w:pPr>
        <w:pStyle w:val="ListParagraph"/>
        <w:numPr>
          <w:ilvl w:val="0"/>
          <w:numId w:val="20"/>
        </w:numPr>
        <w:suppressAutoHyphens w:val="0"/>
        <w:contextualSpacing/>
        <w:rPr>
          <w:rFonts w:cs="Arial"/>
        </w:rPr>
      </w:pPr>
      <w:r w:rsidRPr="00462AD9">
        <w:rPr>
          <w:rFonts w:cs="Arial"/>
        </w:rPr>
        <w:t xml:space="preserve">planirano je vršno opterećenje na razini prijenosne mreže u iznosima od </w:t>
      </w:r>
      <w:r>
        <w:rPr>
          <w:rFonts w:cs="Arial"/>
        </w:rPr>
        <w:t xml:space="preserve">oko </w:t>
      </w:r>
      <w:r w:rsidRPr="00462AD9">
        <w:rPr>
          <w:rFonts w:cs="Arial"/>
        </w:rPr>
        <w:t>29</w:t>
      </w:r>
      <w:r>
        <w:rPr>
          <w:rFonts w:cs="Arial"/>
        </w:rPr>
        <w:t>00</w:t>
      </w:r>
      <w:r w:rsidRPr="00462AD9">
        <w:rPr>
          <w:rFonts w:cs="Arial"/>
        </w:rPr>
        <w:t xml:space="preserve"> MW u 2020. godini, te </w:t>
      </w:r>
      <w:r>
        <w:rPr>
          <w:rFonts w:cs="Arial"/>
        </w:rPr>
        <w:t>oko 3200</w:t>
      </w:r>
      <w:r w:rsidRPr="00462AD9">
        <w:rPr>
          <w:rFonts w:cs="Arial"/>
        </w:rPr>
        <w:t xml:space="preserve"> MW u 2030. godini,</w:t>
      </w:r>
    </w:p>
    <w:p w14:paraId="7A9A785C" w14:textId="77777777" w:rsidR="00B8686F" w:rsidRPr="00462AD9" w:rsidRDefault="00B8686F" w:rsidP="00840E2E">
      <w:pPr>
        <w:pStyle w:val="ListParagraph"/>
        <w:numPr>
          <w:ilvl w:val="0"/>
          <w:numId w:val="20"/>
        </w:numPr>
        <w:suppressAutoHyphens w:val="0"/>
        <w:contextualSpacing/>
        <w:rPr>
          <w:rFonts w:cs="Arial"/>
        </w:rPr>
      </w:pPr>
      <w:r w:rsidRPr="00462AD9">
        <w:rPr>
          <w:rFonts w:cs="Arial"/>
        </w:rPr>
        <w:t xml:space="preserve">za </w:t>
      </w:r>
      <w:r>
        <w:rPr>
          <w:rFonts w:cs="Arial"/>
        </w:rPr>
        <w:t>moguće</w:t>
      </w:r>
      <w:r w:rsidRPr="00462AD9">
        <w:rPr>
          <w:rFonts w:cs="Arial"/>
        </w:rPr>
        <w:t xml:space="preserve"> scenarij</w:t>
      </w:r>
      <w:r>
        <w:rPr>
          <w:rFonts w:cs="Arial"/>
        </w:rPr>
        <w:t>e razvoja</w:t>
      </w:r>
      <w:r w:rsidRPr="00462AD9">
        <w:rPr>
          <w:rFonts w:cs="Arial"/>
        </w:rPr>
        <w:t xml:space="preserve"> planirana je izgradnja i priključak na 110 kV mrežu </w:t>
      </w:r>
      <w:r>
        <w:rPr>
          <w:rFonts w:cs="Arial"/>
        </w:rPr>
        <w:t xml:space="preserve">jedne nove </w:t>
      </w:r>
      <w:r w:rsidRPr="00462AD9">
        <w:rPr>
          <w:rFonts w:cs="Arial"/>
        </w:rPr>
        <w:t xml:space="preserve">HE (snage </w:t>
      </w:r>
      <w:r>
        <w:rPr>
          <w:rFonts w:cs="Arial"/>
        </w:rPr>
        <w:t>~</w:t>
      </w:r>
      <w:r w:rsidRPr="00462AD9">
        <w:rPr>
          <w:rFonts w:cs="Arial"/>
        </w:rPr>
        <w:t xml:space="preserve">36 MW) u 2024. godini, priključak na mrežu 220 kV (400 kV) </w:t>
      </w:r>
      <w:r>
        <w:rPr>
          <w:rFonts w:cs="Arial"/>
        </w:rPr>
        <w:t xml:space="preserve">druge </w:t>
      </w:r>
      <w:r w:rsidRPr="00462AD9">
        <w:rPr>
          <w:rFonts w:cs="Arial"/>
        </w:rPr>
        <w:t xml:space="preserve">HE (snage </w:t>
      </w:r>
      <w:r>
        <w:rPr>
          <w:rFonts w:cs="Arial"/>
        </w:rPr>
        <w:t>~</w:t>
      </w:r>
      <w:r w:rsidRPr="00462AD9">
        <w:rPr>
          <w:rFonts w:cs="Arial"/>
        </w:rPr>
        <w:t xml:space="preserve">380 MW) u 2026. godini, te izgradnja i priključak na mrežu 110 kV nove CHE (snage </w:t>
      </w:r>
      <w:r>
        <w:rPr>
          <w:rFonts w:cs="Arial"/>
        </w:rPr>
        <w:t>~</w:t>
      </w:r>
      <w:r w:rsidRPr="00462AD9">
        <w:rPr>
          <w:rFonts w:cs="Arial"/>
        </w:rPr>
        <w:t>150 MW) u 2028. godini,</w:t>
      </w:r>
    </w:p>
    <w:p w14:paraId="1308509E" w14:textId="77777777" w:rsidR="00B8686F" w:rsidRPr="00462AD9" w:rsidRDefault="00B8686F" w:rsidP="00840E2E">
      <w:pPr>
        <w:pStyle w:val="ListParagraph"/>
        <w:numPr>
          <w:ilvl w:val="0"/>
          <w:numId w:val="20"/>
        </w:numPr>
        <w:suppressAutoHyphens w:val="0"/>
        <w:contextualSpacing/>
        <w:rPr>
          <w:rFonts w:cs="Arial"/>
        </w:rPr>
      </w:pPr>
      <w:r w:rsidRPr="00462AD9">
        <w:rPr>
          <w:rFonts w:cs="Arial"/>
        </w:rPr>
        <w:t xml:space="preserve">za </w:t>
      </w:r>
      <w:r>
        <w:rPr>
          <w:rFonts w:cs="Arial"/>
        </w:rPr>
        <w:t>moguće</w:t>
      </w:r>
      <w:r w:rsidRPr="00462AD9">
        <w:rPr>
          <w:rFonts w:cs="Arial"/>
        </w:rPr>
        <w:t xml:space="preserve"> scenarij</w:t>
      </w:r>
      <w:r>
        <w:rPr>
          <w:rFonts w:cs="Arial"/>
        </w:rPr>
        <w:t>e razvoja</w:t>
      </w:r>
      <w:r w:rsidRPr="00462AD9">
        <w:rPr>
          <w:rFonts w:cs="Arial"/>
        </w:rPr>
        <w:t xml:space="preserve"> predviđen je ulazak u pogon novog CCGT bloka snage 150 MW na </w:t>
      </w:r>
      <w:r>
        <w:rPr>
          <w:rFonts w:cs="Arial"/>
        </w:rPr>
        <w:t>području</w:t>
      </w:r>
      <w:r w:rsidRPr="00462AD9">
        <w:rPr>
          <w:rFonts w:cs="Arial"/>
        </w:rPr>
        <w:t xml:space="preserve"> Zagreb</w:t>
      </w:r>
      <w:r>
        <w:rPr>
          <w:rFonts w:cs="Arial"/>
        </w:rPr>
        <w:t>a</w:t>
      </w:r>
      <w:r w:rsidRPr="00462AD9">
        <w:rPr>
          <w:rFonts w:cs="Arial"/>
        </w:rPr>
        <w:t xml:space="preserve"> u 2023. godini, te izgradnja novih plinskih blokova/bloka ukupne snage 300 MW u 2028. godini,</w:t>
      </w:r>
    </w:p>
    <w:p w14:paraId="41098627" w14:textId="77777777" w:rsidR="00B8686F" w:rsidRPr="00462AD9" w:rsidRDefault="00B8686F" w:rsidP="00840E2E">
      <w:pPr>
        <w:pStyle w:val="ListParagraph"/>
        <w:numPr>
          <w:ilvl w:val="0"/>
          <w:numId w:val="20"/>
        </w:numPr>
        <w:suppressAutoHyphens w:val="0"/>
        <w:contextualSpacing/>
        <w:rPr>
          <w:rFonts w:cs="Arial"/>
        </w:rPr>
      </w:pPr>
      <w:r w:rsidRPr="00462AD9">
        <w:rPr>
          <w:rFonts w:cs="Arial"/>
        </w:rPr>
        <w:t xml:space="preserve">izgradnja ukupno </w:t>
      </w:r>
      <w:r>
        <w:rPr>
          <w:rFonts w:cs="Arial"/>
        </w:rPr>
        <w:t xml:space="preserve">1364 MW - </w:t>
      </w:r>
      <w:r w:rsidRPr="00462AD9">
        <w:rPr>
          <w:rFonts w:cs="Arial"/>
        </w:rPr>
        <w:t>1634 MW</w:t>
      </w:r>
      <w:r>
        <w:rPr>
          <w:rFonts w:cs="Arial"/>
        </w:rPr>
        <w:t xml:space="preserve"> </w:t>
      </w:r>
      <w:r w:rsidRPr="00462AD9">
        <w:rPr>
          <w:rFonts w:cs="Arial"/>
        </w:rPr>
        <w:t>u vjetroelektranama, što je povećanje u odnosu na postojeću izgrađenost VE od</w:t>
      </w:r>
      <w:r>
        <w:rPr>
          <w:rFonts w:cs="Arial"/>
        </w:rPr>
        <w:t xml:space="preserve"> 788 MW do</w:t>
      </w:r>
      <w:r w:rsidRPr="00462AD9">
        <w:rPr>
          <w:rFonts w:cs="Arial"/>
        </w:rPr>
        <w:t xml:space="preserve"> 1</w:t>
      </w:r>
      <w:r>
        <w:rPr>
          <w:rFonts w:cs="Arial"/>
        </w:rPr>
        <w:t xml:space="preserve"> </w:t>
      </w:r>
      <w:r w:rsidRPr="00462AD9">
        <w:rPr>
          <w:rFonts w:cs="Arial"/>
        </w:rPr>
        <w:t>058 MW,</w:t>
      </w:r>
    </w:p>
    <w:p w14:paraId="256C6E52" w14:textId="77777777" w:rsidR="00B8686F" w:rsidRPr="00462AD9" w:rsidRDefault="00B8686F" w:rsidP="00840E2E">
      <w:pPr>
        <w:pStyle w:val="ListParagraph"/>
        <w:numPr>
          <w:ilvl w:val="0"/>
          <w:numId w:val="20"/>
        </w:numPr>
        <w:suppressAutoHyphens w:val="0"/>
        <w:contextualSpacing/>
        <w:rPr>
          <w:rFonts w:cs="Arial"/>
        </w:rPr>
      </w:pPr>
      <w:r w:rsidRPr="00462AD9">
        <w:rPr>
          <w:rFonts w:cs="Arial"/>
        </w:rPr>
        <w:t xml:space="preserve">izgradnja ukupno </w:t>
      </w:r>
      <w:r>
        <w:rPr>
          <w:rFonts w:cs="Arial"/>
        </w:rPr>
        <w:t xml:space="preserve">144 MW do </w:t>
      </w:r>
      <w:r w:rsidRPr="00462AD9">
        <w:rPr>
          <w:rFonts w:cs="Arial"/>
        </w:rPr>
        <w:t>387 MW u sunčanim elektranama priključenim na prijenosnu mrežu,</w:t>
      </w:r>
    </w:p>
    <w:p w14:paraId="4BD105B2" w14:textId="01016A4F" w:rsidR="00B8686F" w:rsidRPr="00462AD9" w:rsidRDefault="00B8686F" w:rsidP="00840E2E">
      <w:pPr>
        <w:pStyle w:val="ListParagraph"/>
        <w:numPr>
          <w:ilvl w:val="0"/>
          <w:numId w:val="20"/>
        </w:numPr>
        <w:suppressAutoHyphens w:val="0"/>
        <w:contextualSpacing/>
        <w:rPr>
          <w:rFonts w:cs="Arial"/>
        </w:rPr>
      </w:pPr>
      <w:r w:rsidRPr="00462AD9">
        <w:rPr>
          <w:rFonts w:cs="Arial"/>
        </w:rPr>
        <w:t>ostanak u pogonu TE Plomin 2 do promatranog vremenskog presjeka, te nastavak preuzimanja polovice proizvodnje NE Krško.</w:t>
      </w:r>
      <w:r w:rsidR="0086329E">
        <w:rPr>
          <w:rFonts w:cs="Arial"/>
        </w:rPr>
        <w:t xml:space="preserve"> </w:t>
      </w:r>
    </w:p>
    <w:p w14:paraId="2CD46990" w14:textId="77777777" w:rsidR="00B8686F" w:rsidRPr="00462AD9" w:rsidRDefault="00B8686F" w:rsidP="00B8686F">
      <w:pPr>
        <w:rPr>
          <w:rFonts w:cs="Arial"/>
        </w:rPr>
      </w:pPr>
      <w:r w:rsidRPr="00462AD9">
        <w:rPr>
          <w:rFonts w:cs="Arial"/>
        </w:rPr>
        <w:t xml:space="preserve">Preliminarna je procjena da bi ukupna ulaganja u prijenosnu mrežu (uključujući priključke novih konvencionalnih elektrana, vjetroelektrana i sunčanih elektrana, te razne ostale troškove identificirane u desetogodišnjem planu razvoja prijenosne mreže 2018.-2027.), imajući u vidu prethodno opisane ulazne pretpostavke, u razdoblju do 2030. godine iznosila oko </w:t>
      </w:r>
      <w:r>
        <w:rPr>
          <w:rFonts w:cs="Arial"/>
        </w:rPr>
        <w:t xml:space="preserve">7,9 do </w:t>
      </w:r>
      <w:r w:rsidRPr="00462AD9">
        <w:rPr>
          <w:rFonts w:cs="Arial"/>
        </w:rPr>
        <w:t xml:space="preserve">8,2 milijardi kuna, a uz pretpostavku jednakih godišnjih ulaganja to bi značilo investicijski trošak od </w:t>
      </w:r>
      <w:r>
        <w:rPr>
          <w:rFonts w:cs="Arial"/>
        </w:rPr>
        <w:t xml:space="preserve">666 do </w:t>
      </w:r>
      <w:r w:rsidRPr="00462AD9">
        <w:rPr>
          <w:rFonts w:cs="Arial"/>
        </w:rPr>
        <w:t xml:space="preserve">686 milijuna kuna/godišnje. </w:t>
      </w:r>
    </w:p>
    <w:p w14:paraId="6BE2825D" w14:textId="77777777" w:rsidR="00B8686F" w:rsidRPr="00462AD9" w:rsidRDefault="00B8686F" w:rsidP="00B8686F">
      <w:pPr>
        <w:rPr>
          <w:rFonts w:cs="Arial"/>
        </w:rPr>
      </w:pPr>
      <w:r>
        <w:rPr>
          <w:noProof/>
        </w:rPr>
        <w:drawing>
          <wp:inline distT="0" distB="0" distL="0" distR="0" wp14:anchorId="72ED863A" wp14:editId="1D4341FA">
            <wp:extent cx="5760084" cy="5391152"/>
            <wp:effectExtent l="0" t="0" r="0" b="0"/>
            <wp:docPr id="9037974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5760084" cy="5391152"/>
                    </a:xfrm>
                    <a:prstGeom prst="rect">
                      <a:avLst/>
                    </a:prstGeom>
                  </pic:spPr>
                </pic:pic>
              </a:graphicData>
            </a:graphic>
          </wp:inline>
        </w:drawing>
      </w:r>
    </w:p>
    <w:p w14:paraId="6BB02DCE" w14:textId="09D9B1F3" w:rsidR="00B8686F" w:rsidRPr="00462AD9" w:rsidRDefault="00B8686F" w:rsidP="00B8686F">
      <w:pPr>
        <w:pStyle w:val="Caption"/>
      </w:pPr>
      <w:bookmarkStart w:id="531" w:name="_Toc528672976"/>
      <w:bookmarkStart w:id="532" w:name="_Toc27396175"/>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23</w:t>
      </w:r>
      <w:r w:rsidR="005A7E31">
        <w:rPr>
          <w:noProof/>
        </w:rPr>
        <w:fldChar w:fldCharType="end"/>
      </w:r>
      <w:r w:rsidRPr="00462AD9">
        <w:t xml:space="preserve">. </w:t>
      </w:r>
      <w:r w:rsidRPr="00462AD9">
        <w:rPr>
          <w:rFonts w:cs="Arial"/>
          <w:szCs w:val="20"/>
        </w:rPr>
        <w:t>Predvidiva topologija 400 kV i 220 kV mreže na području RH 2030. godine</w:t>
      </w:r>
      <w:bookmarkEnd w:id="531"/>
      <w:bookmarkEnd w:id="532"/>
      <w:r w:rsidRPr="00462AD9">
        <w:t xml:space="preserve"> </w:t>
      </w:r>
    </w:p>
    <w:p w14:paraId="60DA3A22" w14:textId="5223EB57" w:rsidR="00B8686F" w:rsidRPr="00462AD9" w:rsidRDefault="00B8686F" w:rsidP="00B8686F">
      <w:pPr>
        <w:rPr>
          <w:rFonts w:cs="Arial"/>
        </w:rPr>
      </w:pPr>
      <w:r w:rsidRPr="00462AD9">
        <w:rPr>
          <w:rFonts w:cs="Arial"/>
        </w:rPr>
        <w:t>Osim većeg dijela investicija već sadržanih u službenom desetogodišnjem planu razvoja prijenosne mreže u razdoblju 201</w:t>
      </w:r>
      <w:r w:rsidR="0049486A">
        <w:rPr>
          <w:rFonts w:cs="Arial"/>
        </w:rPr>
        <w:t>9</w:t>
      </w:r>
      <w:r w:rsidRPr="00462AD9">
        <w:rPr>
          <w:rFonts w:cs="Arial"/>
        </w:rPr>
        <w:t>.-</w:t>
      </w:r>
      <w:r w:rsidR="0049486A" w:rsidRPr="00462AD9">
        <w:rPr>
          <w:rFonts w:cs="Arial"/>
        </w:rPr>
        <w:t>202</w:t>
      </w:r>
      <w:r w:rsidR="0049486A">
        <w:rPr>
          <w:rFonts w:cs="Arial"/>
        </w:rPr>
        <w:t>8</w:t>
      </w:r>
      <w:r w:rsidRPr="00462AD9">
        <w:rPr>
          <w:rFonts w:cs="Arial"/>
        </w:rPr>
        <w:t>. godine, investicijski zahtjevnij</w:t>
      </w:r>
      <w:r>
        <w:rPr>
          <w:rFonts w:cs="Arial"/>
        </w:rPr>
        <w:t>a</w:t>
      </w:r>
      <w:r w:rsidRPr="00462AD9">
        <w:rPr>
          <w:rFonts w:cs="Arial"/>
        </w:rPr>
        <w:t xml:space="preserve"> dodatn</w:t>
      </w:r>
      <w:r>
        <w:rPr>
          <w:rFonts w:cs="Arial"/>
        </w:rPr>
        <w:t>a</w:t>
      </w:r>
      <w:r w:rsidRPr="00462AD9">
        <w:rPr>
          <w:rFonts w:cs="Arial"/>
        </w:rPr>
        <w:t xml:space="preserve"> </w:t>
      </w:r>
      <w:r>
        <w:rPr>
          <w:rFonts w:cs="Arial"/>
        </w:rPr>
        <w:t>pojačanja</w:t>
      </w:r>
      <w:r w:rsidRPr="00462AD9">
        <w:rPr>
          <w:rFonts w:cs="Arial"/>
        </w:rPr>
        <w:t xml:space="preserve"> mreže </w:t>
      </w:r>
      <w:r>
        <w:rPr>
          <w:rFonts w:cs="Arial"/>
        </w:rPr>
        <w:t>su</w:t>
      </w:r>
      <w:r w:rsidRPr="00462AD9">
        <w:rPr>
          <w:rFonts w:cs="Arial"/>
        </w:rPr>
        <w:t xml:space="preserve"> sljedeće:</w:t>
      </w:r>
    </w:p>
    <w:p w14:paraId="2EF525C3" w14:textId="77777777" w:rsidR="00B8686F" w:rsidRPr="00462AD9" w:rsidRDefault="00B8686F" w:rsidP="00840E2E">
      <w:pPr>
        <w:pStyle w:val="ListParagraph"/>
        <w:numPr>
          <w:ilvl w:val="0"/>
          <w:numId w:val="21"/>
        </w:numPr>
        <w:suppressAutoHyphens w:val="0"/>
        <w:contextualSpacing/>
        <w:rPr>
          <w:rFonts w:cs="Arial"/>
        </w:rPr>
      </w:pPr>
      <w:r w:rsidRPr="00462AD9">
        <w:rPr>
          <w:rFonts w:cs="Arial"/>
        </w:rPr>
        <w:t>povećanje prijenosne moći DV 220 kV Konjsko – Krš Pađene – Brinje u srednjoročnom razdoblju (okvirno do 2023. godine) zamjenom alučelnih vodiča HTLS vodičima, u cilju prihvata proizvodnje VE i SE na području Dalmacije,</w:t>
      </w:r>
    </w:p>
    <w:p w14:paraId="0DB6638A" w14:textId="77777777" w:rsidR="00B8686F" w:rsidRPr="00462AD9" w:rsidRDefault="00B8686F" w:rsidP="00840E2E">
      <w:pPr>
        <w:pStyle w:val="ListParagraph"/>
        <w:numPr>
          <w:ilvl w:val="0"/>
          <w:numId w:val="21"/>
        </w:numPr>
        <w:suppressAutoHyphens w:val="0"/>
        <w:contextualSpacing/>
        <w:rPr>
          <w:rFonts w:cs="Arial"/>
        </w:rPr>
      </w:pPr>
      <w:r w:rsidRPr="00462AD9">
        <w:rPr>
          <w:rFonts w:cs="Arial"/>
        </w:rPr>
        <w:t>izgradnja novog DV 400 kV Konjsko – Lika u dugoročnom razdoblju (okvirno do 2030. godine) radi nastavka izgradnje VE i SE, te proširenje RP 400 kV Lika predviđenog za izgradnju u sklopu priključka na mrežu HE Senj 2 predvidivo 2026. godine,</w:t>
      </w:r>
    </w:p>
    <w:p w14:paraId="2915535E" w14:textId="77777777" w:rsidR="00B8686F" w:rsidRPr="00462AD9" w:rsidRDefault="00B8686F" w:rsidP="00840E2E">
      <w:pPr>
        <w:pStyle w:val="ListParagraph"/>
        <w:numPr>
          <w:ilvl w:val="0"/>
          <w:numId w:val="21"/>
        </w:numPr>
        <w:suppressAutoHyphens w:val="0"/>
        <w:contextualSpacing/>
        <w:rPr>
          <w:rFonts w:cs="Arial"/>
        </w:rPr>
      </w:pPr>
      <w:r w:rsidRPr="00462AD9">
        <w:rPr>
          <w:rFonts w:cs="Arial"/>
        </w:rPr>
        <w:t>izgradnja DV (2x)400 kV Lika – Melina radi otklanjanja mogućih ograničenja u prijenosu proizvodnje HE, VE i SE na području Dalmacije i Like prema širem riječkom području,</w:t>
      </w:r>
    </w:p>
    <w:p w14:paraId="322BF366" w14:textId="01641E0D" w:rsidR="00B8686F" w:rsidRPr="00462AD9" w:rsidRDefault="00B8686F" w:rsidP="00840E2E">
      <w:pPr>
        <w:pStyle w:val="ListParagraph"/>
        <w:numPr>
          <w:ilvl w:val="0"/>
          <w:numId w:val="21"/>
        </w:numPr>
        <w:suppressAutoHyphens w:val="0"/>
        <w:contextualSpacing/>
        <w:rPr>
          <w:rFonts w:cs="Arial"/>
        </w:rPr>
      </w:pPr>
      <w:r w:rsidRPr="00462AD9">
        <w:rPr>
          <w:rFonts w:cs="Arial"/>
        </w:rPr>
        <w:t>formiranje barem dva</w:t>
      </w:r>
      <w:r>
        <w:rPr>
          <w:rFonts w:cs="Arial"/>
        </w:rPr>
        <w:t xml:space="preserve"> do tri</w:t>
      </w:r>
      <w:r w:rsidRPr="00462AD9">
        <w:rPr>
          <w:rFonts w:cs="Arial"/>
        </w:rPr>
        <w:t xml:space="preserve"> „zonska priključka“ odnosno TS 400/110 kV, na odgovarajući način spojene s 400 kV i 110 kV mrežom, preko kojih bi se energija proizvedena u VE i SE prenosila 400 kV mrežom u udaljenija područja, u slučaju da lokalna 110 kV mreža više ne može preuzeti cjelokupnu proizvodnju tih elektrana (predvidive lokacije za „zonske priključke“ su šire područje Drniša/Knina i Sinja, no konačne lokacije ovisit će o lokacijama i snagama novih VE i SE predviđenih za priključak na prijenosnu mrežu),</w:t>
      </w:r>
    </w:p>
    <w:p w14:paraId="5B255703" w14:textId="608BE7BB" w:rsidR="00B8686F" w:rsidRPr="00462AD9" w:rsidRDefault="00B8686F" w:rsidP="00840E2E">
      <w:pPr>
        <w:pStyle w:val="ListParagraph"/>
        <w:numPr>
          <w:ilvl w:val="0"/>
          <w:numId w:val="21"/>
        </w:numPr>
        <w:suppressAutoHyphens w:val="0"/>
        <w:contextualSpacing/>
        <w:rPr>
          <w:rFonts w:cs="Arial"/>
        </w:rPr>
      </w:pPr>
      <w:r w:rsidRPr="00462AD9">
        <w:rPr>
          <w:rFonts w:cs="Arial"/>
        </w:rPr>
        <w:t xml:space="preserve">od novih međudržavnih/interkonekcijskih vodova u razdoblju do 2030. godine moguća je izgradnja novog DV 400 kV Lika – Banja Luka </w:t>
      </w:r>
      <w:r w:rsidR="004E16BA">
        <w:rPr>
          <w:rFonts w:cs="Arial"/>
        </w:rPr>
        <w:t>ako</w:t>
      </w:r>
      <w:r w:rsidRPr="00462AD9">
        <w:rPr>
          <w:rFonts w:cs="Arial"/>
        </w:rPr>
        <w:t xml:space="preserve"> tehno-ekonomske analize pokažu opravdanost njegove izgradnje. </w:t>
      </w:r>
    </w:p>
    <w:p w14:paraId="4287E874" w14:textId="54FAE311" w:rsidR="00B8686F" w:rsidRDefault="004E16BA" w:rsidP="00B8686F">
      <w:r>
        <w:t>Kako</w:t>
      </w:r>
      <w:r w:rsidR="00B8686F">
        <w:t xml:space="preserve"> je HOPS odgovoran za pouzdanost i raspoloživost sustava opskrbe električnom energijom te ispravnu koordinaciju sustava proizvodnje, prijenosa i distribucije uz odgovornost za vođenje elektroenergetskog sustava na način kojim se postiže sigurnost isporuke električne energije, u budućem će razdoblju trebati pratiti funkcioniranje elektroenergetskog sustava s povećanom razinom integracije varijabilnih izvora električne energije, te pravovremeno obavijestiti nadležne institucije u slučaju bilo kakvog ugrožavanja sigurnosti isporuke električne energije, uključujući i prijedlog eventualne primjene dozvoljenih mehanizama za razvoj proizvodnih kapaciteta.</w:t>
      </w:r>
    </w:p>
    <w:p w14:paraId="78E99D4C" w14:textId="6BDB375C" w:rsidR="00FF79CC" w:rsidRDefault="008604CE" w:rsidP="00FF79CC">
      <w:r>
        <w:t>Nužno je istaknuti</w:t>
      </w:r>
      <w:r w:rsidR="00C80EC8">
        <w:t xml:space="preserve"> kako, n</w:t>
      </w:r>
      <w:r w:rsidR="00C80EC8" w:rsidRPr="00C80EC8">
        <w:t xml:space="preserve">a temelju Zakona o tržištu električne energije (NN 22/13, 95/15 i 102/15, 68/18, 52/19), HOPS </w:t>
      </w:r>
      <w:r w:rsidR="00C80EC8">
        <w:t>izrađuje i donosi</w:t>
      </w:r>
      <w:r w:rsidR="00C80EC8" w:rsidRPr="00C80EC8">
        <w:t>, uz prethodnu suglasnost Hrvatske energetske regulatorne agencije, desetogodišnje, trogodišnje i jednogodišnje investicijske planove razvoja prijenosne mreže.</w:t>
      </w:r>
      <w:r w:rsidR="0049486A">
        <w:t xml:space="preserve"> Da bi se </w:t>
      </w:r>
      <w:r w:rsidR="00462599">
        <w:t xml:space="preserve">bilo </w:t>
      </w:r>
      <w:r w:rsidR="00E73C6F">
        <w:t xml:space="preserve">koje ulaganje u prijenosnu </w:t>
      </w:r>
      <w:r w:rsidR="00677CB5">
        <w:t>mrežu</w:t>
      </w:r>
      <w:r w:rsidR="0049486A">
        <w:t xml:space="preserve"> realizira</w:t>
      </w:r>
      <w:r w:rsidR="00E634F3">
        <w:t>l</w:t>
      </w:r>
      <w:r w:rsidR="0049486A">
        <w:t xml:space="preserve">o, </w:t>
      </w:r>
      <w:r w:rsidR="00E634F3">
        <w:t>ono mora postati</w:t>
      </w:r>
      <w:r w:rsidR="0049486A">
        <w:t xml:space="preserve"> dio </w:t>
      </w:r>
      <w:r w:rsidR="00677CB5">
        <w:t>navedenih planova razvoja.</w:t>
      </w:r>
      <w:r w:rsidR="00FF79CC" w:rsidRPr="00FF79CC">
        <w:t xml:space="preserve"> </w:t>
      </w:r>
    </w:p>
    <w:p w14:paraId="31D09D13" w14:textId="3BE1AA4C" w:rsidR="00FF79CC" w:rsidRDefault="00FF79CC" w:rsidP="00B76BF3">
      <w:r w:rsidRPr="00DD3DC5">
        <w:rPr>
          <w:b/>
          <w:bCs/>
        </w:rPr>
        <w:t>Planiranje razvoja transportnog plinskog sustava</w:t>
      </w:r>
      <w:r w:rsidRPr="00094197">
        <w:t xml:space="preserve"> provodi se kroz izradu Desetogodišnjeg plana razvoja plinskog transportnog sustava, čija je izrada obveza operatora plinskog transportnog sustava. Operator transportnog sustava je tvrtka Plinacro d.o.o. Desetogodišnji planovi razvoja plinskog transportnog sustava noveliraju se na godišnjoj razini, a odobrava ih HERA. U trenutku usvajanja ovog dokumenta relevantan je bio Desetogodišnji plan razvoja plinskog transportnog sustava Republike Hrvatske 2018.-2027. Plan će se kontinuirano ažurirati tijekom čitavog razdoblja provedbe ovog dokumenta</w:t>
      </w:r>
      <w:r>
        <w:t>.</w:t>
      </w:r>
    </w:p>
    <w:p w14:paraId="5309B8C9" w14:textId="63FE675F" w:rsidR="00B76BF3" w:rsidRDefault="00B76BF3" w:rsidP="00B76BF3">
      <w:r>
        <w:t>Uvažavajući očekivane trendove buduće potrošnje prirodnog plina, očekivane promjene sezonske karakteristike potrošnje i vršnih opterećenja, potrebe za novim količinama plina iz uvoza, obveze prema uredbama EU te očekivani razvoj plinskog transportnog sustava u širem i bližem okruženju, odrednice budućeg razvoja transportnog plinskog sustava Republike Hrvatske uvjetovane su:</w:t>
      </w:r>
    </w:p>
    <w:p w14:paraId="3702D86D" w14:textId="139B8295" w:rsidR="00B76BF3" w:rsidRDefault="00B76BF3" w:rsidP="00840E2E">
      <w:pPr>
        <w:pStyle w:val="ListParagraph"/>
        <w:numPr>
          <w:ilvl w:val="0"/>
          <w:numId w:val="203"/>
        </w:numPr>
      </w:pPr>
      <w:r>
        <w:t>obvezama o sigurnosti opskrbe i prema infrastrukturnom standardu (N-1 kriterij) sukladno Uredbi (EU) 2017/1938 o mjerama zaštite sigurnosti opskrbe plinom (SOS uredba),</w:t>
      </w:r>
    </w:p>
    <w:p w14:paraId="0335AC89" w14:textId="5AA1B880" w:rsidR="00B76BF3" w:rsidRDefault="00B76BF3" w:rsidP="00840E2E">
      <w:pPr>
        <w:pStyle w:val="ListParagraph"/>
        <w:numPr>
          <w:ilvl w:val="0"/>
          <w:numId w:val="203"/>
        </w:numPr>
      </w:pPr>
      <w:r>
        <w:t>nužnom diversifikacijom opskrbe i povećanjem učinkovitosti transportnog sustava,</w:t>
      </w:r>
    </w:p>
    <w:p w14:paraId="3D28BC91" w14:textId="0C0C034D" w:rsidR="00B76BF3" w:rsidRDefault="00B76BF3" w:rsidP="00840E2E">
      <w:pPr>
        <w:pStyle w:val="ListParagraph"/>
        <w:numPr>
          <w:ilvl w:val="0"/>
          <w:numId w:val="203"/>
        </w:numPr>
      </w:pPr>
      <w:r>
        <w:t>povećanjem unutarnje sigurnosti transportnog sustava i</w:t>
      </w:r>
    </w:p>
    <w:p w14:paraId="5438BE22" w14:textId="27194DD9" w:rsidR="00170B62" w:rsidRDefault="00B76BF3" w:rsidP="00840E2E">
      <w:pPr>
        <w:pStyle w:val="ListParagraph"/>
        <w:numPr>
          <w:ilvl w:val="0"/>
          <w:numId w:val="203"/>
        </w:numPr>
      </w:pPr>
      <w:r>
        <w:t>omogućavanjem transporta plina prema susjednim zemljama.</w:t>
      </w:r>
    </w:p>
    <w:p w14:paraId="6D40F7D7" w14:textId="77777777" w:rsidR="00196422" w:rsidRPr="00840E2E" w:rsidRDefault="00196422" w:rsidP="00196422">
      <w:pPr>
        <w:rPr>
          <w:u w:val="single"/>
        </w:rPr>
      </w:pPr>
      <w:r w:rsidRPr="00840E2E">
        <w:rPr>
          <w:u w:val="single"/>
        </w:rPr>
        <w:t>Obveze o sigurnosti opskrbe i infrastrukturnom standardu:</w:t>
      </w:r>
    </w:p>
    <w:p w14:paraId="7070E957" w14:textId="77777777" w:rsidR="00196422" w:rsidRDefault="00196422" w:rsidP="00196422">
      <w:r>
        <w:t>Ovisno o očekivanom scenariju promjene potrošnje plina i razine domaće proizvodnje, radi zadovoljavanja infrastrukturnog standarda nužno je u što kraćem roku osigurati novi dobavni kapacitet u iznosu od minimalno 3,5 mil. m3/dan, oko 2030. godine potrebno je izgraditi dodatnih 4-8 mil. m3/dan.</w:t>
      </w:r>
    </w:p>
    <w:p w14:paraId="10CC555A" w14:textId="376815C0" w:rsidR="00B76BF3" w:rsidRDefault="00196422" w:rsidP="00196422">
      <w:r>
        <w:t>Strateški projekti kojima se zadovoljava obveza prema infrastrukturnom standardu su projekti koji povećavaju kapacitete na ulazu u transportni sustav, a mogu biti: UPP terminal na otoku Krku, Jonsko-jadranski plinovod, sustav plinovoda Lučko-Sotla na interkonekciji sa Slovenijom i Slobodnica-Sotin prema Srbiji.</w:t>
      </w:r>
    </w:p>
    <w:p w14:paraId="1AACB89E" w14:textId="77777777" w:rsidR="00012DF5" w:rsidRPr="00840E2E" w:rsidRDefault="00012DF5" w:rsidP="00012DF5">
      <w:pPr>
        <w:rPr>
          <w:u w:val="single"/>
        </w:rPr>
      </w:pPr>
      <w:r w:rsidRPr="00840E2E">
        <w:rPr>
          <w:u w:val="single"/>
        </w:rPr>
        <w:t>Transportni plinski sustav za diversifikaciju opskrbe i povećanjem učinkovitosti transportnog sustava:</w:t>
      </w:r>
    </w:p>
    <w:p w14:paraId="6F335771" w14:textId="77777777" w:rsidR="00012DF5" w:rsidRDefault="00012DF5" w:rsidP="00012DF5">
      <w:r>
        <w:t>Skoro cjelokupni uvoz plina u Hrvatsku dolazi iz Rusije, a Hrvatska se nalazi na kraju tog transportnog lanca pa je sukladno tome cijena plina relativno visoka. Isto tako plinski sustav služi samo za opskrbu domaćih kupaca plinom. Izgradnja UPP terminala osim što će povećati diversifikaciju opskrbe plinom, stvorit će preduvjete za transport plina prema trećim zemljama, te posredno povećanje učinkovitosti plinskog transportnog sustava i smanjenje prosječne transportne tarife. Isti učinak će se postići izgradnjom IAP-a.</w:t>
      </w:r>
    </w:p>
    <w:p w14:paraId="2F173773" w14:textId="0562584B" w:rsidR="007E4FAF" w:rsidRDefault="00012DF5" w:rsidP="00012DF5">
      <w:r>
        <w:t>Stoga je imperativ povećati aktivnosti na jačanju diversifikacije opskrbe plinom daljnjim razvojem projekata za dobavu plina iz Kaspijske regije ili istočnog Mediterana. Isto tako potrebno je aktivnije razvijati sve projekte koji mogu povećati transport plina kroz hrvatski transportni plinski sustav te posljedično povećati i učinkovitost samog transportnog plinskog sustava RH.</w:t>
      </w:r>
    </w:p>
    <w:p w14:paraId="28E1EA72" w14:textId="2ADD27E3" w:rsidR="00012DF5" w:rsidRDefault="00E829A4" w:rsidP="00012DF5">
      <w:r>
        <w:rPr>
          <w:noProof/>
        </w:rPr>
        <w:drawing>
          <wp:inline distT="0" distB="0" distL="0" distR="0" wp14:anchorId="18C06511" wp14:editId="710368EC">
            <wp:extent cx="4743450" cy="3712663"/>
            <wp:effectExtent l="0" t="0" r="0" b="2540"/>
            <wp:docPr id="485" name="Slika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47225" cy="3715617"/>
                    </a:xfrm>
                    <a:prstGeom prst="rect">
                      <a:avLst/>
                    </a:prstGeom>
                    <a:noFill/>
                  </pic:spPr>
                </pic:pic>
              </a:graphicData>
            </a:graphic>
          </wp:inline>
        </w:drawing>
      </w:r>
    </w:p>
    <w:p w14:paraId="3AF90874" w14:textId="5F6BE1E3" w:rsidR="00C9689C" w:rsidRPr="00462AD9" w:rsidRDefault="00C9689C" w:rsidP="00C9689C">
      <w:pPr>
        <w:pStyle w:val="Caption"/>
      </w:pPr>
      <w:bookmarkStart w:id="533" w:name="_Toc27396176"/>
      <w:r w:rsidRPr="00462AD9">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noBreakHyphen/>
      </w:r>
      <w:r>
        <w:rPr>
          <w:noProof/>
        </w:rPr>
        <w:fldChar w:fldCharType="begin"/>
      </w:r>
      <w:r>
        <w:rPr>
          <w:noProof/>
        </w:rPr>
        <w:instrText xml:space="preserve"> SEQ Slika \* ARABIC \s 1 </w:instrText>
      </w:r>
      <w:r>
        <w:rPr>
          <w:noProof/>
        </w:rPr>
        <w:fldChar w:fldCharType="separate"/>
      </w:r>
      <w:r w:rsidR="00154150">
        <w:rPr>
          <w:noProof/>
        </w:rPr>
        <w:t>24</w:t>
      </w:r>
      <w:r>
        <w:rPr>
          <w:noProof/>
        </w:rPr>
        <w:fldChar w:fldCharType="end"/>
      </w:r>
      <w:r w:rsidRPr="00462AD9">
        <w:t xml:space="preserve">. </w:t>
      </w:r>
      <w:r w:rsidR="00CF4A0D" w:rsidRPr="00CF4A0D">
        <w:t>Budući razvoj transportnog sustava i projekti u funkciji diversifikacije opskrbe i povećanja učinkovitosti transportnog sustava</w:t>
      </w:r>
      <w:bookmarkEnd w:id="533"/>
      <w:r w:rsidR="00CF4A0D" w:rsidRPr="00CF4A0D" w:rsidDel="00CF4A0D">
        <w:t xml:space="preserve"> </w:t>
      </w:r>
    </w:p>
    <w:p w14:paraId="40969952" w14:textId="77777777" w:rsidR="0042182B" w:rsidRDefault="0042182B" w:rsidP="0042182B">
      <w:r>
        <w:t>Strateški projekti kojima se povećava diversifikacija opskrbe i učinkovitost transportnog sustava su plinovodni sustav za evakuaciju plina iz terminala za UPP prema Mađarskoj, Jonsko-jadranski plinovod, sustav plinovoda Lučko-Sotla za transport plina prema Sloveniji i Slobodnica-Sotin za transport plina prema Srbiji te potencijalno dobavu ruskog plina iz TurkStreama iz Srbije.</w:t>
      </w:r>
    </w:p>
    <w:p w14:paraId="6C84C8CF" w14:textId="77777777" w:rsidR="0042182B" w:rsidRDefault="0042182B" w:rsidP="0042182B">
      <w:r>
        <w:t xml:space="preserve">Plinovod Omišalj-Zlobin koji će povezati terminal za UPP na otoku Krku na postojeći transportni sustav omogućit će se transport prvih količina plina s terminala za UPP na otoku Krku prema tržištu u Mađarskoj i dalje prema istoku Europe. Daljnjim razvojem plinovodnog sustava od Zlobina do Slobodnice kraj Slavonskog Broda (plinovod Zlobin-Bosiljevo-Kozarac-Slobodnica) povećat će se otpremni kapacitet prema jugoistoku Europe do 7 milijardi m3 plina godišnje. </w:t>
      </w:r>
    </w:p>
    <w:p w14:paraId="3D18AE3A" w14:textId="77777777" w:rsidR="0042182B" w:rsidRDefault="0042182B" w:rsidP="0042182B">
      <w:r>
        <w:t xml:space="preserve">Razvojem plinovodnog sustava Lučko-Zabok-Sutla omogućit će se transport plina s terminala za UPP prema Sloveniji i dalje prema Srednjoj i Zapadnoj Europi te pristup korisnika terminala i korisnika plina u RH likvidnoj burzi plina u ovom dijelu Europe u Baumgartenu u Austriji. </w:t>
      </w:r>
    </w:p>
    <w:p w14:paraId="687F94B7" w14:textId="0B0094B5" w:rsidR="00E829A4" w:rsidRDefault="0042182B" w:rsidP="0042182B">
      <w:r>
        <w:t xml:space="preserve">Jonsko-jadranski plinovod (IAP) omogućio bi dobavu plina iz </w:t>
      </w:r>
      <w:r w:rsidR="008A70D6" w:rsidRPr="008A70D6">
        <w:t xml:space="preserve">Transjadranskog plinovoda </w:t>
      </w:r>
      <w:r>
        <w:t>za Hrvatsku i zemlje u regiji te mogući transport prema Mađarskoj, Sloveniji i Austriji.</w:t>
      </w:r>
    </w:p>
    <w:p w14:paraId="5C46887B" w14:textId="77777777" w:rsidR="00332B93" w:rsidRPr="00840E2E" w:rsidRDefault="00332B93" w:rsidP="00332B93">
      <w:pPr>
        <w:rPr>
          <w:u w:val="single"/>
        </w:rPr>
      </w:pPr>
      <w:r w:rsidRPr="00840E2E">
        <w:rPr>
          <w:u w:val="single"/>
        </w:rPr>
        <w:t>Transportni plinski sustav u funkciji unutarnje operativne sigurnosti opskrbe:</w:t>
      </w:r>
    </w:p>
    <w:p w14:paraId="2F9EF14F" w14:textId="0FE5AD46" w:rsidR="00332B93" w:rsidRDefault="00332B93" w:rsidP="00332B93">
      <w:r>
        <w:t>Transportni sustav koji je u funkciji unutarnje sigurnosti opskrbe omogućit će stabilniju i sigurniju opskrbu područja koja se napajaju plinom iz odvojaka plinovoda i imaju samo jedan izvor napajanja te će omogućiti kreiranje unutarnjih petlji koje povećavaju sigurnost opskrbe.</w:t>
      </w:r>
    </w:p>
    <w:p w14:paraId="3B4897F4" w14:textId="77777777" w:rsidR="00C43BE9" w:rsidRPr="00840E2E" w:rsidRDefault="00C43BE9" w:rsidP="00C43BE9">
      <w:pPr>
        <w:rPr>
          <w:u w:val="single"/>
        </w:rPr>
      </w:pPr>
      <w:r w:rsidRPr="00840E2E">
        <w:rPr>
          <w:u w:val="single"/>
        </w:rPr>
        <w:t>Transportni plinski sustav u funkciji izvoza:</w:t>
      </w:r>
    </w:p>
    <w:p w14:paraId="6AFA3658" w14:textId="77777777" w:rsidR="00C43BE9" w:rsidRDefault="00C43BE9" w:rsidP="00C43BE9">
      <w:r>
        <w:t>Transportnim sustavom u funkciji izvoza nazivamo plinovodne sustave relativno manjeg regionalnog utjecaja kojima se povezuje plinski sustav Hrvatske, Bosne i Hercegovine i Slovenije.</w:t>
      </w:r>
    </w:p>
    <w:p w14:paraId="1C03AB7B" w14:textId="77777777" w:rsidR="00C43BE9" w:rsidRDefault="00C43BE9" w:rsidP="00C43BE9">
      <w:r>
        <w:t>Plinovodnim sustavima Lička Jesenica - Bihać, Zagvozd - Posušje i Slobodnica - Bosanski Brod omogućila bi se opskrba plinom susjedne BiH, dok bi se plinovodom Umag - Koper omogućio spoj Istre i juga Slovenije. Izgradnja ovih plinovoda primarno ovisi o interesu susjednih zemalja i ekonomskoj opravdanosti izgradnje.</w:t>
      </w:r>
    </w:p>
    <w:p w14:paraId="2F642AFF" w14:textId="77777777" w:rsidR="00D24B12" w:rsidRDefault="00D24B12" w:rsidP="00C43BE9"/>
    <w:p w14:paraId="793516DD" w14:textId="53D65B89" w:rsidR="00C43BE9" w:rsidRDefault="00C43BE9" w:rsidP="00C43BE9">
      <w:r>
        <w:t>Svi gore navedeni projekti navedeni su u Desetogodišnjem planu razvoja plinskog transportnog sustava Republike Hrvatske 2018.-2027. Za njihovu realizaciju nužno je donošenje konačne investicijske odluke.</w:t>
      </w:r>
    </w:p>
    <w:p w14:paraId="2460DA21" w14:textId="77777777" w:rsidR="00FA1FB2" w:rsidRPr="00BE1ECD" w:rsidRDefault="00FA1FB2" w:rsidP="00FA1FB2">
      <w:pPr>
        <w:pStyle w:val="Heading3"/>
      </w:pPr>
      <w:bookmarkStart w:id="534" w:name="_Toc531935266"/>
      <w:bookmarkStart w:id="535" w:name="_Toc531945128"/>
      <w:bookmarkStart w:id="536" w:name="_Toc6302386"/>
      <w:r>
        <w:t>4.5.3</w:t>
      </w:r>
      <w:r>
        <w:tab/>
      </w:r>
      <w:r w:rsidRPr="00BE1ECD">
        <w:t>Tržišta električne energije i plina, cijene energije</w:t>
      </w:r>
    </w:p>
    <w:p w14:paraId="329CDD89" w14:textId="77777777" w:rsidR="00FA1FB2" w:rsidRPr="00BE1ECD" w:rsidRDefault="00FA1FB2" w:rsidP="00840E2E">
      <w:pPr>
        <w:pStyle w:val="Heading3"/>
        <w:numPr>
          <w:ilvl w:val="0"/>
          <w:numId w:val="84"/>
        </w:numPr>
      </w:pPr>
      <w:r w:rsidRPr="00BE1ECD">
        <w:t xml:space="preserve">Trenutačno stanje na tržištima električne energije i plina, uključujući cijene energije </w:t>
      </w:r>
    </w:p>
    <w:bookmarkEnd w:id="534"/>
    <w:bookmarkEnd w:id="535"/>
    <w:bookmarkEnd w:id="536"/>
    <w:p w14:paraId="167CA598" w14:textId="77777777" w:rsidR="00F65963" w:rsidRDefault="00F65963" w:rsidP="00223709">
      <w:pPr>
        <w:suppressAutoHyphens w:val="0"/>
        <w:contextualSpacing/>
      </w:pPr>
      <w:r>
        <w:t xml:space="preserve">U Hrvatskoj postoji burza električne energije CROPEX na kojoj je moguće trgovati dan unaprijed i unutardnevno. U prosincu 2015. godine CROPEX je postao NEMO (engl. </w:t>
      </w:r>
      <w:r w:rsidRPr="6D613465">
        <w:rPr>
          <w:i/>
          <w:iCs/>
        </w:rPr>
        <w:t>Nominated Electricity Market Operator</w:t>
      </w:r>
      <w:r>
        <w:t xml:space="preserve">), odnosno burza s pravom i odgovornošću sudjelovanja u provedbi povezivanja dan unaprijed i unutardnevnog tržišta električne energije na razini Europske unije. Povezivanje Hrvatske s EU tržištem na dan unaprijed razini trebalo bi se realizirati preko IBWT (engl. </w:t>
      </w:r>
      <w:r w:rsidRPr="6D613465">
        <w:rPr>
          <w:i/>
          <w:iCs/>
        </w:rPr>
        <w:t>Italian Borders Working Table</w:t>
      </w:r>
      <w:r>
        <w:t xml:space="preserve">) projekta, a na unutardnevnoj razini preko EU XBID (engl. </w:t>
      </w:r>
      <w:r w:rsidRPr="6D613465">
        <w:rPr>
          <w:i/>
          <w:iCs/>
        </w:rPr>
        <w:t>Cross Border Intra Day</w:t>
      </w:r>
      <w:r>
        <w:t>) projekta. Osim povezivanja s EU tržištem, pokrenuta je suradnja između CROPEX-a i operatora prijenosnog sustava iz Bosne i Hercegovine (NOS BiH) o provedbi prekograničnog povezivanja dan unaprijed tržišta Hrvatske i Bosne i Hercegovine. Nadalje, postoji mogućnost povezivanja dan unaprijed tržišta na granici s Mađarskom (4M MC), ali i određene inicijative za razvoj regionalne burze na području jugoistočne Europe po modelu burze Nord Pool.</w:t>
      </w:r>
    </w:p>
    <w:p w14:paraId="46E96733" w14:textId="059EE3EB" w:rsidR="00F65963" w:rsidRDefault="00F65963" w:rsidP="00F65963">
      <w:r>
        <w:t xml:space="preserve">Od 19. lipnja 2018. godine </w:t>
      </w:r>
      <w:r w:rsidRPr="00450BF8">
        <w:t>hrvatsko dan</w:t>
      </w:r>
      <w:r>
        <w:t>-</w:t>
      </w:r>
      <w:r w:rsidRPr="00450BF8">
        <w:t>unaprijed tržišt</w:t>
      </w:r>
      <w:r>
        <w:t>e</w:t>
      </w:r>
      <w:r w:rsidRPr="00450BF8">
        <w:t xml:space="preserve"> </w:t>
      </w:r>
      <w:r>
        <w:t xml:space="preserve">povezano je </w:t>
      </w:r>
      <w:r w:rsidRPr="00450BF8">
        <w:t xml:space="preserve">s MRC </w:t>
      </w:r>
      <w:r>
        <w:t xml:space="preserve">(Multi-Regional Coupling) </w:t>
      </w:r>
      <w:r w:rsidRPr="00450BF8">
        <w:t>dan</w:t>
      </w:r>
      <w:r>
        <w:t>-</w:t>
      </w:r>
      <w:r w:rsidRPr="00450BF8">
        <w:t>unaprijed tržištem</w:t>
      </w:r>
      <w:r>
        <w:t>,</w:t>
      </w:r>
      <w:r w:rsidRPr="00450BF8">
        <w:t xml:space="preserve"> odnosno s jedinstvenim europskim dan</w:t>
      </w:r>
      <w:r>
        <w:t>-</w:t>
      </w:r>
      <w:r w:rsidRPr="00450BF8">
        <w:t>unaprijed tržištem preko hrvatsko-slovenske granice.</w:t>
      </w:r>
      <w:r>
        <w:t xml:space="preserve"> D</w:t>
      </w:r>
      <w:r w:rsidRPr="00CD402D">
        <w:t>nevni prekogranični kapacitet za hrvatsko-slovensku granicu neizravno se dodjelj</w:t>
      </w:r>
      <w:r>
        <w:t xml:space="preserve">uje </w:t>
      </w:r>
      <w:r w:rsidRPr="00CD402D">
        <w:t xml:space="preserve">isključivo kroz EU PCR burzovno rješenje (Price Coupling of Regions) za dan unaprijed tržišta čime </w:t>
      </w:r>
      <w:r>
        <w:t>je</w:t>
      </w:r>
      <w:r w:rsidRPr="00CD402D">
        <w:t xml:space="preserve"> navedena granica </w:t>
      </w:r>
      <w:r>
        <w:t>postala</w:t>
      </w:r>
      <w:r w:rsidRPr="00CD402D">
        <w:t xml:space="preserve"> dio povezanog EU MRC (Multi-Regional Coupling) dan unaprijed tržišta.</w:t>
      </w:r>
      <w:r>
        <w:t xml:space="preserve"> Hrvatske institucije sudjeluju i podupiru procese u okviru Energetske zajednice koji se odnose na povezivanje tržišta na području WB6 zemalja. </w:t>
      </w:r>
    </w:p>
    <w:p w14:paraId="21AAC815" w14:textId="3B9A690A" w:rsidR="002719A1" w:rsidRPr="00462AD9" w:rsidRDefault="004E16BA" w:rsidP="002719A1">
      <w:r>
        <w:t>Kako</w:t>
      </w:r>
      <w:r w:rsidR="002719A1" w:rsidRPr="00462AD9">
        <w:t xml:space="preserve"> je tržište električne energije u potpunosti otvoreno, svi kupci su slobodni izabrati željenog opskrbljivača i slobodno ugovarati cijenu električne energije. U nastavku su prikazane ostvarene cijene električne energije za krajnje kupce u kategorijama kućanstvo i </w:t>
      </w:r>
      <w:r w:rsidR="00F40FAF">
        <w:t>poduzetništvo</w:t>
      </w:r>
      <w:r w:rsidR="00AC0C69">
        <w:t xml:space="preserve"> (industriju)</w:t>
      </w:r>
      <w:r w:rsidR="002719A1" w:rsidRPr="00462AD9">
        <w:t xml:space="preserve">, prema Eurostat </w:t>
      </w:r>
      <w:r w:rsidR="0046474C">
        <w:t>kategorijama potrošnje</w:t>
      </w:r>
      <w:r w:rsidR="002719A1" w:rsidRPr="00462AD9">
        <w:t xml:space="preserve">. Prikazane cijene </w:t>
      </w:r>
      <w:r w:rsidR="00AC0C69">
        <w:t xml:space="preserve">za kućanstva sadrže </w:t>
      </w:r>
      <w:r w:rsidR="002719A1" w:rsidRPr="00462AD9">
        <w:t xml:space="preserve">poreze </w:t>
      </w:r>
      <w:r w:rsidR="00AC0C69">
        <w:t>i</w:t>
      </w:r>
      <w:r w:rsidR="00AC0C69" w:rsidRPr="00462AD9">
        <w:t xml:space="preserve"> </w:t>
      </w:r>
      <w:r w:rsidR="002719A1" w:rsidRPr="00462AD9">
        <w:t>druga davanja</w:t>
      </w:r>
      <w:r w:rsidR="0052414D">
        <w:t>, dok ih cijene za poduzetništvo ne uključuju</w:t>
      </w:r>
      <w:r w:rsidR="002719A1" w:rsidRPr="00462AD9">
        <w:t>.</w:t>
      </w:r>
    </w:p>
    <w:p w14:paraId="2FCA9915" w14:textId="77777777" w:rsidR="002719A1" w:rsidRPr="00462AD9" w:rsidRDefault="002719A1" w:rsidP="002719A1">
      <w:r w:rsidRPr="00462AD9">
        <w:rPr>
          <w:noProof/>
        </w:rPr>
        <w:drawing>
          <wp:inline distT="0" distB="0" distL="0" distR="0" wp14:anchorId="651668E1" wp14:editId="27C27228">
            <wp:extent cx="5400000" cy="3243600"/>
            <wp:effectExtent l="0" t="0" r="0" b="0"/>
            <wp:docPr id="1276464150" name="Picture 12764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400000" cy="3243600"/>
                    </a:xfrm>
                    <a:prstGeom prst="rect">
                      <a:avLst/>
                    </a:prstGeom>
                    <a:noFill/>
                    <a:ln>
                      <a:noFill/>
                    </a:ln>
                  </pic:spPr>
                </pic:pic>
              </a:graphicData>
            </a:graphic>
          </wp:inline>
        </w:drawing>
      </w:r>
    </w:p>
    <w:p w14:paraId="0A5F911A" w14:textId="5325A815" w:rsidR="002719A1" w:rsidRPr="00462AD9" w:rsidRDefault="002719A1" w:rsidP="002719A1">
      <w:pPr>
        <w:pStyle w:val="Naslovslike"/>
        <w:spacing w:after="120"/>
      </w:pPr>
      <w:bookmarkStart w:id="537" w:name="_Toc528672925"/>
      <w:bookmarkStart w:id="538" w:name="_Toc27396177"/>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fldSimple w:instr=" SEQ Slika \* ARABIC \s 1 ">
        <w:r w:rsidR="00154150">
          <w:rPr>
            <w:noProof/>
          </w:rPr>
          <w:t>25</w:t>
        </w:r>
      </w:fldSimple>
      <w:r w:rsidRPr="00462AD9">
        <w:t>.</w:t>
      </w:r>
      <w:r w:rsidR="00F458D6">
        <w:t>:</w:t>
      </w:r>
      <w:r w:rsidRPr="00462AD9">
        <w:t xml:space="preserve"> Cijene električne energije za kupce u Hrvatskoj u kategoriji kućanstvo</w:t>
      </w:r>
      <w:bookmarkEnd w:id="537"/>
      <w:bookmarkEnd w:id="538"/>
    </w:p>
    <w:p w14:paraId="0F4E3717" w14:textId="77777777" w:rsidR="002719A1" w:rsidRPr="00462AD9" w:rsidRDefault="002719A1" w:rsidP="002719A1">
      <w:pPr>
        <w:pStyle w:val="Slike"/>
        <w:keepNext w:val="0"/>
      </w:pPr>
      <w:r w:rsidRPr="00462AD9">
        <w:t>Izvor: Eurostat</w:t>
      </w:r>
    </w:p>
    <w:p w14:paraId="46A41A03" w14:textId="77777777" w:rsidR="002719A1" w:rsidRPr="00462AD9" w:rsidRDefault="002719A1" w:rsidP="002719A1">
      <w:pPr>
        <w:pStyle w:val="Naslovslike"/>
      </w:pPr>
      <w:r w:rsidRPr="00462AD9">
        <w:rPr>
          <w:noProof/>
          <w:lang w:eastAsia="hr-HR"/>
        </w:rPr>
        <w:drawing>
          <wp:inline distT="0" distB="0" distL="0" distR="0" wp14:anchorId="69A22A04" wp14:editId="0D32D238">
            <wp:extent cx="5400000" cy="3243600"/>
            <wp:effectExtent l="0" t="0" r="0" b="0"/>
            <wp:docPr id="1276464151" name="Picture 127646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400000" cy="3243600"/>
                    </a:xfrm>
                    <a:prstGeom prst="rect">
                      <a:avLst/>
                    </a:prstGeom>
                    <a:noFill/>
                    <a:ln>
                      <a:noFill/>
                    </a:ln>
                  </pic:spPr>
                </pic:pic>
              </a:graphicData>
            </a:graphic>
          </wp:inline>
        </w:drawing>
      </w:r>
    </w:p>
    <w:p w14:paraId="2086C8D2" w14:textId="2F59D9C1" w:rsidR="002719A1" w:rsidRPr="00462AD9" w:rsidRDefault="002719A1" w:rsidP="002719A1">
      <w:pPr>
        <w:pStyle w:val="Naslovslike"/>
        <w:spacing w:after="120"/>
      </w:pPr>
      <w:bookmarkStart w:id="539" w:name="_Toc528672926"/>
      <w:bookmarkStart w:id="540" w:name="_Toc27396178"/>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26</w:t>
      </w:r>
      <w:r w:rsidR="005A7E31">
        <w:rPr>
          <w:noProof/>
        </w:rPr>
        <w:fldChar w:fldCharType="end"/>
      </w:r>
      <w:r w:rsidRPr="00462AD9">
        <w:t>. Cijene električne energije za kupce u Hrvatskoj u kategoriji poduzetništvo</w:t>
      </w:r>
      <w:bookmarkEnd w:id="539"/>
      <w:bookmarkEnd w:id="540"/>
    </w:p>
    <w:p w14:paraId="6DD2F10F" w14:textId="77777777" w:rsidR="002719A1" w:rsidRPr="00462AD9" w:rsidRDefault="002719A1" w:rsidP="002719A1">
      <w:pPr>
        <w:pStyle w:val="Slike"/>
        <w:keepNext w:val="0"/>
      </w:pPr>
      <w:r w:rsidRPr="00462AD9">
        <w:t>Izvor: Eurostat</w:t>
      </w:r>
    </w:p>
    <w:p w14:paraId="47D7165C" w14:textId="1E71AD45" w:rsidR="001705DB" w:rsidRDefault="001705DB" w:rsidP="001705DB">
      <w:r>
        <w:t xml:space="preserve">Uspostavom EKO bilančne grupe HROTE će biti obvezan snositi troškove energije uravnoteženja prema operatoru prijenosnog sustava, zbog odstupanja satnih planova proizvodnje </w:t>
      </w:r>
      <w:r w:rsidR="00825E6F">
        <w:t>električne energije</w:t>
      </w:r>
      <w:r>
        <w:t xml:space="preserve"> od realiziranih satnih isporuka </w:t>
      </w:r>
      <w:r w:rsidR="00825E6F">
        <w:t xml:space="preserve">električne energije </w:t>
      </w:r>
      <w:r>
        <w:t>EKO bilančne grupe. Troškove energije uravnoteženja EKO bilančne grupe, prema odredbama Zakona o OIEiVUK, HROTE će snositi iz novčanih sredstava prikupljenih u sustavu poticanja proizvodnje električne energije iz OIE i kogeneracije, osim dijela troškova koji se podmiruju iz mjesečne naknade koju će plaćati članovi EKO bilančne grupe.</w:t>
      </w:r>
    </w:p>
    <w:p w14:paraId="2181949A" w14:textId="77777777" w:rsidR="001705DB" w:rsidRDefault="001705DB" w:rsidP="001705DB">
      <w:r>
        <w:t>Visina troškova energije uravnoteženja EKO bilančne grupe ovisi o odstupanju satnih planova proizvodnje EE od realiziranih satnih isporuka EE EKO bilančne grupe, a obračunava se u skladu s Metodologijom za određivanje cijena za obračun električne energije uravnoteženja subjektima odgovornim za odstupanje koju donosi HERA.</w:t>
      </w:r>
    </w:p>
    <w:p w14:paraId="17F46A3B" w14:textId="098651E4" w:rsidR="00B51BCC" w:rsidRPr="00462AD9" w:rsidRDefault="00B51BCC" w:rsidP="00B51BCC">
      <w:r w:rsidRPr="00462AD9">
        <w:t xml:space="preserve">U nastavku su prikazane </w:t>
      </w:r>
      <w:r>
        <w:t>povijesne</w:t>
      </w:r>
      <w:r w:rsidRPr="00462AD9">
        <w:t xml:space="preserve"> cijene </w:t>
      </w:r>
      <w:r>
        <w:t>prirodnog plina</w:t>
      </w:r>
      <w:r w:rsidRPr="00462AD9">
        <w:t xml:space="preserve"> za krajnje kupce u kategorijama kućanstvo i industrija, prema </w:t>
      </w:r>
      <w:r>
        <w:t xml:space="preserve">podacima </w:t>
      </w:r>
      <w:r w:rsidRPr="00462AD9">
        <w:t>Eurostat</w:t>
      </w:r>
      <w:r>
        <w:t>a</w:t>
      </w:r>
      <w:r w:rsidRPr="00462AD9">
        <w:t xml:space="preserve">. Prikazane cijene </w:t>
      </w:r>
      <w:r>
        <w:t>prirodnog plina za kućanstva uključuje porez na dodanu vrijednost</w:t>
      </w:r>
      <w:r w:rsidR="00F65963">
        <w:t xml:space="preserve"> (PDV)</w:t>
      </w:r>
      <w:r>
        <w:t>, a cijene prirodnog plina za industriju iskazane su bez PDV-a</w:t>
      </w:r>
      <w:r w:rsidRPr="00462AD9">
        <w:t>.</w:t>
      </w:r>
    </w:p>
    <w:p w14:paraId="169C099E" w14:textId="77777777" w:rsidR="00B51BCC" w:rsidRPr="00462AD9" w:rsidRDefault="00B51BCC" w:rsidP="00B51BCC">
      <w:pPr>
        <w:jc w:val="center"/>
      </w:pPr>
      <w:r>
        <w:rPr>
          <w:noProof/>
        </w:rPr>
        <w:drawing>
          <wp:inline distT="0" distB="0" distL="0" distR="0" wp14:anchorId="06D84FFF" wp14:editId="3381A1E9">
            <wp:extent cx="5040000" cy="3024000"/>
            <wp:effectExtent l="0" t="0" r="8255" b="508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pic:spPr>
                </pic:pic>
              </a:graphicData>
            </a:graphic>
          </wp:inline>
        </w:drawing>
      </w:r>
    </w:p>
    <w:p w14:paraId="7B299E01" w14:textId="4DD21CFC" w:rsidR="00B51BCC" w:rsidRPr="00462AD9" w:rsidRDefault="00B51BCC" w:rsidP="00B51BCC">
      <w:pPr>
        <w:pStyle w:val="Naslovslike"/>
        <w:spacing w:after="120"/>
      </w:pPr>
      <w:bookmarkStart w:id="541" w:name="_Toc27396179"/>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27</w:t>
      </w:r>
      <w:r w:rsidR="005A7E31">
        <w:rPr>
          <w:noProof/>
        </w:rPr>
        <w:fldChar w:fldCharType="end"/>
      </w:r>
      <w:r w:rsidRPr="00462AD9">
        <w:t xml:space="preserve">. Cijene </w:t>
      </w:r>
      <w:r>
        <w:t>prirodnog plina</w:t>
      </w:r>
      <w:r w:rsidRPr="00462AD9">
        <w:t xml:space="preserve"> za kupce u Hrvatskoj u kategoriji kućanstvo</w:t>
      </w:r>
      <w:bookmarkEnd w:id="541"/>
    </w:p>
    <w:p w14:paraId="069F81A1" w14:textId="77777777" w:rsidR="00B51BCC" w:rsidRPr="00462AD9" w:rsidRDefault="00B51BCC" w:rsidP="00B51BCC">
      <w:pPr>
        <w:pStyle w:val="Slike"/>
        <w:keepNext w:val="0"/>
      </w:pPr>
      <w:r w:rsidRPr="00462AD9">
        <w:t>Izvor: Eurostat</w:t>
      </w:r>
    </w:p>
    <w:p w14:paraId="303CBB4E" w14:textId="77777777" w:rsidR="00B51BCC" w:rsidRPr="00462AD9" w:rsidRDefault="00B51BCC" w:rsidP="00B51BCC">
      <w:pPr>
        <w:pStyle w:val="Naslovslike"/>
      </w:pPr>
      <w:r>
        <w:rPr>
          <w:noProof/>
          <w:lang w:eastAsia="hr-HR"/>
        </w:rPr>
        <w:drawing>
          <wp:inline distT="0" distB="0" distL="0" distR="0" wp14:anchorId="0F2D2AEF" wp14:editId="52D4CAA5">
            <wp:extent cx="5040000" cy="3024000"/>
            <wp:effectExtent l="0" t="0" r="8255" b="508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pic:spPr>
                </pic:pic>
              </a:graphicData>
            </a:graphic>
          </wp:inline>
        </w:drawing>
      </w:r>
    </w:p>
    <w:p w14:paraId="24EA738F" w14:textId="3458CBF9" w:rsidR="00B51BCC" w:rsidRPr="00462AD9" w:rsidRDefault="00B51BCC" w:rsidP="00B51BCC">
      <w:pPr>
        <w:pStyle w:val="Naslovslike"/>
        <w:spacing w:after="120"/>
      </w:pPr>
      <w:bookmarkStart w:id="542" w:name="_Toc27396180"/>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28</w:t>
      </w:r>
      <w:r w:rsidR="005A7E31">
        <w:rPr>
          <w:noProof/>
        </w:rPr>
        <w:fldChar w:fldCharType="end"/>
      </w:r>
      <w:r w:rsidRPr="00462AD9">
        <w:t xml:space="preserve">. Cijene </w:t>
      </w:r>
      <w:r w:rsidR="00F2485C">
        <w:t>prirodnog plina</w:t>
      </w:r>
      <w:r w:rsidR="00F2485C" w:rsidRPr="00462AD9">
        <w:t xml:space="preserve"> </w:t>
      </w:r>
      <w:r w:rsidRPr="00462AD9">
        <w:t>za kupce u Hrvatskoj u kategoriji poduzetništvo</w:t>
      </w:r>
      <w:bookmarkEnd w:id="542"/>
    </w:p>
    <w:p w14:paraId="515FEEB8" w14:textId="68FF8D7A" w:rsidR="00B51BCC" w:rsidRPr="00462AD9" w:rsidRDefault="00B51BCC" w:rsidP="00B51BCC">
      <w:pPr>
        <w:pStyle w:val="Slike"/>
        <w:keepNext w:val="0"/>
      </w:pPr>
      <w:r w:rsidRPr="00462AD9">
        <w:t>zvor: Eurostat</w:t>
      </w:r>
    </w:p>
    <w:p w14:paraId="2BF06EAE" w14:textId="77777777" w:rsidR="007E7C42" w:rsidRPr="00BE1ECD" w:rsidRDefault="007E7C42" w:rsidP="00840E2E">
      <w:pPr>
        <w:pStyle w:val="Heading3"/>
        <w:numPr>
          <w:ilvl w:val="0"/>
          <w:numId w:val="84"/>
        </w:numPr>
      </w:pPr>
      <w:r w:rsidRPr="00BE1ECD">
        <w:t>Projekcije kretanja uz postojeće politike i mjere barem do 2040. (uključujući projekcije za 2030.)</w:t>
      </w:r>
    </w:p>
    <w:p w14:paraId="5076C54F" w14:textId="7DEC1576" w:rsidR="002719A1" w:rsidRDefault="002719A1" w:rsidP="002719A1">
      <w:r>
        <w:t xml:space="preserve">Procjena kretanja troška proizvodnje električne energije za scenarij s postojećim mjerama </w:t>
      </w:r>
      <w:r w:rsidR="00F027CF">
        <w:t xml:space="preserve">na temelju </w:t>
      </w:r>
      <w:r>
        <w:t>očekivanog razvoja prikazana je na sljedećoj slici. Prikazana procjena uključuje anualizirane investicije izgradnje novih elektrana, troškove goriva i ostalih troškova pogona svih elektrana, kao i troškove emisijskih jedinica. Procjena ne uključuje anuitete postrojenja koja su već u pogonu. Do 2030. godine pretpostavljeno je postupno smanjenje uvoza električne energije.</w:t>
      </w:r>
    </w:p>
    <w:p w14:paraId="777C4116" w14:textId="77777777" w:rsidR="002719A1" w:rsidRDefault="002719A1" w:rsidP="002719A1">
      <w:pPr>
        <w:jc w:val="center"/>
      </w:pPr>
      <w:r w:rsidRPr="00CD60FE">
        <w:rPr>
          <w:noProof/>
        </w:rPr>
        <w:drawing>
          <wp:inline distT="0" distB="0" distL="0" distR="0" wp14:anchorId="71B75DFF" wp14:editId="229DED8F">
            <wp:extent cx="5400000" cy="3243600"/>
            <wp:effectExtent l="0" t="0" r="0" b="0"/>
            <wp:docPr id="2187908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0000" cy="3243600"/>
                    </a:xfrm>
                    <a:prstGeom prst="rect">
                      <a:avLst/>
                    </a:prstGeom>
                    <a:noFill/>
                    <a:ln>
                      <a:noFill/>
                    </a:ln>
                  </pic:spPr>
                </pic:pic>
              </a:graphicData>
            </a:graphic>
          </wp:inline>
        </w:drawing>
      </w:r>
    </w:p>
    <w:p w14:paraId="74D9DD94" w14:textId="7918D292" w:rsidR="002719A1" w:rsidRPr="00462AD9" w:rsidRDefault="002719A1" w:rsidP="002719A1">
      <w:pPr>
        <w:pStyle w:val="Naslovslike"/>
        <w:spacing w:after="120"/>
      </w:pPr>
      <w:bookmarkStart w:id="543" w:name="_Toc27396181"/>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29</w:t>
      </w:r>
      <w:r w:rsidR="005A7E31">
        <w:rPr>
          <w:noProof/>
        </w:rPr>
        <w:fldChar w:fldCharType="end"/>
      </w:r>
      <w:r w:rsidRPr="00462AD9">
        <w:t xml:space="preserve">. </w:t>
      </w:r>
      <w:r w:rsidR="0046474C">
        <w:t>Projekcije</w:t>
      </w:r>
      <w:r w:rsidR="000F4A9A">
        <w:t xml:space="preserve"> troš</w:t>
      </w:r>
      <w:r w:rsidR="0042113C">
        <w:t>ka proizvodnje</w:t>
      </w:r>
      <w:r w:rsidR="0046474C">
        <w:t xml:space="preserve"> </w:t>
      </w:r>
      <w:r w:rsidRPr="00462AD9">
        <w:t>električne energije</w:t>
      </w:r>
      <w:bookmarkEnd w:id="543"/>
      <w:r w:rsidRPr="00462AD9">
        <w:t xml:space="preserve"> </w:t>
      </w:r>
    </w:p>
    <w:p w14:paraId="24B70063" w14:textId="4FA2C047" w:rsidR="002719A1" w:rsidRDefault="002719A1" w:rsidP="004013A1">
      <w:pPr>
        <w:suppressAutoHyphens w:val="0"/>
        <w:spacing w:after="160" w:line="259" w:lineRule="auto"/>
        <w:contextualSpacing/>
        <w:jc w:val="left"/>
      </w:pPr>
    </w:p>
    <w:p w14:paraId="1881127A" w14:textId="055F5079" w:rsidR="00975884" w:rsidRDefault="00975884" w:rsidP="00975884">
      <w:r>
        <w:t>U nastavku je prikazana procjena kretanja cijena prirodnog plina do 2040. godine</w:t>
      </w:r>
      <w:r w:rsidR="00184F37">
        <w:t xml:space="preserve"> [</w:t>
      </w:r>
      <w:r w:rsidR="00184F37">
        <w:fldChar w:fldCharType="begin"/>
      </w:r>
      <w:r w:rsidR="00184F37">
        <w:instrText xml:space="preserve"> REF _Ref531862952 \r \h </w:instrText>
      </w:r>
      <w:r w:rsidR="00184F37">
        <w:fldChar w:fldCharType="separate"/>
      </w:r>
      <w:r w:rsidR="00154150">
        <w:t>20</w:t>
      </w:r>
      <w:r w:rsidR="00184F37">
        <w:fldChar w:fldCharType="end"/>
      </w:r>
      <w:r w:rsidR="00184F37">
        <w:t>]</w:t>
      </w:r>
      <w:r>
        <w:t>.</w:t>
      </w:r>
    </w:p>
    <w:p w14:paraId="33A09FE2" w14:textId="77777777" w:rsidR="00975884" w:rsidRDefault="00975884" w:rsidP="00975884">
      <w:pPr>
        <w:jc w:val="center"/>
      </w:pPr>
      <w:r>
        <w:rPr>
          <w:noProof/>
        </w:rPr>
        <w:drawing>
          <wp:inline distT="0" distB="0" distL="0" distR="0" wp14:anchorId="7779BB4D" wp14:editId="14136326">
            <wp:extent cx="5040000" cy="3024000"/>
            <wp:effectExtent l="0" t="0" r="8255" b="508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40000" cy="3024000"/>
                    </a:xfrm>
                    <a:prstGeom prst="rect">
                      <a:avLst/>
                    </a:prstGeom>
                    <a:noFill/>
                  </pic:spPr>
                </pic:pic>
              </a:graphicData>
            </a:graphic>
          </wp:inline>
        </w:drawing>
      </w:r>
    </w:p>
    <w:p w14:paraId="7885A1A6" w14:textId="03965980" w:rsidR="00975884" w:rsidRDefault="00975884" w:rsidP="00975884">
      <w:pPr>
        <w:pStyle w:val="Naslovslike"/>
        <w:spacing w:after="120"/>
      </w:pPr>
      <w:bookmarkStart w:id="544" w:name="_Toc27396182"/>
      <w:r w:rsidRPr="00462AD9">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4</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30</w:t>
      </w:r>
      <w:r w:rsidR="005A7E31">
        <w:rPr>
          <w:noProof/>
        </w:rPr>
        <w:fldChar w:fldCharType="end"/>
      </w:r>
      <w:r w:rsidRPr="00462AD9">
        <w:t xml:space="preserve">. </w:t>
      </w:r>
      <w:r>
        <w:t>Projekcije cijena prirodnog plina prema World Energy Outlook 2018</w:t>
      </w:r>
      <w:bookmarkEnd w:id="544"/>
    </w:p>
    <w:p w14:paraId="16DAAB87" w14:textId="40A378C4" w:rsidR="00C21988" w:rsidRDefault="004E40FF" w:rsidP="00C21988">
      <w:pPr>
        <w:pStyle w:val="Heading2"/>
      </w:pPr>
      <w:bookmarkStart w:id="545" w:name="_Toc531935267"/>
      <w:bookmarkStart w:id="546" w:name="_Toc531945129"/>
      <w:bookmarkStart w:id="547" w:name="_Toc6302387"/>
      <w:bookmarkStart w:id="548" w:name="_Toc27396121"/>
      <w:r>
        <w:t>4.6</w:t>
      </w:r>
      <w:r>
        <w:tab/>
      </w:r>
      <w:r w:rsidR="00C21988">
        <w:t>Dimenzija: istraživanje, inovacije i konkurentnost</w:t>
      </w:r>
      <w:bookmarkEnd w:id="545"/>
      <w:bookmarkEnd w:id="546"/>
      <w:bookmarkEnd w:id="547"/>
      <w:bookmarkEnd w:id="548"/>
    </w:p>
    <w:p w14:paraId="6EA1B6FB" w14:textId="77777777" w:rsidR="00F869A2" w:rsidRPr="00BE1ECD" w:rsidRDefault="00F869A2" w:rsidP="00840E2E">
      <w:pPr>
        <w:pStyle w:val="Heading3"/>
        <w:numPr>
          <w:ilvl w:val="0"/>
          <w:numId w:val="85"/>
        </w:numPr>
      </w:pPr>
      <w:r w:rsidRPr="00BE1ECD">
        <w:t>Trenutačno stanje niskougljičnih tehnologija i njihov položaj na EU tržištu</w:t>
      </w:r>
    </w:p>
    <w:p w14:paraId="0EAC67C0" w14:textId="4B3F7612" w:rsidR="009A7F0D" w:rsidRDefault="008E28E2" w:rsidP="00CF2D4C">
      <w:pPr>
        <w:suppressAutoHyphens w:val="0"/>
        <w:spacing w:line="259" w:lineRule="auto"/>
      </w:pPr>
      <w:r>
        <w:t>Područje niskougljičnih teh</w:t>
      </w:r>
      <w:r w:rsidR="00374BF2">
        <w:t>n</w:t>
      </w:r>
      <w:r>
        <w:t>ologija srodno je tematskom prioritet</w:t>
      </w:r>
      <w:r w:rsidR="009D27D1">
        <w:t xml:space="preserve">om području energetika i okoliš Strategije </w:t>
      </w:r>
      <w:r w:rsidR="00924427">
        <w:t>pametne specijalizacije Republike Hrvatske za razdoblje od 2016. do 2020. godine [</w:t>
      </w:r>
      <w:r w:rsidR="00924427">
        <w:fldChar w:fldCharType="begin"/>
      </w:r>
      <w:r w:rsidR="00924427">
        <w:instrText xml:space="preserve"> REF _Ref5968872 \r \h </w:instrText>
      </w:r>
      <w:r w:rsidR="00924427">
        <w:fldChar w:fldCharType="separate"/>
      </w:r>
      <w:r w:rsidR="00154150">
        <w:t>8</w:t>
      </w:r>
      <w:r w:rsidR="00924427">
        <w:fldChar w:fldCharType="end"/>
      </w:r>
      <w:r w:rsidR="00924427">
        <w:t>]</w:t>
      </w:r>
      <w:r w:rsidR="009D27D1">
        <w:t xml:space="preserve">. </w:t>
      </w:r>
      <w:r w:rsidR="0062625F" w:rsidRPr="0062625F">
        <w:t xml:space="preserve">Unutar ovog </w:t>
      </w:r>
      <w:r w:rsidR="00F01170">
        <w:t>podru</w:t>
      </w:r>
      <w:r w:rsidR="0012198B">
        <w:t>čja</w:t>
      </w:r>
      <w:r w:rsidR="0062625F" w:rsidRPr="0062625F">
        <w:t xml:space="preserve"> postoji mogućnost značajno doprinijeti globalnim izazovima u odnosu na sigurnu, čistu i učinkovitu energiju, klimatske promjene te učinkovitost resursa. </w:t>
      </w:r>
    </w:p>
    <w:p w14:paraId="3CFD567C" w14:textId="7288A9C0" w:rsidR="008272EB" w:rsidRDefault="008272EB" w:rsidP="00CF2D4C">
      <w:pPr>
        <w:suppressAutoHyphens w:val="0"/>
        <w:spacing w:line="259" w:lineRule="auto"/>
      </w:pPr>
      <w:r>
        <w:t>U okviru ovog područja identificirane su sljedeće prednosti:</w:t>
      </w:r>
    </w:p>
    <w:p w14:paraId="2ACDF304" w14:textId="7DEC4F47" w:rsidR="00232508" w:rsidRDefault="00924427" w:rsidP="00840E2E">
      <w:pPr>
        <w:pStyle w:val="ListParagraph"/>
        <w:numPr>
          <w:ilvl w:val="0"/>
          <w:numId w:val="27"/>
        </w:numPr>
        <w:suppressAutoHyphens w:val="0"/>
        <w:spacing w:line="259" w:lineRule="auto"/>
      </w:pPr>
      <w:r>
        <w:t>i</w:t>
      </w:r>
      <w:r w:rsidR="00232508" w:rsidRPr="00232508">
        <w:t>ndustrijski kapacitet</w:t>
      </w:r>
      <w:r w:rsidR="00B90F8D">
        <w:t>i</w:t>
      </w:r>
      <w:r w:rsidR="00232508" w:rsidRPr="00232508">
        <w:t xml:space="preserve"> vezan</w:t>
      </w:r>
      <w:r w:rsidR="00106CFA">
        <w:t>i</w:t>
      </w:r>
      <w:r w:rsidR="00232508" w:rsidRPr="00232508">
        <w:t xml:space="preserve"> za električnu opremu za </w:t>
      </w:r>
      <w:r>
        <w:t>EES</w:t>
      </w:r>
      <w:r w:rsidR="00232508" w:rsidRPr="00232508">
        <w:t xml:space="preserve"> (npr. naponskih i distributivnih transformatora, rotacijskih strojeva, vjetroagregata, fotonaponskih panela) i prateć</w:t>
      </w:r>
      <w:r w:rsidR="00106CFA">
        <w:t>a</w:t>
      </w:r>
      <w:r w:rsidR="00232508" w:rsidRPr="00232508">
        <w:t xml:space="preserve"> industrij</w:t>
      </w:r>
      <w:r w:rsidR="00106CFA">
        <w:t>a</w:t>
      </w:r>
      <w:r w:rsidR="00232508" w:rsidRPr="00232508">
        <w:t xml:space="preserve"> za stvaranje velikih konstrukcija od metala i betona (brodogradilišta)</w:t>
      </w:r>
      <w:r w:rsidR="00565F08">
        <w:t>,</w:t>
      </w:r>
    </w:p>
    <w:p w14:paraId="4F278B6C" w14:textId="6DAA6574" w:rsidR="009A7F0D" w:rsidRDefault="00924427" w:rsidP="00840E2E">
      <w:pPr>
        <w:pStyle w:val="ListParagraph"/>
        <w:numPr>
          <w:ilvl w:val="0"/>
          <w:numId w:val="27"/>
        </w:numPr>
        <w:suppressAutoHyphens w:val="0"/>
        <w:spacing w:line="259" w:lineRule="auto"/>
        <w:jc w:val="left"/>
      </w:pPr>
      <w:r>
        <w:t>t</w:t>
      </w:r>
      <w:r w:rsidRPr="00106CFA">
        <w:t xml:space="preserve">radicija </w:t>
      </w:r>
      <w:r w:rsidR="00106CFA" w:rsidRPr="00106CFA">
        <w:t>i iskustvo u projektiranju i izgradnji energetskih postrojenja, dalekovoda, trafostanica i kontrolnih sustava s vrlo dobrim globalnim izvoznim potencijalima</w:t>
      </w:r>
      <w:r w:rsidR="00565F08">
        <w:t>,</w:t>
      </w:r>
    </w:p>
    <w:p w14:paraId="2994D4F0" w14:textId="3D030D59" w:rsidR="00220B5D" w:rsidRDefault="00924427" w:rsidP="00840E2E">
      <w:pPr>
        <w:pStyle w:val="ListParagraph"/>
        <w:numPr>
          <w:ilvl w:val="0"/>
          <w:numId w:val="27"/>
        </w:numPr>
        <w:suppressAutoHyphens w:val="0"/>
        <w:spacing w:line="259" w:lineRule="auto"/>
        <w:jc w:val="left"/>
      </w:pPr>
      <w:r>
        <w:t xml:space="preserve">prisutnost </w:t>
      </w:r>
      <w:r w:rsidR="00220B5D">
        <w:t>prirodnih resursa pogodnih za proizvodnju energije iz obnovljivih izvora (vodnih resursa - gradnja i opremanje hidroelektrana, bio-postrojenja koja mogu preuzeti ostatke iz hrvatskog poljoprivrednog sektora, vjetra koji će se koristiti za daljnje tehnološke nadogradnje i ulaganja u području vjetroelektrana i slično)</w:t>
      </w:r>
      <w:r w:rsidR="00565F08">
        <w:t>,</w:t>
      </w:r>
    </w:p>
    <w:p w14:paraId="4DB9C12C" w14:textId="3923F310" w:rsidR="00220B5D" w:rsidRDefault="00924427" w:rsidP="00840E2E">
      <w:pPr>
        <w:pStyle w:val="ListParagraph"/>
        <w:numPr>
          <w:ilvl w:val="0"/>
          <w:numId w:val="27"/>
        </w:numPr>
        <w:suppressAutoHyphens w:val="0"/>
        <w:spacing w:line="259" w:lineRule="auto"/>
        <w:jc w:val="left"/>
      </w:pPr>
      <w:r>
        <w:t xml:space="preserve">brojne </w:t>
      </w:r>
      <w:r w:rsidR="00220B5D">
        <w:t>obrazovne ustanove i sveučilišni programi u kojima se studenti obrazuju u područjima proizvodnje, inženjeringa i održavanja</w:t>
      </w:r>
      <w:r w:rsidR="00565F08">
        <w:t>,</w:t>
      </w:r>
    </w:p>
    <w:p w14:paraId="6A34817C" w14:textId="33307D96" w:rsidR="00220B5D" w:rsidRDefault="00924427" w:rsidP="00840E2E">
      <w:pPr>
        <w:pStyle w:val="ListParagraph"/>
        <w:numPr>
          <w:ilvl w:val="0"/>
          <w:numId w:val="27"/>
        </w:numPr>
        <w:suppressAutoHyphens w:val="0"/>
        <w:spacing w:line="259" w:lineRule="auto"/>
        <w:jc w:val="left"/>
      </w:pPr>
      <w:r>
        <w:t xml:space="preserve">određen </w:t>
      </w:r>
      <w:r w:rsidR="00220B5D">
        <w:t>broj javnih i privatnih istraživačkih organizacija s dokazanim sposobnostima u ovom području koje mogu podržati i unaprijediti konkurentnost industrije kroz istraživanje i razvoj</w:t>
      </w:r>
      <w:r w:rsidR="00565F08">
        <w:t>,</w:t>
      </w:r>
    </w:p>
    <w:p w14:paraId="531A63EC" w14:textId="3ED2C127" w:rsidR="00220B5D" w:rsidRDefault="00924427" w:rsidP="00840E2E">
      <w:pPr>
        <w:pStyle w:val="ListParagraph"/>
        <w:numPr>
          <w:ilvl w:val="0"/>
          <w:numId w:val="27"/>
        </w:numPr>
        <w:suppressAutoHyphens w:val="0"/>
        <w:spacing w:line="259" w:lineRule="auto"/>
        <w:jc w:val="left"/>
      </w:pPr>
      <w:r>
        <w:t xml:space="preserve">postojeće </w:t>
      </w:r>
      <w:r w:rsidR="00220B5D">
        <w:t>tržište koje zahtjeva nadogradnju i proširenje proizvodnih kapaciteta</w:t>
      </w:r>
      <w:r w:rsidR="007F6A2B">
        <w:t>.</w:t>
      </w:r>
    </w:p>
    <w:p w14:paraId="0E1B9D84" w14:textId="03F9A53F" w:rsidR="00220B5D" w:rsidRDefault="009547B2" w:rsidP="00220B5D">
      <w:pPr>
        <w:suppressAutoHyphens w:val="0"/>
        <w:spacing w:line="259" w:lineRule="auto"/>
        <w:jc w:val="left"/>
      </w:pPr>
      <w:r>
        <w:t>Unutar područja definirana su dva pod-tematska prioritetna područja, i to:</w:t>
      </w:r>
    </w:p>
    <w:p w14:paraId="1B4513DE" w14:textId="3BD1EA3C" w:rsidR="009547B2" w:rsidRDefault="00924427" w:rsidP="00840E2E">
      <w:pPr>
        <w:pStyle w:val="ListParagraph"/>
        <w:numPr>
          <w:ilvl w:val="0"/>
          <w:numId w:val="28"/>
        </w:numPr>
        <w:suppressAutoHyphens w:val="0"/>
        <w:spacing w:line="259" w:lineRule="auto"/>
        <w:jc w:val="left"/>
      </w:pPr>
      <w:r>
        <w:t>e</w:t>
      </w:r>
      <w:r w:rsidRPr="009A26BA">
        <w:t xml:space="preserve">nergetske </w:t>
      </w:r>
      <w:r w:rsidR="009A26BA" w:rsidRPr="009A26BA">
        <w:t>tehnologije, sustavi i oprema</w:t>
      </w:r>
      <w:r>
        <w:t xml:space="preserve"> i</w:t>
      </w:r>
    </w:p>
    <w:p w14:paraId="58BBFFA6" w14:textId="7F13E459" w:rsidR="009A26BA" w:rsidRDefault="00924427" w:rsidP="00840E2E">
      <w:pPr>
        <w:pStyle w:val="ListParagraph"/>
        <w:numPr>
          <w:ilvl w:val="0"/>
          <w:numId w:val="28"/>
        </w:numPr>
        <w:suppressAutoHyphens w:val="0"/>
        <w:spacing w:line="259" w:lineRule="auto"/>
        <w:jc w:val="left"/>
      </w:pPr>
      <w:r>
        <w:t>e</w:t>
      </w:r>
      <w:r w:rsidRPr="009A26BA">
        <w:t xml:space="preserve">kološki </w:t>
      </w:r>
      <w:r w:rsidR="009A26BA" w:rsidRPr="009A26BA">
        <w:t>prihvatljive tehnologije, oprema i napredni materijali</w:t>
      </w:r>
      <w:r w:rsidR="009A26BA">
        <w:t>.</w:t>
      </w:r>
    </w:p>
    <w:p w14:paraId="6C9FB125" w14:textId="77777777" w:rsidR="00705FDE" w:rsidRPr="00725326" w:rsidRDefault="00705FDE" w:rsidP="00705FDE">
      <w:pPr>
        <w:suppressAutoHyphens w:val="0"/>
        <w:spacing w:after="160" w:line="259" w:lineRule="auto"/>
        <w:contextualSpacing/>
      </w:pPr>
      <w:r w:rsidRPr="00725326">
        <w:t>Istraživanja su potrebna u okviru sljedećih tema:</w:t>
      </w:r>
    </w:p>
    <w:p w14:paraId="455BBA4C"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razvoj modela, metoda za integralno upravljanje ugljikom, za unapređenje proračuna emisija/ponora, za projekcije emisija/ponora, za primjenu proračuna po metodi ukupnog životnog ciklusa</w:t>
      </w:r>
    </w:p>
    <w:p w14:paraId="6B06D823"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istraživanje tehnologija, tehničkih i ne-tehničkih mjera za smanjenje emisija i povećanje ponora u svim sektorima (energetika, promet, poljoprivreda, šumarstvo, gospodarenja otpadom i industrijski procesi)</w:t>
      </w:r>
    </w:p>
    <w:p w14:paraId="009EB174"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istraživanja mogućnosti korištenja, načina skladištenja, transporta i geološkog skladištenja CO</w:t>
      </w:r>
      <w:r w:rsidRPr="00725326">
        <w:rPr>
          <w:rStyle w:val="zadanifontodlomka-000007"/>
          <w:rFonts w:ascii="Arial" w:hAnsi="Arial" w:cs="Arial"/>
          <w:sz w:val="22"/>
          <w:szCs w:val="22"/>
          <w:vertAlign w:val="subscript"/>
        </w:rPr>
        <w:t>2</w:t>
      </w:r>
      <w:r w:rsidRPr="00725326">
        <w:rPr>
          <w:rStyle w:val="zadanifontodlomka-000007"/>
          <w:rFonts w:ascii="Arial" w:hAnsi="Arial" w:cs="Arial"/>
          <w:sz w:val="22"/>
          <w:szCs w:val="22"/>
        </w:rPr>
        <w:t xml:space="preserve"> </w:t>
      </w:r>
    </w:p>
    <w:p w14:paraId="630A50A2" w14:textId="22A468D6"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istraživanje poveznica između ublažavanja klimatskih promjena i prilagodbe klimatskim promjenama, te interakcije s ostalim sastavnicama okoliša</w:t>
      </w:r>
    </w:p>
    <w:p w14:paraId="1DC4381D"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 xml:space="preserve">razvoj integralnih modela procjene učinaka politika i mjera za ublažavanje klimatskih promjena na gospodarstvo, okoliš i društvo </w:t>
      </w:r>
    </w:p>
    <w:p w14:paraId="0BA966A3"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istraživanja socioloških aspekata klimatskih promjena, razvoj modela i metoda promidžbe i podizanja javne svijesti o klimatskim promjenama</w:t>
      </w:r>
    </w:p>
    <w:p w14:paraId="7CD3343B"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 xml:space="preserve">istraživanje potencijala biomase, proizvodnje biomase, korištenja biomase i s tim u vezi socio-gospodarskih aspekata </w:t>
      </w:r>
    </w:p>
    <w:p w14:paraId="4D87C467"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istraživanje potencijala svih obnovljivih izvora energije, troškovi i koristi njihove upotrebe, njihovog utjecaja na okoliš, prirodu i Natura2000</w:t>
      </w:r>
    </w:p>
    <w:p w14:paraId="6C867EC1"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studije integralnih rješenja, energetske učinkovitosti, obnovljivih izvora energije u svim sektorima, optimizacijski modeli za pametne gradove, zelene gradove i urbanu infrastrukturu</w:t>
      </w:r>
    </w:p>
    <w:p w14:paraId="7EB99C0F"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istraživanja naprednih mreža i pametnih sustava</w:t>
      </w:r>
    </w:p>
    <w:p w14:paraId="31A4E5A9"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razvoj koncepata i planiranja pametnih gradova</w:t>
      </w:r>
    </w:p>
    <w:p w14:paraId="1E0B41C3"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istraživanja vezano za izgradnju kružne ekonomije, uvođenje sustava upravljanja korištenjem resursa, energije i ugljičnog otiska</w:t>
      </w:r>
    </w:p>
    <w:p w14:paraId="30E6A69D" w14:textId="77777777"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istraživanja održive mobilnosti u gradovima, kooperativnih, inteligentnih i automatiziranih rješenja u prometu</w:t>
      </w:r>
    </w:p>
    <w:p w14:paraId="1B92A789" w14:textId="369E4BFC" w:rsidR="00705FDE" w:rsidRPr="00725326" w:rsidRDefault="00705FDE" w:rsidP="00840E2E">
      <w:pPr>
        <w:pStyle w:val="000325"/>
        <w:numPr>
          <w:ilvl w:val="0"/>
          <w:numId w:val="41"/>
        </w:numPr>
        <w:spacing w:before="0"/>
        <w:rPr>
          <w:rFonts w:ascii="Arial" w:hAnsi="Arial" w:cs="Arial"/>
          <w:sz w:val="22"/>
          <w:szCs w:val="22"/>
        </w:rPr>
      </w:pPr>
      <w:r w:rsidRPr="00725326">
        <w:rPr>
          <w:rStyle w:val="zadanifontodlomka-000007"/>
          <w:rFonts w:ascii="Arial" w:hAnsi="Arial" w:cs="Arial"/>
          <w:sz w:val="22"/>
          <w:szCs w:val="22"/>
        </w:rPr>
        <w:t>istraživanja o mogućnostima povećanja pohrane ugljika na</w:t>
      </w:r>
      <w:r w:rsidR="00192689">
        <w:rPr>
          <w:rStyle w:val="zadanifontodlomka-000007"/>
          <w:rFonts w:ascii="Arial" w:hAnsi="Arial" w:cs="Arial"/>
          <w:sz w:val="22"/>
          <w:szCs w:val="22"/>
        </w:rPr>
        <w:t xml:space="preserve"> šumskom i</w:t>
      </w:r>
      <w:r w:rsidRPr="00725326">
        <w:rPr>
          <w:rStyle w:val="zadanifontodlomka-000007"/>
          <w:rFonts w:ascii="Arial" w:hAnsi="Arial" w:cs="Arial"/>
          <w:sz w:val="22"/>
          <w:szCs w:val="22"/>
        </w:rPr>
        <w:t xml:space="preserve"> poljoprivrednom zemljištu i mogućih inovativnih mjera u stočarstvu</w:t>
      </w:r>
      <w:r w:rsidR="00E372B8">
        <w:rPr>
          <w:rStyle w:val="zadanifontodlomka-000007"/>
          <w:rFonts w:ascii="Arial" w:hAnsi="Arial" w:cs="Arial"/>
          <w:sz w:val="22"/>
          <w:szCs w:val="22"/>
        </w:rPr>
        <w:t>.</w:t>
      </w:r>
    </w:p>
    <w:p w14:paraId="19A6C991" w14:textId="18569A42" w:rsidR="00705FDE" w:rsidRDefault="00705FDE" w:rsidP="00FA0B05">
      <w:pPr>
        <w:suppressAutoHyphens w:val="0"/>
        <w:spacing w:line="259" w:lineRule="auto"/>
        <w:rPr>
          <w:rFonts w:cs="Arial"/>
        </w:rPr>
      </w:pPr>
      <w:r>
        <w:rPr>
          <w:rFonts w:cs="Arial"/>
        </w:rPr>
        <w:t>O</w:t>
      </w:r>
      <w:r w:rsidRPr="00937D38">
        <w:rPr>
          <w:rFonts w:cs="Arial"/>
        </w:rPr>
        <w:t>sobiti tehnološki napredak očekuje se u primjeni ICT tehnologija u svim sektorima, osobito s velikim učinkom u energetici i prometu. Odlučujuću ulogu će imati razvoj sustava za pohranu energije, infrastruktura za električna vozila i baterije, autonomni sustavi u raznim sektorima i robotika</w:t>
      </w:r>
      <w:r>
        <w:rPr>
          <w:rFonts w:cs="Arial"/>
        </w:rPr>
        <w:t>.</w:t>
      </w:r>
    </w:p>
    <w:p w14:paraId="299EBE97" w14:textId="25360520" w:rsidR="008A5DDD" w:rsidRPr="008A5DDD" w:rsidRDefault="00456718" w:rsidP="008A5DDD">
      <w:pPr>
        <w:suppressAutoHyphens w:val="0"/>
        <w:spacing w:line="259" w:lineRule="auto"/>
        <w:rPr>
          <w:rFonts w:cs="Arial"/>
        </w:rPr>
      </w:pPr>
      <w:r>
        <w:rPr>
          <w:rFonts w:cs="Arial"/>
        </w:rPr>
        <w:t xml:space="preserve">Državni zavod za statistiku </w:t>
      </w:r>
      <w:r w:rsidR="00277FE7">
        <w:rPr>
          <w:rFonts w:cs="Arial"/>
        </w:rPr>
        <w:t xml:space="preserve">prikuplja podatke o </w:t>
      </w:r>
      <w:r w:rsidR="002B75AD">
        <w:rPr>
          <w:rFonts w:cs="Arial"/>
        </w:rPr>
        <w:t xml:space="preserve">robnoj razmjeni RH s inozemstvom, a </w:t>
      </w:r>
      <w:r w:rsidR="00B461CA">
        <w:rPr>
          <w:rFonts w:cs="Arial"/>
        </w:rPr>
        <w:t xml:space="preserve">agregirane podatke objavljuje prema nacionalnoj klasifikaciji djelatnosti te prema </w:t>
      </w:r>
      <w:r w:rsidR="00AE4E14">
        <w:rPr>
          <w:rFonts w:cs="Arial"/>
        </w:rPr>
        <w:t>sektorima.</w:t>
      </w:r>
      <w:r w:rsidR="00B77737">
        <w:rPr>
          <w:rFonts w:cs="Arial"/>
        </w:rPr>
        <w:t xml:space="preserve"> Trenutno postoji praćenje</w:t>
      </w:r>
      <w:r w:rsidR="00443885">
        <w:rPr>
          <w:rFonts w:cs="Arial"/>
        </w:rPr>
        <w:t xml:space="preserve"> izvoza svih proizvoda prema </w:t>
      </w:r>
      <w:r w:rsidR="00A36647">
        <w:rPr>
          <w:rFonts w:cs="Arial"/>
        </w:rPr>
        <w:t>nome</w:t>
      </w:r>
      <w:r w:rsidR="00B44765">
        <w:rPr>
          <w:rFonts w:cs="Arial"/>
        </w:rPr>
        <w:t>n</w:t>
      </w:r>
      <w:r w:rsidR="00A36647">
        <w:rPr>
          <w:rFonts w:cs="Arial"/>
        </w:rPr>
        <w:t xml:space="preserve">klaturi iz Uredbe </w:t>
      </w:r>
      <w:r w:rsidR="008A5DDD" w:rsidRPr="008A5DDD">
        <w:rPr>
          <w:rFonts w:cs="Arial"/>
        </w:rPr>
        <w:t>2017/1925</w:t>
      </w:r>
      <w:r w:rsidR="008A5DDD">
        <w:rPr>
          <w:rFonts w:cs="Arial"/>
        </w:rPr>
        <w:t xml:space="preserve"> </w:t>
      </w:r>
      <w:r w:rsidR="008A5DDD" w:rsidRPr="008A5DDD">
        <w:rPr>
          <w:rFonts w:cs="Arial"/>
        </w:rPr>
        <w:t>o tarifnoj i statističkoj nomenklaturi i o Zajedničkoj carinskoj tarifi</w:t>
      </w:r>
      <w:r w:rsidR="008A5DDD">
        <w:rPr>
          <w:rFonts w:cs="Arial"/>
        </w:rPr>
        <w:t xml:space="preserve">, ali je potrebno definirati specifične </w:t>
      </w:r>
      <w:r w:rsidR="009D6C3B">
        <w:rPr>
          <w:rFonts w:cs="Arial"/>
        </w:rPr>
        <w:t xml:space="preserve">niskougljične </w:t>
      </w:r>
      <w:r w:rsidR="008A5DDD">
        <w:rPr>
          <w:rFonts w:cs="Arial"/>
        </w:rPr>
        <w:t xml:space="preserve">proizvode </w:t>
      </w:r>
      <w:r w:rsidR="00CA6739">
        <w:rPr>
          <w:rFonts w:cs="Arial"/>
        </w:rPr>
        <w:t>te o njima zasebno izvještavati</w:t>
      </w:r>
      <w:r w:rsidR="008A5DDD">
        <w:rPr>
          <w:rFonts w:cs="Arial"/>
        </w:rPr>
        <w:t>.</w:t>
      </w:r>
    </w:p>
    <w:p w14:paraId="53233208" w14:textId="77777777" w:rsidR="00311E42" w:rsidRPr="00BE1ECD" w:rsidRDefault="00311E42" w:rsidP="00840E2E">
      <w:pPr>
        <w:pStyle w:val="Heading3"/>
        <w:numPr>
          <w:ilvl w:val="0"/>
          <w:numId w:val="85"/>
        </w:numPr>
      </w:pPr>
      <w:r w:rsidRPr="00BE1ECD">
        <w:t>Trenutačna razina javne i, ako je dostupno, privatne potrošnje za istraživanja i inovacije u području niskougljičnih tehnologija, trenutačni broj patenata i trenutačni broj istraživača</w:t>
      </w:r>
    </w:p>
    <w:p w14:paraId="243BE004" w14:textId="39826DB2" w:rsidR="004A5113" w:rsidRDefault="004A5113" w:rsidP="004A5113">
      <w:r>
        <w:t>Prema procjeni za 2017., bruto domaći izdaci za istraživanje i razvoj (eng. Gross Domestic Expenditure on Research and Development, GDERD)</w:t>
      </w:r>
      <w:r w:rsidR="00461782">
        <w:t xml:space="preserve"> </w:t>
      </w:r>
      <w:r>
        <w:t>iznosili su 0,86 % BDP-a. Do 2020. godine postavljen je cilj od 1,4 % udjela u BDP-u dok je cilj na razini EU 3% što pokazuje da RH zaostaje u financiranju istraživanja, razvoja i inovacija u odnosu na prosjek EU. U 2017. udio javnih izdataka za istraživanje i razvoj u BDP-u</w:t>
      </w:r>
      <w:r w:rsidR="00461782">
        <w:t xml:space="preserve"> </w:t>
      </w:r>
      <w:r>
        <w:t>tijekom 2017. iznosio je 0,43% dok je prosjek za EU bio 0,69%. Udio izdataka privatnih poduzeća u BDP-u</w:t>
      </w:r>
      <w:r w:rsidR="00461782">
        <w:t xml:space="preserve"> </w:t>
      </w:r>
      <w:r>
        <w:t>tijekom 2017. iznosio je također 0,43% dok je prosjek</w:t>
      </w:r>
      <w:r w:rsidR="00924427">
        <w:t xml:space="preserve"> </w:t>
      </w:r>
      <w:r>
        <w:t xml:space="preserve">u EU bio 1,36%. </w:t>
      </w:r>
    </w:p>
    <w:p w14:paraId="046D985F" w14:textId="7EBACD2C" w:rsidR="00E04D64" w:rsidRDefault="00CA1EA0" w:rsidP="004A5113">
      <w:r>
        <w:t xml:space="preserve">Državni zavod za statistiku prati </w:t>
      </w:r>
      <w:r w:rsidR="007A13AD">
        <w:t>bruto domaće izdatke za istraživanje i razvoj prema sektorima i područjima znanosti</w:t>
      </w:r>
      <w:r w:rsidR="00005CD0">
        <w:t xml:space="preserve">, kao što prikazuje </w:t>
      </w:r>
      <w:r w:rsidR="009F72DA">
        <w:fldChar w:fldCharType="begin"/>
      </w:r>
      <w:r w:rsidR="009F72DA">
        <w:instrText xml:space="preserve"> REF _Ref20490903 \h </w:instrText>
      </w:r>
      <w:r w:rsidR="009F72DA">
        <w:fldChar w:fldCharType="separate"/>
      </w:r>
      <w:r w:rsidR="00154150" w:rsidRPr="00462AD9">
        <w:t xml:space="preserve">Slika </w:t>
      </w:r>
      <w:r w:rsidR="00154150">
        <w:rPr>
          <w:noProof/>
        </w:rPr>
        <w:t>4</w:t>
      </w:r>
      <w:r w:rsidR="00154150">
        <w:noBreakHyphen/>
      </w:r>
      <w:r w:rsidR="00154150">
        <w:rPr>
          <w:noProof/>
        </w:rPr>
        <w:t>31</w:t>
      </w:r>
      <w:r w:rsidR="00154150" w:rsidRPr="00462AD9">
        <w:t>.</w:t>
      </w:r>
      <w:r w:rsidR="009F72DA">
        <w:fldChar w:fldCharType="end"/>
      </w:r>
      <w:r w:rsidR="000E6952">
        <w:t xml:space="preserve"> [</w:t>
      </w:r>
      <w:r w:rsidR="00AF7557">
        <w:fldChar w:fldCharType="begin"/>
      </w:r>
      <w:r w:rsidR="00AF7557">
        <w:instrText xml:space="preserve"> REF _Ref20491285 \w \h </w:instrText>
      </w:r>
      <w:r w:rsidR="00AF7557">
        <w:fldChar w:fldCharType="separate"/>
      </w:r>
      <w:r w:rsidR="00154150">
        <w:t>22</w:t>
      </w:r>
      <w:r w:rsidR="00AF7557">
        <w:fldChar w:fldCharType="end"/>
      </w:r>
      <w:r w:rsidR="000E6952">
        <w:t>]</w:t>
      </w:r>
      <w:r w:rsidR="00005CD0">
        <w:t>.</w:t>
      </w:r>
    </w:p>
    <w:p w14:paraId="60C22D53" w14:textId="56EAB55C" w:rsidR="00005CD0" w:rsidRDefault="009F72DA" w:rsidP="004A5113">
      <w:r w:rsidRPr="009F72DA">
        <w:rPr>
          <w:noProof/>
        </w:rPr>
        <w:drawing>
          <wp:inline distT="0" distB="0" distL="0" distR="0" wp14:anchorId="21B4066A" wp14:editId="44A8E65B">
            <wp:extent cx="5759450" cy="2277110"/>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59450" cy="2277110"/>
                    </a:xfrm>
                    <a:prstGeom prst="rect">
                      <a:avLst/>
                    </a:prstGeom>
                    <a:noFill/>
                    <a:ln>
                      <a:noFill/>
                    </a:ln>
                  </pic:spPr>
                </pic:pic>
              </a:graphicData>
            </a:graphic>
          </wp:inline>
        </w:drawing>
      </w:r>
    </w:p>
    <w:p w14:paraId="3643C0F0" w14:textId="5F5E0F9D" w:rsidR="00D61AD8" w:rsidRDefault="009F72DA">
      <w:pPr>
        <w:pStyle w:val="Naslovslike"/>
        <w:spacing w:after="120"/>
      </w:pPr>
      <w:bookmarkStart w:id="549" w:name="_Ref20490903"/>
      <w:bookmarkStart w:id="550" w:name="_Toc27396183"/>
      <w:r w:rsidRPr="00462AD9">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31</w:t>
      </w:r>
      <w:r>
        <w:rPr>
          <w:noProof/>
        </w:rPr>
        <w:fldChar w:fldCharType="end"/>
      </w:r>
      <w:r w:rsidRPr="00462AD9">
        <w:t>.</w:t>
      </w:r>
      <w:bookmarkEnd w:id="549"/>
      <w:r w:rsidRPr="00462AD9">
        <w:t xml:space="preserve"> </w:t>
      </w:r>
      <w:r w:rsidR="000E6952">
        <w:t>B</w:t>
      </w:r>
      <w:r w:rsidR="000E6952" w:rsidRPr="000E6952">
        <w:t>ruto domać</w:t>
      </w:r>
      <w:r w:rsidR="000E6952">
        <w:t>i</w:t>
      </w:r>
      <w:r w:rsidR="000E6952" w:rsidRPr="000E6952">
        <w:t xml:space="preserve"> izdat</w:t>
      </w:r>
      <w:r w:rsidR="000E6952">
        <w:t>ci</w:t>
      </w:r>
      <w:r w:rsidR="000E6952" w:rsidRPr="000E6952">
        <w:t xml:space="preserve"> za istraživanje i razvoj prema sektorima i područjima znanosti</w:t>
      </w:r>
      <w:bookmarkEnd w:id="550"/>
      <w:r w:rsidR="000E6952" w:rsidRPr="000E6952" w:rsidDel="000E6952">
        <w:t xml:space="preserve"> </w:t>
      </w:r>
    </w:p>
    <w:p w14:paraId="0BF1EF3C" w14:textId="0E6D61EE" w:rsidR="008C2F10" w:rsidRDefault="00D61AD8" w:rsidP="008C2F10">
      <w:r>
        <w:t xml:space="preserve">Državni zavod za statistiku prati i </w:t>
      </w:r>
      <w:r w:rsidR="006C592A">
        <w:t>izdatke za istraživanje i razvoj prema područjima znanosti istraživačko-razvojnog projekta</w:t>
      </w:r>
      <w:r w:rsidR="00B51A68">
        <w:t xml:space="preserve"> i vrstama istraživanja, kao što prikazuje </w:t>
      </w:r>
      <w:r w:rsidR="00C8010B">
        <w:fldChar w:fldCharType="begin"/>
      </w:r>
      <w:r w:rsidR="00C8010B">
        <w:instrText xml:space="preserve"> REF _Ref20490903 \h </w:instrText>
      </w:r>
      <w:r w:rsidR="00C8010B">
        <w:fldChar w:fldCharType="separate"/>
      </w:r>
      <w:r w:rsidR="00154150" w:rsidRPr="00462AD9">
        <w:t xml:space="preserve">Slika </w:t>
      </w:r>
      <w:r w:rsidR="00154150">
        <w:rPr>
          <w:noProof/>
        </w:rPr>
        <w:t>4</w:t>
      </w:r>
      <w:r w:rsidR="00154150">
        <w:noBreakHyphen/>
      </w:r>
      <w:r w:rsidR="00154150">
        <w:rPr>
          <w:noProof/>
        </w:rPr>
        <w:t>31</w:t>
      </w:r>
      <w:r w:rsidR="00154150" w:rsidRPr="00462AD9">
        <w:t>.</w:t>
      </w:r>
      <w:r w:rsidR="00C8010B">
        <w:fldChar w:fldCharType="end"/>
      </w:r>
      <w:r w:rsidR="00F7335B">
        <w:t xml:space="preserve"> </w:t>
      </w:r>
      <w:r w:rsidR="008C2F10">
        <w:t>[</w:t>
      </w:r>
      <w:r w:rsidR="008C2F10">
        <w:fldChar w:fldCharType="begin"/>
      </w:r>
      <w:r w:rsidR="008C2F10">
        <w:instrText xml:space="preserve"> REF _Ref20491285 \w \h </w:instrText>
      </w:r>
      <w:r w:rsidR="008C2F10">
        <w:fldChar w:fldCharType="separate"/>
      </w:r>
      <w:r w:rsidR="00154150">
        <w:t>22</w:t>
      </w:r>
      <w:r w:rsidR="008C2F10">
        <w:fldChar w:fldCharType="end"/>
      </w:r>
      <w:r w:rsidR="008C2F10">
        <w:t>].</w:t>
      </w:r>
    </w:p>
    <w:p w14:paraId="2DE31AB5" w14:textId="6A1B940F" w:rsidR="00B51A68" w:rsidRDefault="008C2F10" w:rsidP="004A5113">
      <w:r w:rsidRPr="008C2F10">
        <w:rPr>
          <w:noProof/>
        </w:rPr>
        <w:drawing>
          <wp:inline distT="0" distB="0" distL="0" distR="0" wp14:anchorId="20FD0822" wp14:editId="3F99A115">
            <wp:extent cx="5759450" cy="28638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9450" cy="2863850"/>
                    </a:xfrm>
                    <a:prstGeom prst="rect">
                      <a:avLst/>
                    </a:prstGeom>
                    <a:noFill/>
                    <a:ln>
                      <a:noFill/>
                    </a:ln>
                  </pic:spPr>
                </pic:pic>
              </a:graphicData>
            </a:graphic>
          </wp:inline>
        </w:drawing>
      </w:r>
    </w:p>
    <w:p w14:paraId="0A82547D" w14:textId="1552A0EF" w:rsidR="008C2F10" w:rsidRDefault="008C2F10" w:rsidP="008C2F10">
      <w:pPr>
        <w:pStyle w:val="Naslovslike"/>
        <w:spacing w:after="120"/>
      </w:pPr>
      <w:bookmarkStart w:id="551" w:name="_Toc27396184"/>
      <w:r w:rsidRPr="00462AD9">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32</w:t>
      </w:r>
      <w:r>
        <w:rPr>
          <w:noProof/>
        </w:rPr>
        <w:fldChar w:fldCharType="end"/>
      </w:r>
      <w:r w:rsidRPr="00462AD9">
        <w:t xml:space="preserve">. </w:t>
      </w:r>
      <w:r>
        <w:t>B</w:t>
      </w:r>
      <w:r w:rsidRPr="000E6952">
        <w:t>ruto domać</w:t>
      </w:r>
      <w:r>
        <w:t>i</w:t>
      </w:r>
      <w:r w:rsidRPr="000E6952">
        <w:t xml:space="preserve"> izdat</w:t>
      </w:r>
      <w:r>
        <w:t>ci</w:t>
      </w:r>
      <w:r w:rsidRPr="000E6952">
        <w:t xml:space="preserve"> za istraživanje i razvoj prema sektorima i područjima znanosti</w:t>
      </w:r>
      <w:bookmarkEnd w:id="551"/>
      <w:r w:rsidRPr="000E6952" w:rsidDel="000E6952">
        <w:t xml:space="preserve"> </w:t>
      </w:r>
    </w:p>
    <w:p w14:paraId="21FB2250" w14:textId="00903214" w:rsidR="009D6C3B" w:rsidRDefault="009D6C3B" w:rsidP="004A5113">
      <w:r>
        <w:t xml:space="preserve">U okviru podataka na temelju kojih Državni zavod za statistiku objavljuje ove agregirane podatke, bit će potrebno utvrditi </w:t>
      </w:r>
      <w:r w:rsidR="00CA6739">
        <w:t>područja istraživanja i razvoja relevantne za niskougljični razvoj te o njima zasebno izvještavati.</w:t>
      </w:r>
    </w:p>
    <w:p w14:paraId="3593CDD4" w14:textId="62A9427F" w:rsidR="004A5113" w:rsidRDefault="00817E22" w:rsidP="004A5113">
      <w:r w:rsidRPr="00817E22">
        <w:t>U 2018. Državnom zavodu za intelektualno vlasništvo (u nastavku teksta: DZIV) podneseno je 136 prijava patenata, od čega je bila 121 prijava domaćih prijavitelja, a 15 prijava stranih prijavitelja. Od ukupnog broja prijava domaćih prijavitelja, 84,3% prijavile su fizičke osobe, a 15,7% pravne osobe, dok su kod stranih prijavitelja fizičke osobe prijavile 60,0%, a pravne osobe 40,0% prijava.</w:t>
      </w:r>
      <w:r>
        <w:t xml:space="preserve"> </w:t>
      </w:r>
      <w:r w:rsidR="004801C5">
        <w:t xml:space="preserve">S obzirom na broj prijava </w:t>
      </w:r>
      <w:r w:rsidR="004A5113">
        <w:t>u razdoblju od 2013. do 201</w:t>
      </w:r>
      <w:r w:rsidR="004801C5">
        <w:t>8</w:t>
      </w:r>
      <w:r w:rsidR="004A5113">
        <w:t>. primjetan je pad prijava patenata (redom 253, 200, 186, 188, 159</w:t>
      </w:r>
      <w:r w:rsidR="004801C5">
        <w:t>, 136</w:t>
      </w:r>
      <w:r w:rsidR="004A5113">
        <w:t xml:space="preserve">) što govori o smanjenju patentne aktivnosti u RH. </w:t>
      </w:r>
    </w:p>
    <w:p w14:paraId="03B24E34" w14:textId="5C49222C" w:rsidR="009D6BA3" w:rsidRDefault="003F1FD0" w:rsidP="004A5113">
      <w:r>
        <w:t xml:space="preserve">Prati se broj patenata </w:t>
      </w:r>
      <w:r w:rsidR="00D87113">
        <w:t xml:space="preserve">prema međunarodnoj klasifikaciji patenata, što prikazuje </w:t>
      </w:r>
      <w:r w:rsidR="00AC4E17">
        <w:fldChar w:fldCharType="begin"/>
      </w:r>
      <w:r w:rsidR="00AC4E17">
        <w:instrText xml:space="preserve"> REF _Ref20492817 \h </w:instrText>
      </w:r>
      <w:r w:rsidR="00AC4E17">
        <w:fldChar w:fldCharType="separate"/>
      </w:r>
      <w:r w:rsidR="00154150" w:rsidRPr="00462AD9">
        <w:t xml:space="preserve">Slika </w:t>
      </w:r>
      <w:r w:rsidR="00154150">
        <w:rPr>
          <w:noProof/>
        </w:rPr>
        <w:t>4</w:t>
      </w:r>
      <w:r w:rsidR="00154150">
        <w:noBreakHyphen/>
      </w:r>
      <w:r w:rsidR="00154150">
        <w:rPr>
          <w:noProof/>
        </w:rPr>
        <w:t>33</w:t>
      </w:r>
      <w:r w:rsidR="00154150" w:rsidRPr="00462AD9">
        <w:t>.</w:t>
      </w:r>
      <w:r w:rsidR="00AC4E17">
        <w:fldChar w:fldCharType="end"/>
      </w:r>
      <w:r w:rsidR="00AC4E17">
        <w:t xml:space="preserve"> [</w:t>
      </w:r>
      <w:r w:rsidR="00AC4E17">
        <w:fldChar w:fldCharType="begin"/>
      </w:r>
      <w:r w:rsidR="00AC4E17">
        <w:instrText xml:space="preserve"> REF _Ref20492870 \w \h </w:instrText>
      </w:r>
      <w:r w:rsidR="00AC4E17">
        <w:fldChar w:fldCharType="separate"/>
      </w:r>
      <w:r w:rsidR="00154150">
        <w:t>23</w:t>
      </w:r>
      <w:r w:rsidR="00AC4E17">
        <w:fldChar w:fldCharType="end"/>
      </w:r>
      <w:r w:rsidR="00AC4E17">
        <w:t>]</w:t>
      </w:r>
      <w:r w:rsidR="00D87113">
        <w:t>.</w:t>
      </w:r>
      <w:r>
        <w:t xml:space="preserve"> </w:t>
      </w:r>
    </w:p>
    <w:p w14:paraId="14EFD261" w14:textId="59BD0410" w:rsidR="00161D1E" w:rsidRDefault="009D6BA3" w:rsidP="009D6BA3">
      <w:pPr>
        <w:jc w:val="center"/>
      </w:pPr>
      <w:r w:rsidRPr="009D6BA3">
        <w:rPr>
          <w:noProof/>
        </w:rPr>
        <w:drawing>
          <wp:inline distT="0" distB="0" distL="0" distR="0" wp14:anchorId="4351C93B" wp14:editId="73B0342A">
            <wp:extent cx="5743243" cy="2139351"/>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1731" t="38342" r="23572" b="25437"/>
                    <a:stretch/>
                  </pic:blipFill>
                  <pic:spPr bwMode="auto">
                    <a:xfrm>
                      <a:off x="0" y="0"/>
                      <a:ext cx="5773481" cy="2150614"/>
                    </a:xfrm>
                    <a:prstGeom prst="rect">
                      <a:avLst/>
                    </a:prstGeom>
                    <a:ln>
                      <a:noFill/>
                    </a:ln>
                    <a:extLst>
                      <a:ext uri="{53640926-AAD7-44D8-BBD7-CCE9431645EC}">
                        <a14:shadowObscured xmlns:a14="http://schemas.microsoft.com/office/drawing/2010/main"/>
                      </a:ext>
                    </a:extLst>
                  </pic:spPr>
                </pic:pic>
              </a:graphicData>
            </a:graphic>
          </wp:inline>
        </w:drawing>
      </w:r>
    </w:p>
    <w:p w14:paraId="1687DA8A" w14:textId="7CB0D27D" w:rsidR="00AC4E17" w:rsidRDefault="00AC4E17" w:rsidP="00AC4E17">
      <w:pPr>
        <w:pStyle w:val="Naslovslike"/>
        <w:spacing w:after="120"/>
      </w:pPr>
      <w:bookmarkStart w:id="552" w:name="_Ref20492817"/>
      <w:bookmarkStart w:id="553" w:name="_Toc27396185"/>
      <w:r w:rsidRPr="00462AD9">
        <w:t xml:space="preserve">Slika </w:t>
      </w:r>
      <w:r>
        <w:rPr>
          <w:noProof/>
        </w:rPr>
        <w:fldChar w:fldCharType="begin"/>
      </w:r>
      <w:r>
        <w:rPr>
          <w:noProof/>
        </w:rPr>
        <w:instrText xml:space="preserve"> STYLEREF 1 \s </w:instrText>
      </w:r>
      <w:r>
        <w:rPr>
          <w:noProof/>
        </w:rPr>
        <w:fldChar w:fldCharType="separate"/>
      </w:r>
      <w:r w:rsidR="00154150">
        <w:rPr>
          <w:noProof/>
        </w:rPr>
        <w:t>4</w:t>
      </w:r>
      <w:r>
        <w:rPr>
          <w:noProof/>
        </w:rPr>
        <w:fldChar w:fldCharType="end"/>
      </w:r>
      <w:r w:rsidR="00C3092A">
        <w:noBreakHyphen/>
      </w:r>
      <w:r>
        <w:rPr>
          <w:noProof/>
        </w:rPr>
        <w:fldChar w:fldCharType="begin"/>
      </w:r>
      <w:r>
        <w:rPr>
          <w:noProof/>
        </w:rPr>
        <w:instrText xml:space="preserve"> SEQ Slika \* ARABIC \s 1 </w:instrText>
      </w:r>
      <w:r>
        <w:rPr>
          <w:noProof/>
        </w:rPr>
        <w:fldChar w:fldCharType="separate"/>
      </w:r>
      <w:r w:rsidR="00154150">
        <w:rPr>
          <w:noProof/>
        </w:rPr>
        <w:t>33</w:t>
      </w:r>
      <w:r>
        <w:rPr>
          <w:noProof/>
        </w:rPr>
        <w:fldChar w:fldCharType="end"/>
      </w:r>
      <w:r w:rsidRPr="00462AD9">
        <w:t>.</w:t>
      </w:r>
      <w:bookmarkEnd w:id="552"/>
      <w:r w:rsidRPr="00462AD9">
        <w:t xml:space="preserve"> </w:t>
      </w:r>
      <w:r w:rsidR="00CE2A89">
        <w:t>Prijav</w:t>
      </w:r>
      <w:r w:rsidR="000226E6">
        <w:t>ljeni i priznati</w:t>
      </w:r>
      <w:r w:rsidR="00CE2A89">
        <w:t xml:space="preserve"> </w:t>
      </w:r>
      <w:r w:rsidR="000226E6">
        <w:t xml:space="preserve">patenti </w:t>
      </w:r>
      <w:r w:rsidR="00CE2A89">
        <w:t>u nacionalnom postupku u 2018.</w:t>
      </w:r>
      <w:bookmarkEnd w:id="553"/>
    </w:p>
    <w:p w14:paraId="2EECE34D" w14:textId="77777777" w:rsidR="004A47F6" w:rsidRDefault="004A47F6" w:rsidP="004A47F6">
      <w:r>
        <w:t xml:space="preserve">U 2018. godini priznat je 71 patent u nacionalnom postupku, od čega je bilo 57 patenata domaćih, a 14 stranih prijavitelja. Od ukupnog broja priznatih domaćih patenata, 84,2 % su bili patenti fizičkih osoba, a 15,8% patenti pravnih osoba. </w:t>
      </w:r>
    </w:p>
    <w:p w14:paraId="3CA97A73" w14:textId="14ED9E43" w:rsidR="00B740D5" w:rsidRDefault="00B740D5" w:rsidP="00B740D5">
      <w:r>
        <w:t>Najveći udio priznatih patenata u 2018. god</w:t>
      </w:r>
      <w:r w:rsidR="00020676">
        <w:t xml:space="preserve">ine </w:t>
      </w:r>
      <w:r w:rsidR="00510B02">
        <w:t>p</w:t>
      </w:r>
      <w:r>
        <w:t>rema tehničkom području bio je u području kemije (47,5%),</w:t>
      </w:r>
      <w:r w:rsidR="001D68A1">
        <w:t xml:space="preserve"> </w:t>
      </w:r>
      <w:r>
        <w:t>područj</w:t>
      </w:r>
      <w:r w:rsidR="00924A68">
        <w:t xml:space="preserve">u </w:t>
      </w:r>
      <w:r>
        <w:t>općeg strojarstva</w:t>
      </w:r>
      <w:r w:rsidR="00924A68">
        <w:t xml:space="preserve"> </w:t>
      </w:r>
      <w:r>
        <w:t>(27,1%),</w:t>
      </w:r>
      <w:r w:rsidR="001D68A1">
        <w:t xml:space="preserve"> </w:t>
      </w:r>
      <w:r>
        <w:t>dok je najmanji udio bio u području elektrotehnike i mjeriteljstva (oba s 5,6%)</w:t>
      </w:r>
      <w:bookmarkStart w:id="554" w:name="_Hlk20493437"/>
      <w:r w:rsidR="00AE4872">
        <w:t>.</w:t>
      </w:r>
    </w:p>
    <w:p w14:paraId="4CCB6525" w14:textId="5C5189D1" w:rsidR="00B740D5" w:rsidRDefault="00B740D5" w:rsidP="00B740D5">
      <w:r>
        <w:t>Kako bi se pratile inovacije relevantne za niskougljičnu tranziciju, bit će potrebno utvrditi relevantna područja te o njima zasebno izvještavati</w:t>
      </w:r>
      <w:bookmarkEnd w:id="554"/>
      <w:r>
        <w:t>.</w:t>
      </w:r>
      <w:r w:rsidR="00F42381">
        <w:t xml:space="preserve"> </w:t>
      </w:r>
      <w:r>
        <w:t>Od ukupnog broja prijava patenata domaćih prijavitelja u 2018., najveći udio prijava ima Kontinentalna Hrvatska 64,5%, Jadranska Hrvatska 35,5%.</w:t>
      </w:r>
    </w:p>
    <w:p w14:paraId="297B5DB3" w14:textId="38CDD29C" w:rsidR="00407806" w:rsidRDefault="00407806" w:rsidP="00407806">
      <w:r>
        <w:t>Statistika patenata donosi informaciju o uspješnosti istraživanja, razvoja i inovacijske aktivnosti u odabranim područjima tehnologije. Broj patenata jedna je od mjera sposobnosti ot</w:t>
      </w:r>
      <w:r w:rsidR="00A37C92">
        <w:t>k</w:t>
      </w:r>
      <w:r>
        <w:t>rivanja novih m</w:t>
      </w:r>
      <w:r w:rsidR="00A37C92">
        <w:t>o</w:t>
      </w:r>
      <w:r>
        <w:t>gućnosti</w:t>
      </w:r>
      <w:r w:rsidR="00A37C92">
        <w:t xml:space="preserve"> i</w:t>
      </w:r>
      <w:r>
        <w:t xml:space="preserve"> aktivnosti </w:t>
      </w:r>
      <w:r w:rsidR="00A37C92">
        <w:t>unutar države</w:t>
      </w:r>
      <w:r>
        <w:t>, te pretvaranje znanja u potencijalne gospodarske koristi.</w:t>
      </w:r>
    </w:p>
    <w:p w14:paraId="3F2110D6" w14:textId="77777777" w:rsidR="00407806" w:rsidRDefault="00407806" w:rsidP="00B740D5"/>
    <w:p w14:paraId="6A43BC4F" w14:textId="4B158197" w:rsidR="00491CDD" w:rsidRPr="00BE1ECD" w:rsidRDefault="00491CDD" w:rsidP="00840E2E">
      <w:pPr>
        <w:pStyle w:val="Heading3"/>
        <w:numPr>
          <w:ilvl w:val="0"/>
          <w:numId w:val="85"/>
        </w:numPr>
      </w:pPr>
      <w:r w:rsidRPr="00BE1ECD">
        <w:t>Raščlamba tekućih cjenovnih elemenata koji čine tri cjenovne komponente (energija, mreža te porezi i pristojbe)</w:t>
      </w:r>
    </w:p>
    <w:p w14:paraId="3EBD042F" w14:textId="0A2D85B5" w:rsidR="00425286" w:rsidRDefault="00425286">
      <w:pPr>
        <w:rPr>
          <w:u w:val="single"/>
        </w:rPr>
      </w:pPr>
      <w:r w:rsidRPr="00725326">
        <w:rPr>
          <w:u w:val="single"/>
        </w:rPr>
        <w:t>Električna energija</w:t>
      </w:r>
    </w:p>
    <w:p w14:paraId="0332E358" w14:textId="7DB8958F" w:rsidR="00B3453E" w:rsidRDefault="00B3453E" w:rsidP="00B3453E">
      <w:r w:rsidRPr="00725326">
        <w:t>Strukturu cijene električne energije čine tržišni dio i regulirani dio</w:t>
      </w:r>
      <w:r w:rsidR="001D506F">
        <w:t xml:space="preserve"> (</w:t>
      </w:r>
      <w:r w:rsidR="001D506F">
        <w:fldChar w:fldCharType="begin"/>
      </w:r>
      <w:r w:rsidR="001D506F">
        <w:instrText xml:space="preserve"> REF _Ref11670171 \h </w:instrText>
      </w:r>
      <w:r w:rsidR="001D506F">
        <w:fldChar w:fldCharType="separate"/>
      </w:r>
      <w:r w:rsidR="00154150">
        <w:t xml:space="preserve">Slika </w:t>
      </w:r>
      <w:r w:rsidR="00154150">
        <w:rPr>
          <w:noProof/>
        </w:rPr>
        <w:t>4</w:t>
      </w:r>
      <w:r w:rsidR="00154150">
        <w:noBreakHyphen/>
      </w:r>
      <w:r w:rsidR="00154150">
        <w:rPr>
          <w:noProof/>
        </w:rPr>
        <w:t>34</w:t>
      </w:r>
      <w:r w:rsidR="001D506F">
        <w:fldChar w:fldCharType="end"/>
      </w:r>
      <w:r w:rsidR="001D506F">
        <w:t>)</w:t>
      </w:r>
      <w:r w:rsidRPr="00323873">
        <w:t xml:space="preserve">. Regulirani dio propisuje se zakonskim aktima i </w:t>
      </w:r>
      <w:r w:rsidRPr="00725326">
        <w:t>jednak je za sve opskrbljivače</w:t>
      </w:r>
      <w:r>
        <w:t>. Odnosi se na naknade za korištenje prijenosne i distribucijske mreže, naknadu za obnovljive izvore energije i visokoučinkovitu kogeneraciju</w:t>
      </w:r>
      <w:r w:rsidR="001D506F">
        <w:t>, naknadu za ugrožene kupce (plaćaju samo kupci iz kategorije kućanstva)</w:t>
      </w:r>
      <w:r>
        <w:t xml:space="preserve"> te ostale trošarine. Tržišni dio cijene električne energije razlikuje se od opskrbljivača do opskrbljivača i definira se ugovorom o opskrbi električne energije.</w:t>
      </w:r>
    </w:p>
    <w:p w14:paraId="6D42DF61" w14:textId="40874FEC" w:rsidR="00B3453E" w:rsidRDefault="00E45645" w:rsidP="00B3453E">
      <w:pPr>
        <w:pStyle w:val="Slike"/>
      </w:pPr>
      <w:r>
        <w:rPr>
          <w:noProof/>
        </w:rPr>
        <w:drawing>
          <wp:inline distT="0" distB="0" distL="0" distR="0" wp14:anchorId="45F0F604" wp14:editId="19A14E58">
            <wp:extent cx="5724525" cy="4779645"/>
            <wp:effectExtent l="0" t="0" r="9525" b="1905"/>
            <wp:docPr id="482" name="Slika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24525" cy="4779645"/>
                    </a:xfrm>
                    <a:prstGeom prst="rect">
                      <a:avLst/>
                    </a:prstGeom>
                    <a:noFill/>
                  </pic:spPr>
                </pic:pic>
              </a:graphicData>
            </a:graphic>
          </wp:inline>
        </w:drawing>
      </w:r>
    </w:p>
    <w:p w14:paraId="39806E2C" w14:textId="2D4E9BBE" w:rsidR="00B3453E" w:rsidRDefault="00B3453E" w:rsidP="00B3453E">
      <w:pPr>
        <w:pStyle w:val="Naslovslika"/>
        <w:spacing w:after="120"/>
      </w:pPr>
      <w:bookmarkStart w:id="555" w:name="_Ref11670171"/>
      <w:bookmarkStart w:id="556" w:name="_Toc8899843"/>
      <w:bookmarkStart w:id="557" w:name="_Toc27396186"/>
      <w:r>
        <w:t xml:space="preserve">Slika </w:t>
      </w:r>
      <w:bookmarkStart w:id="558" w:name="slk_struktura_maloprodajne_cijene_elen"/>
      <w:r>
        <w:fldChar w:fldCharType="begin"/>
      </w:r>
      <w:r>
        <w:instrText xml:space="preserve"> STYLEREF 1 \s </w:instrText>
      </w:r>
      <w:r>
        <w:fldChar w:fldCharType="separate"/>
      </w:r>
      <w:r w:rsidR="00154150">
        <w:rPr>
          <w:noProof/>
        </w:rPr>
        <w:t>4</w:t>
      </w:r>
      <w:r>
        <w:fldChar w:fldCharType="end"/>
      </w:r>
      <w:r w:rsidR="00C3092A">
        <w:noBreakHyphen/>
      </w:r>
      <w:fldSimple w:instr=" SEQ Slika \* ARABIC \s 1 ">
        <w:r w:rsidR="00154150">
          <w:rPr>
            <w:noProof/>
          </w:rPr>
          <w:t>34</w:t>
        </w:r>
      </w:fldSimple>
      <w:bookmarkEnd w:id="555"/>
      <w:r>
        <w:t>.</w:t>
      </w:r>
      <w:bookmarkEnd w:id="558"/>
      <w:r>
        <w:tab/>
        <w:t>Struktura maloprodajne cijene električne energije</w:t>
      </w:r>
      <w:bookmarkEnd w:id="556"/>
      <w:bookmarkEnd w:id="557"/>
    </w:p>
    <w:p w14:paraId="0F0F510C" w14:textId="77777777" w:rsidR="00B3453E" w:rsidRPr="00025E3A" w:rsidRDefault="00B3453E" w:rsidP="00B3453E">
      <w:pPr>
        <w:pStyle w:val="Naslovslika"/>
        <w:spacing w:before="0"/>
        <w:rPr>
          <w:b w:val="0"/>
          <w:i/>
          <w:sz w:val="18"/>
        </w:rPr>
      </w:pPr>
      <w:r w:rsidRPr="00025E3A">
        <w:rPr>
          <w:b w:val="0"/>
          <w:i/>
          <w:sz w:val="18"/>
        </w:rPr>
        <w:t>Izvor: HEP Opskrba</w:t>
      </w:r>
    </w:p>
    <w:p w14:paraId="14AA6D0D" w14:textId="7D799331" w:rsidR="00B3453E" w:rsidRDefault="00B3453E" w:rsidP="00725326">
      <w:r>
        <w:t>Svi krajnji kupci električne energije u Hrvatskoj imaju pravo odabrati svog opskrbljivača i s njim ugovoriti cijenu električne energije. Cijena električne energije u Republici Hrvatskoj varira ovisno o opskrbljivaču kojeg krajnji kupac odabere. Isporučena električna energija se obračunava prema tri tarife:</w:t>
      </w:r>
    </w:p>
    <w:p w14:paraId="692635D5" w14:textId="246F6648" w:rsidR="00B3453E" w:rsidRDefault="00B3453E" w:rsidP="00840E2E">
      <w:pPr>
        <w:pStyle w:val="ListParagraph"/>
        <w:numPr>
          <w:ilvl w:val="0"/>
          <w:numId w:val="38"/>
        </w:numPr>
        <w:suppressAutoHyphens w:val="0"/>
        <w:spacing w:line="259" w:lineRule="auto"/>
      </w:pPr>
      <w:r>
        <w:t>viša dnevna tarifa (VT) koja se obračunava svakim danom od 7 h do 21 h u razdoblju zimskog računanja vremena te u vremenu od 8 h do 22 h u razdoblju ljetnog računanja vremena;</w:t>
      </w:r>
    </w:p>
    <w:p w14:paraId="79EC095D" w14:textId="77777777" w:rsidR="00B3453E" w:rsidRDefault="00B3453E" w:rsidP="00840E2E">
      <w:pPr>
        <w:pStyle w:val="ListParagraph"/>
        <w:numPr>
          <w:ilvl w:val="0"/>
          <w:numId w:val="38"/>
        </w:numPr>
        <w:suppressAutoHyphens w:val="0"/>
        <w:spacing w:line="259" w:lineRule="auto"/>
      </w:pPr>
      <w:r>
        <w:t>niža dnevna tarifa (NT) koja se obračunava u preostalom vremenu;</w:t>
      </w:r>
    </w:p>
    <w:p w14:paraId="6F301E95" w14:textId="77777777" w:rsidR="00B3453E" w:rsidRDefault="00B3453E" w:rsidP="00840E2E">
      <w:pPr>
        <w:pStyle w:val="ListParagraph"/>
        <w:numPr>
          <w:ilvl w:val="0"/>
          <w:numId w:val="38"/>
        </w:numPr>
        <w:suppressAutoHyphens w:val="0"/>
        <w:spacing w:line="259" w:lineRule="auto"/>
      </w:pPr>
      <w:r>
        <w:t>jedinstvena dnevna tarifna stavka (JT) traje svaki dan između 0 h i 24 h.</w:t>
      </w:r>
    </w:p>
    <w:p w14:paraId="24122641" w14:textId="344BFF1C" w:rsidR="00B3453E" w:rsidRDefault="00B3453E" w:rsidP="00B3453E">
      <w:pPr>
        <w:suppressAutoHyphens w:val="0"/>
        <w:spacing w:after="160" w:line="259" w:lineRule="auto"/>
        <w:contextualSpacing/>
      </w:pPr>
      <w:r>
        <w:t xml:space="preserve">Slika </w:t>
      </w:r>
      <w:r>
        <w:fldChar w:fldCharType="begin"/>
      </w:r>
      <w:r>
        <w:instrText xml:space="preserve"> REF slk_struktura_cijene_elen \h </w:instrText>
      </w:r>
      <w:r>
        <w:fldChar w:fldCharType="separate"/>
      </w:r>
      <w:r w:rsidR="00154150">
        <w:rPr>
          <w:noProof/>
        </w:rPr>
        <w:t>4</w:t>
      </w:r>
      <w:r w:rsidR="00154150">
        <w:noBreakHyphen/>
      </w:r>
      <w:r w:rsidR="00154150">
        <w:rPr>
          <w:noProof/>
        </w:rPr>
        <w:t>35</w:t>
      </w:r>
      <w:r>
        <w:fldChar w:fldCharType="end"/>
      </w:r>
      <w:r>
        <w:t>. prikazuje strukturu ukupne cijene električne energije za krajnje kupce u Republici Hrvatskoj prema EUROSTAT-ovim razredima potrošnje u 2017. godini, pri čemu je:</w:t>
      </w:r>
    </w:p>
    <w:p w14:paraId="67524348" w14:textId="77777777" w:rsidR="00B3453E" w:rsidRDefault="00B3453E" w:rsidP="00840E2E">
      <w:pPr>
        <w:pStyle w:val="ListParagraph"/>
        <w:numPr>
          <w:ilvl w:val="0"/>
          <w:numId w:val="37"/>
        </w:numPr>
        <w:suppressAutoHyphens w:val="0"/>
      </w:pPr>
      <w:r w:rsidRPr="00093D0A">
        <w:rPr>
          <w:b/>
        </w:rPr>
        <w:t>If</w:t>
      </w:r>
      <w:r>
        <w:t xml:space="preserve"> – vrlo velika industrija s potrošnjom 100.000 MWh/god., vršnim opterećenjem 15 MW te omjerom potrošnje dan/noć 60/40 (tarifni sustav Poduzetništvo – VN)</w:t>
      </w:r>
    </w:p>
    <w:p w14:paraId="59EC1FC9" w14:textId="77777777" w:rsidR="00B3453E" w:rsidRDefault="00B3453E" w:rsidP="00840E2E">
      <w:pPr>
        <w:pStyle w:val="ListParagraph"/>
        <w:numPr>
          <w:ilvl w:val="0"/>
          <w:numId w:val="37"/>
        </w:numPr>
        <w:suppressAutoHyphens w:val="0"/>
      </w:pPr>
      <w:r w:rsidRPr="00093D0A">
        <w:rPr>
          <w:b/>
        </w:rPr>
        <w:t xml:space="preserve">Ie </w:t>
      </w:r>
      <w:r>
        <w:t>– velika industrija s potrošnjom 24.000 MWh/god., vršnim opterećenjem 4 MW te omjernom potrošnje dan/noć 60/40 (tarifni sustav Poduzetništvo – SN 35 kV)</w:t>
      </w:r>
    </w:p>
    <w:p w14:paraId="528C3ACF" w14:textId="77777777" w:rsidR="00B3453E" w:rsidRDefault="00B3453E" w:rsidP="00840E2E">
      <w:pPr>
        <w:pStyle w:val="ListParagraph"/>
        <w:numPr>
          <w:ilvl w:val="0"/>
          <w:numId w:val="37"/>
        </w:numPr>
        <w:suppressAutoHyphens w:val="0"/>
      </w:pPr>
      <w:r w:rsidRPr="00093D0A">
        <w:rPr>
          <w:b/>
        </w:rPr>
        <w:t>Id</w:t>
      </w:r>
      <w:r>
        <w:t xml:space="preserve"> – srednja industrija s potrošnjom 2.000 MWh/god., vršnim opterećenjem 0,50 MW te omjerom potrošnje dan/noć 65/35 (tarifni sustav Poduzetništvo – SN 10 kV)</w:t>
      </w:r>
    </w:p>
    <w:p w14:paraId="68B8FA67" w14:textId="77777777" w:rsidR="00B3453E" w:rsidRDefault="00B3453E" w:rsidP="00840E2E">
      <w:pPr>
        <w:pStyle w:val="ListParagraph"/>
        <w:numPr>
          <w:ilvl w:val="0"/>
          <w:numId w:val="37"/>
        </w:numPr>
        <w:suppressAutoHyphens w:val="0"/>
      </w:pPr>
      <w:r w:rsidRPr="00093D0A">
        <w:rPr>
          <w:b/>
        </w:rPr>
        <w:t xml:space="preserve">Ib </w:t>
      </w:r>
      <w:r>
        <w:t>– srednje poduzetništvo s potrošnjom 150 MWh/god., vršnim opterećenjem 0,05 MW te omjerom potrošnje dan/noć 70/30 (tarifni sustav Poduzetništvo – NN crveni)</w:t>
      </w:r>
    </w:p>
    <w:p w14:paraId="1B6B2E24" w14:textId="77777777" w:rsidR="00B3453E" w:rsidRDefault="00B3453E" w:rsidP="00840E2E">
      <w:pPr>
        <w:pStyle w:val="ListParagraph"/>
        <w:numPr>
          <w:ilvl w:val="0"/>
          <w:numId w:val="37"/>
        </w:numPr>
        <w:suppressAutoHyphens w:val="0"/>
      </w:pPr>
      <w:r w:rsidRPr="00093D0A">
        <w:rPr>
          <w:b/>
        </w:rPr>
        <w:t>Dc</w:t>
      </w:r>
      <w:r>
        <w:t xml:space="preserve"> – Srednja kućanstva s potrošnjom 3,5 MWh/god. te omjerom potrošnje dan/noć 70/30 (tarifni sustav Kućanstva bijeli).</w:t>
      </w:r>
    </w:p>
    <w:p w14:paraId="79D5E40E" w14:textId="77777777" w:rsidR="00B3453E" w:rsidRDefault="00B3453E" w:rsidP="00B3453E">
      <w:pPr>
        <w:pStyle w:val="Slike"/>
      </w:pPr>
      <w:r w:rsidRPr="005D7B8E">
        <w:rPr>
          <w:noProof/>
        </w:rPr>
        <w:drawing>
          <wp:inline distT="0" distB="0" distL="0" distR="0" wp14:anchorId="4431D7D0" wp14:editId="473110E4">
            <wp:extent cx="5369292" cy="2076450"/>
            <wp:effectExtent l="0" t="0" r="3175" b="0"/>
            <wp:docPr id="4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74217" cy="2078355"/>
                    </a:xfrm>
                    <a:prstGeom prst="rect">
                      <a:avLst/>
                    </a:prstGeom>
                  </pic:spPr>
                </pic:pic>
              </a:graphicData>
            </a:graphic>
          </wp:inline>
        </w:drawing>
      </w:r>
    </w:p>
    <w:p w14:paraId="1D9AEA25" w14:textId="62869229" w:rsidR="00B3453E" w:rsidRDefault="00B3453E" w:rsidP="00B3453E">
      <w:pPr>
        <w:pStyle w:val="Naslovslika"/>
        <w:spacing w:after="120"/>
      </w:pPr>
      <w:bookmarkStart w:id="559" w:name="_Toc8899844"/>
      <w:bookmarkStart w:id="560" w:name="_Toc27396187"/>
      <w:r>
        <w:t xml:space="preserve">Slika </w:t>
      </w:r>
      <w:bookmarkStart w:id="561" w:name="slk_struktura_cijene_elen"/>
      <w:r>
        <w:fldChar w:fldCharType="begin"/>
      </w:r>
      <w:r>
        <w:instrText xml:space="preserve"> STYLEREF 1 \s </w:instrText>
      </w:r>
      <w:r>
        <w:fldChar w:fldCharType="separate"/>
      </w:r>
      <w:r w:rsidR="00154150">
        <w:rPr>
          <w:noProof/>
        </w:rPr>
        <w:t>4</w:t>
      </w:r>
      <w:r>
        <w:fldChar w:fldCharType="end"/>
      </w:r>
      <w:r w:rsidR="00C3092A">
        <w:noBreakHyphen/>
      </w:r>
      <w:fldSimple w:instr=" SEQ Slika \* ARABIC \s 1 ">
        <w:r w:rsidR="00154150">
          <w:rPr>
            <w:noProof/>
          </w:rPr>
          <w:t>35</w:t>
        </w:r>
      </w:fldSimple>
      <w:bookmarkEnd w:id="561"/>
      <w:r>
        <w:t>.</w:t>
      </w:r>
      <w:r>
        <w:tab/>
        <w:t>Struktura ukupne cijene električne energije za krajnje kupce u Republici Hrvatskoj prema EUROSTAT-ovim razredima potrošnje u 2017. godini</w:t>
      </w:r>
      <w:bookmarkEnd w:id="559"/>
      <w:bookmarkEnd w:id="560"/>
    </w:p>
    <w:p w14:paraId="5B15470F" w14:textId="77777777" w:rsidR="00B3453E" w:rsidRPr="0039681A" w:rsidRDefault="00B3453E" w:rsidP="00B3453E">
      <w:pPr>
        <w:spacing w:before="0" w:after="360"/>
        <w:jc w:val="center"/>
        <w:rPr>
          <w:i/>
          <w:sz w:val="16"/>
        </w:rPr>
      </w:pPr>
      <w:r w:rsidRPr="0039681A">
        <w:rPr>
          <w:i/>
          <w:sz w:val="16"/>
        </w:rPr>
        <w:t xml:space="preserve">Izvor: </w:t>
      </w:r>
      <w:r>
        <w:rPr>
          <w:i/>
          <w:sz w:val="16"/>
        </w:rPr>
        <w:t>HERA</w:t>
      </w:r>
    </w:p>
    <w:p w14:paraId="5A53FE70" w14:textId="6E2DFDEB" w:rsidR="00B3453E" w:rsidRDefault="00D44C11" w:rsidP="00B3453E">
      <w:pPr>
        <w:suppressAutoHyphens w:val="0"/>
      </w:pPr>
      <w:r>
        <w:t>Na temelju</w:t>
      </w:r>
      <w:r w:rsidRPr="00093D0A">
        <w:t xml:space="preserve"> </w:t>
      </w:r>
      <w:r w:rsidR="00B3453E" w:rsidRPr="00093D0A">
        <w:t>Zakona o izmjenama i dopunama Zakona o porezu na dodanu vrijednost</w:t>
      </w:r>
      <w:r w:rsidR="00B3453E">
        <w:t xml:space="preserve"> (</w:t>
      </w:r>
      <w:r>
        <w:t>NN</w:t>
      </w:r>
      <w:r w:rsidR="00B3453E">
        <w:t xml:space="preserve"> </w:t>
      </w:r>
      <w:r w:rsidR="00445F13">
        <w:t>115</w:t>
      </w:r>
      <w:r w:rsidR="00B3453E">
        <w:t>/</w:t>
      </w:r>
      <w:r w:rsidR="00445F13">
        <w:t>16</w:t>
      </w:r>
      <w:r w:rsidR="00B3453E">
        <w:t>)</w:t>
      </w:r>
      <w:r w:rsidR="00B3453E" w:rsidRPr="00093D0A">
        <w:t xml:space="preserve">, od 1.1.2017. godine primjenjuje se nova, snižena, stopa poreza na dodanu vrijednost (PDV) za isporuku električne energije, uključujući naknade vezane uz tu isporuku. Dosadašnja stopa PDV-a od 25%, koja </w:t>
      </w:r>
      <w:r w:rsidR="00B3453E">
        <w:t xml:space="preserve">je </w:t>
      </w:r>
      <w:r w:rsidR="00B3453E" w:rsidRPr="00093D0A">
        <w:t>vrijedi</w:t>
      </w:r>
      <w:r w:rsidR="00B3453E">
        <w:t>la</w:t>
      </w:r>
      <w:r w:rsidR="00B3453E" w:rsidRPr="00093D0A">
        <w:t xml:space="preserve"> do 31.12.2016., </w:t>
      </w:r>
      <w:r w:rsidR="00B3453E">
        <w:t>promijenila</w:t>
      </w:r>
      <w:r w:rsidR="00B3453E" w:rsidRPr="00093D0A">
        <w:t xml:space="preserve"> se u stopu od 13%, koja vrijedi od 1.1.2017.</w:t>
      </w:r>
    </w:p>
    <w:p w14:paraId="18AA1600" w14:textId="77777777" w:rsidR="0062017F" w:rsidRPr="00725326" w:rsidRDefault="0062017F"/>
    <w:p w14:paraId="110870A6" w14:textId="6D58255F" w:rsidR="000F71CB" w:rsidRPr="00725326" w:rsidRDefault="00067D34">
      <w:pPr>
        <w:rPr>
          <w:u w:val="single"/>
        </w:rPr>
      </w:pPr>
      <w:r w:rsidRPr="00725326">
        <w:rPr>
          <w:u w:val="single"/>
        </w:rPr>
        <w:t>Plin</w:t>
      </w:r>
    </w:p>
    <w:p w14:paraId="0783B6EB" w14:textId="77777777" w:rsidR="00067D34" w:rsidRPr="005555A4" w:rsidRDefault="00067D34" w:rsidP="00067D34">
      <w:r w:rsidRPr="005555A4">
        <w:t xml:space="preserve">Osnovni elementi cijene plina su cijena dobave i cijena transporta plina, cijena skladištenja plina, cijena opskrbe plinom i cijena distribucije plina. Transport, distribucija i javna usluga opskrbe plinom i zajamčena opskrba, kao i skladištenje plina regulirani su odgovarajućim Metodologijama utvrđivanja iznosa tarifnih stavki te Odlukama o iznosu pojedinih tarifnih stavki koje donosi HERA. </w:t>
      </w:r>
    </w:p>
    <w:p w14:paraId="630D09F8" w14:textId="77777777" w:rsidR="00067D34" w:rsidRPr="005555A4" w:rsidRDefault="00067D34" w:rsidP="00067D34">
      <w:r w:rsidRPr="005555A4">
        <w:t>Metodologijom utvrđivanja cijene nestandardnih usluga za transport plina, distribuciju plina, skladištenje plina, prihvat i otpremu UPP-a i javnu uslugu opskrbe plinom regulira se struktura cjenika nestandardnih usluga reguliranih djelatnosti.</w:t>
      </w:r>
    </w:p>
    <w:p w14:paraId="06445C91" w14:textId="77777777" w:rsidR="00067D34" w:rsidRPr="005555A4" w:rsidRDefault="00067D34" w:rsidP="00067D34">
      <w:r w:rsidRPr="005555A4">
        <w:t>Sukladno Metodologiji utvrđivanja cijene energije uravnoteženja plinskog sustava, operator tržišta plina dnevno utvrđuje cijenu pozitivne i negativne energije uravnoteženja plinskog sustava.</w:t>
      </w:r>
    </w:p>
    <w:p w14:paraId="0B3186C8" w14:textId="0B97DE8D" w:rsidR="0062017F" w:rsidRPr="00725326" w:rsidRDefault="0062017F" w:rsidP="0062017F">
      <w:pPr>
        <w:rPr>
          <w:i/>
          <w:iCs/>
        </w:rPr>
      </w:pPr>
      <w:r w:rsidRPr="00725326">
        <w:rPr>
          <w:i/>
          <w:iCs/>
        </w:rPr>
        <w:t>Cijena nabave na veleprodajnom tržištu za javnu uslugu i zajamčenu opskrbu plinom</w:t>
      </w:r>
    </w:p>
    <w:p w14:paraId="62A3CD46" w14:textId="472C57CF" w:rsidR="0062017F" w:rsidRPr="005555A4" w:rsidRDefault="0062017F" w:rsidP="0062017F">
      <w:r w:rsidRPr="005555A4">
        <w:t>Cijena nabave plina, kada se obavlja kao javna usluga i zajamčena opskrba plinom, određuje se prema Metodologiji utvrđivanja iznosa tarifnih stavki za javnu uslugu opskrbe plinom i zajamčenu opskrbu. Naziva se referentna cijena plina i predstavlja najvišu cijenu po kojoj opskrbljivač na veleprodajnom tržištu može prodavati plin opskrbljivačima u obvezi javne usluge, a utvrđuje se kao zbroj cijene nabave plina i premije, odnosno fiksnog dijela referentne cijene plina.</w:t>
      </w:r>
    </w:p>
    <w:p w14:paraId="4106DE5B" w14:textId="77777777" w:rsidR="0062017F" w:rsidRPr="00725326" w:rsidRDefault="0062017F" w:rsidP="00725326">
      <w:pPr>
        <w:rPr>
          <w:i/>
        </w:rPr>
      </w:pPr>
      <w:r w:rsidRPr="00725326">
        <w:rPr>
          <w:i/>
          <w:iCs/>
        </w:rPr>
        <w:t>Cijena prihvata i otpreme ukapljenog prirodnog plina</w:t>
      </w:r>
    </w:p>
    <w:p w14:paraId="3F8D206D" w14:textId="77777777" w:rsidR="0062017F" w:rsidRPr="005555A4" w:rsidRDefault="0062017F" w:rsidP="0062017F">
      <w:r w:rsidRPr="005555A4">
        <w:t>Tarifne stavke za prihvat i otpremu UPP-a određuju se Metodologijom utvrđivanja iznosa tarifnih stavki za prihvat i otpremu UPP-a, koju je donijela HERA. Za izračun tarifnih stavki za prihvat i otpremu UPP-a koristit će se model regulatornog računa za regulacijsko razdoblje od 20 godina od godine početka rada terminala za UPP, u kojem regulacijskom razdoblju tarifa ostaje nepromijenjena.</w:t>
      </w:r>
    </w:p>
    <w:p w14:paraId="2421C77F" w14:textId="77777777" w:rsidR="0062017F" w:rsidRPr="00725326" w:rsidRDefault="0062017F" w:rsidP="00725326">
      <w:pPr>
        <w:rPr>
          <w:i/>
        </w:rPr>
      </w:pPr>
      <w:r w:rsidRPr="00725326">
        <w:rPr>
          <w:i/>
          <w:iCs/>
        </w:rPr>
        <w:t>Cijena transporta plina</w:t>
      </w:r>
    </w:p>
    <w:p w14:paraId="3EEF1B11" w14:textId="75730BE4" w:rsidR="0062017F" w:rsidRPr="005555A4" w:rsidRDefault="0062017F" w:rsidP="0062017F">
      <w:pPr>
        <w:rPr>
          <w:rFonts w:asciiTheme="minorBidi" w:hAnsiTheme="minorBidi" w:cstheme="minorBidi"/>
        </w:rPr>
      </w:pPr>
      <w:r w:rsidRPr="005555A4">
        <w:rPr>
          <w:rFonts w:asciiTheme="minorBidi" w:hAnsiTheme="minorBidi" w:cstheme="minorBidi"/>
        </w:rPr>
        <w:t xml:space="preserve">Cijena transporta plina utvrđuje se </w:t>
      </w:r>
      <w:r w:rsidR="00DC637B">
        <w:rPr>
          <w:rFonts w:asciiTheme="minorBidi" w:hAnsiTheme="minorBidi" w:cstheme="minorBidi"/>
        </w:rPr>
        <w:t>na temelju</w:t>
      </w:r>
      <w:r w:rsidR="00DC637B" w:rsidRPr="005555A4">
        <w:rPr>
          <w:rFonts w:asciiTheme="minorBidi" w:hAnsiTheme="minorBidi" w:cstheme="minorBidi"/>
        </w:rPr>
        <w:t xml:space="preserve"> </w:t>
      </w:r>
      <w:r w:rsidRPr="005555A4">
        <w:rPr>
          <w:rFonts w:asciiTheme="minorBidi" w:hAnsiTheme="minorBidi" w:cstheme="minorBidi"/>
        </w:rPr>
        <w:t>Metodologije utvrđivanja iznosa tarifnih stavki za transport plina i Odluke o iznosu tarifnih stavki za transport plina.</w:t>
      </w:r>
    </w:p>
    <w:p w14:paraId="75EE4366" w14:textId="77777777" w:rsidR="0062017F" w:rsidRPr="005555A4" w:rsidRDefault="0062017F" w:rsidP="0062017F">
      <w:r w:rsidRPr="005555A4">
        <w:t xml:space="preserve">Cijena transporta plina izražava se kroz naknadu za korištenje transportnog sustava. Iznos naknade utvrđuje se i plaća prema ukupnom ugovorenom kapacitetu transportnog sustava svakog pojedinog korisnika za pojedini mjesec, uključujući i transakcije na sekundarnom tržištu te prema izmjerenim količinama transportiranog plina za pojedinog korisnika transportnog sustava i prekoračenjima koja se izračunavaju za pojedini priključak za pojedini plinski dan za pojedinog korisnika. Kapacitet je moguće ugovoriti na godišnjoj, tromjesečnoj, mjesečnoj, dnevnoj i unutardnevnoj razini. </w:t>
      </w:r>
    </w:p>
    <w:p w14:paraId="509C934B" w14:textId="77777777" w:rsidR="0062017F" w:rsidRPr="00725326" w:rsidRDefault="0062017F" w:rsidP="00725326">
      <w:pPr>
        <w:rPr>
          <w:i/>
        </w:rPr>
      </w:pPr>
      <w:r w:rsidRPr="00725326">
        <w:rPr>
          <w:i/>
          <w:iCs/>
        </w:rPr>
        <w:t>Cijena skladištenja plina</w:t>
      </w:r>
    </w:p>
    <w:p w14:paraId="21CB8C2C" w14:textId="77777777" w:rsidR="0062017F" w:rsidRPr="005555A4" w:rsidRDefault="0062017F" w:rsidP="0062017F">
      <w:r w:rsidRPr="005555A4">
        <w:t>Radni volumen jednoga standardnog paketa skladišnog kapaciteta (SBU) utvrđen je u iznosu od 50 GWh, a uslugu standardnog paketa skladišnog kapaciteta korisnici zakupljuju na godišnjoj/višegodišnjoj razini.</w:t>
      </w:r>
    </w:p>
    <w:p w14:paraId="18CD4B5A" w14:textId="550B5D6A" w:rsidR="0062017F" w:rsidRDefault="0062017F" w:rsidP="0062017F">
      <w:r w:rsidRPr="005555A4">
        <w:t>Naknade za skladištenje plina definirane su Odlukom o iznosu tarifnih stavki za skladištenje plina (</w:t>
      </w:r>
      <w:r w:rsidR="002208B2">
        <w:t>NN</w:t>
      </w:r>
      <w:r w:rsidRPr="005555A4">
        <w:t xml:space="preserve"> 122/16) koju je donijela HERA </w:t>
      </w:r>
      <w:r w:rsidR="002208B2">
        <w:t>na temelju</w:t>
      </w:r>
      <w:r w:rsidR="002208B2" w:rsidRPr="005555A4">
        <w:t xml:space="preserve"> </w:t>
      </w:r>
      <w:r w:rsidRPr="005555A4">
        <w:t xml:space="preserve">Metodologije utvrđivanja iznosa tarifnih stavki za skladištenje plina. </w:t>
      </w:r>
    </w:p>
    <w:p w14:paraId="16D08D98" w14:textId="77777777" w:rsidR="0062017F" w:rsidRPr="00725326" w:rsidRDefault="0062017F" w:rsidP="00725326">
      <w:pPr>
        <w:rPr>
          <w:i/>
        </w:rPr>
      </w:pPr>
      <w:r w:rsidRPr="00725326">
        <w:rPr>
          <w:i/>
          <w:iCs/>
        </w:rPr>
        <w:t>Cijena opskrbe plinom za javnu uslugu opskrbe plinom i zajamčenu opskrbu</w:t>
      </w:r>
    </w:p>
    <w:p w14:paraId="59D4C826" w14:textId="77777777" w:rsidR="0062017F" w:rsidRPr="005555A4" w:rsidRDefault="0062017F" w:rsidP="0062017F">
      <w:r w:rsidRPr="005555A4">
        <w:t>Tarifne stavke za opskrbu plinom određuju se Metodologijom utvrđivanja iznosa tarifnih stavki za javnu uslugu opskrbe plinom i zajamčenu opskrbu.</w:t>
      </w:r>
    </w:p>
    <w:p w14:paraId="530F4207" w14:textId="77777777" w:rsidR="0062017F" w:rsidRPr="005555A4" w:rsidRDefault="0062017F" w:rsidP="0062017F">
      <w:r w:rsidRPr="005555A4">
        <w:t>Krajnja cijena opskrbe plinom sastoji se od tarifne stavke za isporučenu količinu plina (Ts1) i fiksne mjesečne naknade (Ts2). Iznosi tarifnih stavki za javnu uslugu opskrbe plinom za opskrbljivače u obvezi javne usluge određeni su Odlukom o iznosu tarifnih stavki za javnu uslugu opskrbe plinom.</w:t>
      </w:r>
    </w:p>
    <w:p w14:paraId="0B64F9C9" w14:textId="77777777" w:rsidR="0062017F" w:rsidRPr="00725326" w:rsidRDefault="0062017F" w:rsidP="00725326">
      <w:pPr>
        <w:rPr>
          <w:i/>
        </w:rPr>
      </w:pPr>
      <w:r w:rsidRPr="00725326">
        <w:rPr>
          <w:i/>
          <w:iCs/>
        </w:rPr>
        <w:t>Cijena distribucije plina</w:t>
      </w:r>
    </w:p>
    <w:p w14:paraId="3BCF556F" w14:textId="77777777" w:rsidR="0062017F" w:rsidRPr="005555A4" w:rsidRDefault="0062017F" w:rsidP="0062017F">
      <w:r w:rsidRPr="005555A4">
        <w:t>Tarifne stavke za distribuciju plina za regulacijsko razdoblje 2018.</w:t>
      </w:r>
      <w:r>
        <w:t xml:space="preserve"> – </w:t>
      </w:r>
      <w:r w:rsidRPr="005555A4">
        <w:t xml:space="preserve">2021. godine definirane su Odlukom o iznosu tarifnih stavki za distribuciju plina u kojoj su iskazani iznosi tarifnih stavki za distribuciju plina za energetske subjekte. Krajnja cijena distribucije plina sastoji se od tarifne stavke za distribuiranu količinu plina (Ts1) i fiksne mjesečne naknade (Ts2). Tarifne stavke Ts1 definirane su za svakog pojedinog distributera u 12 tarifnih modela (TM) ovisno o godišnjoj potrošnji, dok su tarifne stavke Ts2 propisane u istom iznosu za sve distributere. </w:t>
      </w:r>
    </w:p>
    <w:p w14:paraId="1C0D4CC2" w14:textId="77777777" w:rsidR="0062017F" w:rsidRPr="00725326" w:rsidRDefault="0062017F" w:rsidP="00725326">
      <w:pPr>
        <w:rPr>
          <w:i/>
        </w:rPr>
      </w:pPr>
      <w:r w:rsidRPr="00725326">
        <w:rPr>
          <w:i/>
          <w:iCs/>
        </w:rPr>
        <w:t>Prodajne cijene plina</w:t>
      </w:r>
    </w:p>
    <w:p w14:paraId="45466241" w14:textId="77777777" w:rsidR="0062017F" w:rsidRPr="005555A4" w:rsidRDefault="0062017F" w:rsidP="0062017F">
      <w:r w:rsidRPr="005555A4">
        <w:t>Prosječna prodajna cijena plina bez PDV-a za krajnje kupce na distribucijskom sustavu u Republici Hrvatskoj u 2017. godini iznosila je 0,2335 kn/kWh, što je za 16 % manje u odnosu na 2016. godinu.</w:t>
      </w:r>
    </w:p>
    <w:p w14:paraId="38341ECC" w14:textId="77777777" w:rsidR="0062017F" w:rsidRPr="005555A4" w:rsidRDefault="0062017F" w:rsidP="0062017F">
      <w:r w:rsidRPr="005555A4">
        <w:t>Prosječna prodajna cijena plina bez PDV-a u Republici Hrvatskoj u 2017. godini za krajnje kupce na transportnom sustavu iznosila je 0,1805 kn/kWh, što je za 1 % više u odnosu na 2016. godinu, pri čemu je ista bila najniža u drugom kvartalu kada je iznosila 0,1673 kn/kWh, a najviša u prvom kvartalu kada je iznosila 0,1943 kn/kWh.</w:t>
      </w:r>
    </w:p>
    <w:p w14:paraId="699EADF0" w14:textId="77777777" w:rsidR="00067D34" w:rsidRDefault="00067D34"/>
    <w:p w14:paraId="49D1E7DA" w14:textId="77777777" w:rsidR="00691040" w:rsidRPr="00BE1ECD" w:rsidRDefault="00691040" w:rsidP="00840E2E">
      <w:pPr>
        <w:pStyle w:val="Heading3"/>
        <w:numPr>
          <w:ilvl w:val="0"/>
          <w:numId w:val="86"/>
        </w:numPr>
      </w:pPr>
      <w:r w:rsidRPr="00BE1ECD">
        <w:t>Opis energetskih subvencija (uključujući one za fosilna goriva)</w:t>
      </w:r>
    </w:p>
    <w:p w14:paraId="4DE230E2" w14:textId="36E4BB83" w:rsidR="00AB0374" w:rsidRDefault="00FA5A26" w:rsidP="000D2CE6">
      <w:r>
        <w:t xml:space="preserve">U </w:t>
      </w:r>
      <w:r w:rsidR="007A4534">
        <w:t>Republi</w:t>
      </w:r>
      <w:r>
        <w:t>ci</w:t>
      </w:r>
      <w:r w:rsidR="007A4534">
        <w:t xml:space="preserve"> Hrvatsk</w:t>
      </w:r>
      <w:r>
        <w:t>oj</w:t>
      </w:r>
      <w:r w:rsidR="007A4534">
        <w:t xml:space="preserve"> sustav poticanja korištenja obnovljivih izvora energije za proizvodnju električne energije </w:t>
      </w:r>
      <w:r>
        <w:t xml:space="preserve">uveden je </w:t>
      </w:r>
      <w:r w:rsidR="006F1C8E">
        <w:t>2007. godine</w:t>
      </w:r>
      <w:r w:rsidR="007B62E4">
        <w:t xml:space="preserve">. </w:t>
      </w:r>
      <w:r w:rsidR="001E5AF7">
        <w:t xml:space="preserve">Proizvođači električne energije iz obnovljivih izvora energije dobivali su poticajnu otkupnu cijenu </w:t>
      </w:r>
      <w:r w:rsidR="00A62F66">
        <w:t>za proizvedeni kilovat-sat električne energije, ovisno o korištenom obnovljivom izvoru i tehnologiji</w:t>
      </w:r>
      <w:r w:rsidR="007A2503">
        <w:t xml:space="preserve">, u skladu s Tarifnim sustavom za </w:t>
      </w:r>
      <w:r w:rsidR="001C0DB8">
        <w:t>proizvodnju električne energije i</w:t>
      </w:r>
      <w:r w:rsidR="000D2F88">
        <w:t xml:space="preserve">z obnovljivih izvora energije i kogeneracije (NN 33/07, </w:t>
      </w:r>
      <w:r w:rsidR="003354B0">
        <w:t>63/12, 121/12, 144/12</w:t>
      </w:r>
      <w:r w:rsidR="002D1DDF">
        <w:t xml:space="preserve">, 133/13, 151/13, 20/14, 107/14, </w:t>
      </w:r>
      <w:r w:rsidR="00FA2610">
        <w:t>100/15), pri čemu je subvencija jednaka razlici između poticajne otkupne cijene i tržišne cijene električne energije.</w:t>
      </w:r>
      <w:r w:rsidR="001C0DB8" w:rsidDel="000D2F88">
        <w:t xml:space="preserve"> </w:t>
      </w:r>
      <w:r w:rsidR="006A32E2">
        <w:t>Postrojenja za koja je sklopljen ugovor o isplati poticajne otkupne cijene, nastavit će dobivati ugovorenu cijenu za vrijeme trajanja ugovora (</w:t>
      </w:r>
      <w:r w:rsidR="003C69E3">
        <w:t>1</w:t>
      </w:r>
      <w:r w:rsidR="00FC0DCB">
        <w:t>2</w:t>
      </w:r>
      <w:r w:rsidR="003C69E3">
        <w:t xml:space="preserve"> godina za </w:t>
      </w:r>
      <w:r w:rsidR="006A32E2">
        <w:t>ugovor</w:t>
      </w:r>
      <w:r w:rsidR="003C69E3">
        <w:t>e</w:t>
      </w:r>
      <w:r w:rsidR="006A32E2">
        <w:t xml:space="preserve"> sklopljen</w:t>
      </w:r>
      <w:r w:rsidR="003C69E3">
        <w:t>e</w:t>
      </w:r>
      <w:r w:rsidR="006A32E2">
        <w:t xml:space="preserve"> do 20</w:t>
      </w:r>
      <w:r w:rsidR="00FC0DCB">
        <w:t>13.</w:t>
      </w:r>
      <w:r w:rsidR="003C69E3">
        <w:t xml:space="preserve"> odnosno 1</w:t>
      </w:r>
      <w:r w:rsidR="00765D9F">
        <w:t>4</w:t>
      </w:r>
      <w:r w:rsidR="003C69E3">
        <w:t xml:space="preserve"> godina za ugovore sklopljene nakon </w:t>
      </w:r>
      <w:r w:rsidR="00765D9F">
        <w:t>2013. godine</w:t>
      </w:r>
      <w:r w:rsidR="003C69E3">
        <w:t>).</w:t>
      </w:r>
    </w:p>
    <w:p w14:paraId="0BC7D298" w14:textId="459B0694" w:rsidR="005F7045" w:rsidRPr="000F71CB" w:rsidRDefault="00AB0374">
      <w:r>
        <w:t>Od 201</w:t>
      </w:r>
      <w:r w:rsidR="00BD4B1D">
        <w:t>6</w:t>
      </w:r>
      <w:r>
        <w:t>. godine na snagu je stupio Zakon o obnovljivim izvorima energije i visokoučinkovitoj kogeneraciji koji je kao sustav poticanja predvidio tzv. premijski sustav.</w:t>
      </w:r>
      <w:r w:rsidR="006626D9">
        <w:t xml:space="preserve"> S obzirom da podzakonski akti još nisu u potpunosti razrađeni i usvojeni, </w:t>
      </w:r>
      <w:r w:rsidR="00281E8B">
        <w:t xml:space="preserve">na temelju </w:t>
      </w:r>
      <w:r w:rsidR="006626D9">
        <w:t xml:space="preserve">ovog zakona nisu </w:t>
      </w:r>
      <w:r w:rsidR="00E240BD">
        <w:t>još</w:t>
      </w:r>
      <w:r w:rsidR="006626D9">
        <w:t xml:space="preserve"> isplaćene nikakve subvencije.</w:t>
      </w:r>
    </w:p>
    <w:p w14:paraId="4F12C3E3" w14:textId="67584796" w:rsidR="006B23DA" w:rsidRDefault="00FC0DCB" w:rsidP="00A877F8">
      <w:r>
        <w:t xml:space="preserve">Drugi vid energetskih subvencija u Republici Hrvatskoj su izuzeća od trošarina, kako ih propisuje Zakon o </w:t>
      </w:r>
      <w:r w:rsidR="00A877F8">
        <w:t>trošarinama</w:t>
      </w:r>
      <w:r>
        <w:t xml:space="preserve">. </w:t>
      </w:r>
      <w:r w:rsidR="00E7721A">
        <w:t xml:space="preserve">Izuzeća od trošarina predviđena su za </w:t>
      </w:r>
      <w:r w:rsidR="00A877F8">
        <w:t>bezolovni motorni benzin i plavi dizel za namjene u poljoprivredi, ribolovu, akvakulturi i plovidbi.</w:t>
      </w:r>
      <w:r w:rsidR="00D040F5">
        <w:t xml:space="preserve"> </w:t>
      </w:r>
      <w:r w:rsidR="00A877F8">
        <w:t xml:space="preserve">Korisnici prava ostvaruju to pravo prema posebnim propisima </w:t>
      </w:r>
      <w:r w:rsidR="0045755A">
        <w:t xml:space="preserve">na temelju </w:t>
      </w:r>
      <w:r w:rsidR="00A877F8">
        <w:t>odobrenja i kartice goriva izdane od strane nadležnog tijela za poslove poljoprivrede i ribarstva, odnosno nadležnog tijela za poslove poljoprivrede i ribarstva odnosno nadležnog tijela za poslove mora. Svakom korisniku prava dodjeljuje se pripadajuća odobrena godišnja količina plavog dizela za namjensku potrošnju – kvota.</w:t>
      </w:r>
      <w:r w:rsidR="00C2398C">
        <w:t xml:space="preserve"> </w:t>
      </w:r>
    </w:p>
    <w:p w14:paraId="0886E278" w14:textId="6AC16A20" w:rsidR="0012571D" w:rsidRDefault="00C2398C" w:rsidP="00A877F8">
      <w:r>
        <w:t xml:space="preserve">Uz to, </w:t>
      </w:r>
      <w:r w:rsidR="006B23DA">
        <w:t>isti zakon predviđa upotrebu energenata i električne energije za namjene na koje se ne plaća trošarina</w:t>
      </w:r>
      <w:r w:rsidR="0012571D">
        <w:t>,</w:t>
      </w:r>
      <w:r w:rsidR="006B23DA">
        <w:t xml:space="preserve"> kao što su</w:t>
      </w:r>
      <w:r w:rsidR="00DF7AEF">
        <w:t>:</w:t>
      </w:r>
    </w:p>
    <w:p w14:paraId="73F88CB2" w14:textId="19112B4A" w:rsidR="0012571D" w:rsidRDefault="006B23DA" w:rsidP="00840E2E">
      <w:pPr>
        <w:pStyle w:val="ListParagraph"/>
        <w:numPr>
          <w:ilvl w:val="0"/>
          <w:numId w:val="39"/>
        </w:numPr>
      </w:pPr>
      <w:r>
        <w:t>energenti koji se koriste kao pogonsko gorivo u zračnom prometu</w:t>
      </w:r>
      <w:r w:rsidR="0012571D">
        <w:t xml:space="preserve"> (</w:t>
      </w:r>
      <w:r>
        <w:t>osim uporabe za privatne letove</w:t>
      </w:r>
      <w:r w:rsidR="0012571D">
        <w:t>)</w:t>
      </w:r>
      <w:r>
        <w:t>,</w:t>
      </w:r>
    </w:p>
    <w:p w14:paraId="13A29BA4" w14:textId="6B3F7CBB" w:rsidR="0012571D" w:rsidRDefault="006B23DA" w:rsidP="00840E2E">
      <w:pPr>
        <w:pStyle w:val="ListParagraph"/>
        <w:numPr>
          <w:ilvl w:val="0"/>
          <w:numId w:val="39"/>
        </w:numPr>
      </w:pPr>
      <w:r>
        <w:t>energenti koji se koriste kao pogonsko gorivo za plovidbu, uključujući ribolov i električnu energiju proizvedenu na plovilu</w:t>
      </w:r>
      <w:r w:rsidR="0012571D">
        <w:t xml:space="preserve"> (</w:t>
      </w:r>
      <w:r>
        <w:t>osim uporabe plovnih objekata i plovila za privatne svrhe</w:t>
      </w:r>
      <w:r w:rsidR="0012571D">
        <w:t>)</w:t>
      </w:r>
      <w:r>
        <w:t>,</w:t>
      </w:r>
    </w:p>
    <w:p w14:paraId="118A9242" w14:textId="22A14FBF" w:rsidR="0012571D" w:rsidRDefault="006B23DA" w:rsidP="00840E2E">
      <w:pPr>
        <w:pStyle w:val="ListParagraph"/>
        <w:numPr>
          <w:ilvl w:val="0"/>
          <w:numId w:val="39"/>
        </w:numPr>
      </w:pPr>
      <w:r>
        <w:t>energenti koje proizvođač energenata i električne energije koristi u svojim proizvodnim prostorijama za daljnju preradu odnosno proizvodnju drugih energenata i električne energije</w:t>
      </w:r>
      <w:r w:rsidR="0012571D">
        <w:t xml:space="preserve"> (</w:t>
      </w:r>
      <w:r>
        <w:t>osim ako se koriste kao pogonsko gorivo za vozila</w:t>
      </w:r>
      <w:r w:rsidR="0012571D">
        <w:t>)</w:t>
      </w:r>
      <w:r>
        <w:t xml:space="preserve">, </w:t>
      </w:r>
    </w:p>
    <w:p w14:paraId="4CC702A9" w14:textId="77777777" w:rsidR="0012571D" w:rsidRDefault="006B23DA" w:rsidP="00840E2E">
      <w:pPr>
        <w:pStyle w:val="ListParagraph"/>
        <w:numPr>
          <w:ilvl w:val="0"/>
          <w:numId w:val="39"/>
        </w:numPr>
      </w:pPr>
      <w:r>
        <w:t xml:space="preserve">energenti koji se koriste za zajedničku proizvodnju toplinske i električne energije u jedinstvenom procesu (kogeneracija), </w:t>
      </w:r>
    </w:p>
    <w:p w14:paraId="5908B868" w14:textId="77777777" w:rsidR="00DF7AEF" w:rsidRDefault="006B23DA" w:rsidP="00840E2E">
      <w:pPr>
        <w:pStyle w:val="ListParagraph"/>
        <w:numPr>
          <w:ilvl w:val="0"/>
          <w:numId w:val="39"/>
        </w:numPr>
      </w:pPr>
      <w:r>
        <w:t xml:space="preserve">energenti koji se koriste u mineraloškim procesima, </w:t>
      </w:r>
    </w:p>
    <w:p w14:paraId="2D63A706" w14:textId="77777777" w:rsidR="00DF7AEF" w:rsidRDefault="006B23DA" w:rsidP="00840E2E">
      <w:pPr>
        <w:pStyle w:val="ListParagraph"/>
        <w:numPr>
          <w:ilvl w:val="0"/>
          <w:numId w:val="39"/>
        </w:numPr>
      </w:pPr>
      <w:r>
        <w:t xml:space="preserve">u slučajevima dvojnog korištenja energenata − ako se koriste kao gorivo za grijanje i istodobno za namjenu koja nije pogon ili grijanje (uporaba energenata za kemijsku redukciju, u elektrolitskim i metalurškim procesima), </w:t>
      </w:r>
    </w:p>
    <w:p w14:paraId="42632B38" w14:textId="77777777" w:rsidR="00DF7AEF" w:rsidRDefault="006B23DA" w:rsidP="00840E2E">
      <w:pPr>
        <w:pStyle w:val="ListParagraph"/>
        <w:numPr>
          <w:ilvl w:val="0"/>
          <w:numId w:val="39"/>
        </w:numPr>
      </w:pPr>
      <w:r>
        <w:t>energenti koji se koriste za druge namjene, a ne kao pogonsko gorivo ili gorivo za grijanje te</w:t>
      </w:r>
    </w:p>
    <w:p w14:paraId="68090D4D" w14:textId="56CF2481" w:rsidR="00A877F8" w:rsidRDefault="006B23DA" w:rsidP="00840E2E">
      <w:pPr>
        <w:pStyle w:val="ListParagraph"/>
        <w:numPr>
          <w:ilvl w:val="0"/>
          <w:numId w:val="39"/>
        </w:numPr>
      </w:pPr>
      <w:r>
        <w:t>prirodni plin koji se koristi u kućanstvima i prirodni plin koji se koristi za pogon vozila te u drugim specifičnim slučajevima opisanima u zakonu</w:t>
      </w:r>
      <w:r w:rsidR="00DF7AEF">
        <w:t>.</w:t>
      </w:r>
    </w:p>
    <w:p w14:paraId="23CCD975" w14:textId="67B903A8" w:rsidR="00A877F8" w:rsidRDefault="00977A68" w:rsidP="00A877F8">
      <w:r>
        <w:t xml:space="preserve">Isti </w:t>
      </w:r>
      <w:r w:rsidR="00A269E4">
        <w:t>zakon predviđa mogućnost povrata trošarine za dizelsko gorivo koje se koristi u komercijalnom prijevozu robe i putnika kupljeno bezgotovinskim oblikom plaćanja u Republici Hrvatskoj</w:t>
      </w:r>
      <w:r w:rsidR="00C2398C">
        <w:t xml:space="preserve">, za osobe </w:t>
      </w:r>
      <w:r w:rsidR="00A877F8">
        <w:t>registrirane za komercijalni prijevoz robe i putnika sa sjedištem na području Europske unije</w:t>
      </w:r>
      <w:r w:rsidR="00C2398C">
        <w:t xml:space="preserve">. </w:t>
      </w:r>
      <w:r w:rsidR="00A877F8">
        <w:t>Povrat trošarine se određuje u visini razlike trošarine važeće na dan kupnje dizelskog goriva u Republici Hrvatskoj i minimalno propisane visine trošarine na dizelsko gorivo koja iznosi 330 eura, a koji iznos se preračunava u nacionalnu valutu. Korisnici prava na povrat su dužni upisati se u registar korisnika prava na povrat trošarine za dizelsko gorivo u komercijalnom prijevozu robe i putnika. Svrha ove vrste povrata je smanjenje troškova domaćih prijevoznika i povećanje njihove konkurentnosti na europskom tržištu.</w:t>
      </w:r>
    </w:p>
    <w:p w14:paraId="68ACF0C0" w14:textId="43D934CE" w:rsidR="00984C89" w:rsidRDefault="00984C89">
      <w:r w:rsidRPr="00984C89">
        <w:rPr>
          <w:noProof/>
        </w:rPr>
        <w:drawing>
          <wp:inline distT="0" distB="0" distL="0" distR="0" wp14:anchorId="1B47D10E" wp14:editId="7FD630F1">
            <wp:extent cx="5759450" cy="2221865"/>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2221865"/>
                    </a:xfrm>
                    <a:prstGeom prst="rect">
                      <a:avLst/>
                    </a:prstGeom>
                    <a:noFill/>
                    <a:ln>
                      <a:noFill/>
                    </a:ln>
                  </pic:spPr>
                </pic:pic>
              </a:graphicData>
            </a:graphic>
          </wp:inline>
        </w:drawing>
      </w:r>
    </w:p>
    <w:p w14:paraId="00D04A0A" w14:textId="0155282C" w:rsidR="008C0265" w:rsidRDefault="008C0265">
      <w:r>
        <w:t>Može se zaključiti kako je većina subvencija za energiju usmjerena na povećanje energetske učinkovitosti i korištenje obnovljivih izvora energije</w:t>
      </w:r>
      <w:r w:rsidR="00591A9A">
        <w:t>, što će se nastaviti i u budućnosti, uz uvažavanje o</w:t>
      </w:r>
      <w:r w:rsidR="00F4307D">
        <w:t xml:space="preserve">graničenja vezanih za državne potpore. Manji dio energetskih subvencija vezan je za </w:t>
      </w:r>
      <w:r w:rsidR="00C30DDD">
        <w:t>izuzeća od trošarina u prometu i poljoprivredi, čije ukidanje trenutno nije u planu.</w:t>
      </w:r>
    </w:p>
    <w:p w14:paraId="14496AE4" w14:textId="77777777" w:rsidR="00C21988" w:rsidRDefault="00C21988" w:rsidP="00C21988">
      <w:pPr>
        <w:rPr>
          <w:rFonts w:asciiTheme="majorHAnsi" w:eastAsiaTheme="majorEastAsia" w:hAnsiTheme="majorHAnsi" w:cstheme="majorBidi"/>
          <w:color w:val="2E74B5" w:themeColor="accent1" w:themeShade="BF"/>
          <w:sz w:val="32"/>
          <w:szCs w:val="32"/>
        </w:rPr>
      </w:pPr>
      <w:r>
        <w:br w:type="page"/>
      </w:r>
    </w:p>
    <w:p w14:paraId="5F966DF0" w14:textId="2BF27564" w:rsidR="00C21988" w:rsidRDefault="00C21988" w:rsidP="00840E2E">
      <w:pPr>
        <w:pStyle w:val="Heading1"/>
        <w:numPr>
          <w:ilvl w:val="0"/>
          <w:numId w:val="42"/>
        </w:numPr>
      </w:pPr>
      <w:bookmarkStart w:id="562" w:name="_Toc531935270"/>
      <w:bookmarkStart w:id="563" w:name="_Toc531945132"/>
      <w:bookmarkStart w:id="564" w:name="_Toc6302390"/>
      <w:bookmarkStart w:id="565" w:name="_Toc27396122"/>
      <w:r>
        <w:t>OCJENA UČINAKA PLANIRANIH POLITIKA I MJERA</w:t>
      </w:r>
      <w:bookmarkEnd w:id="562"/>
      <w:bookmarkEnd w:id="563"/>
      <w:bookmarkEnd w:id="564"/>
      <w:bookmarkEnd w:id="565"/>
      <w:r>
        <w:t xml:space="preserve"> </w:t>
      </w:r>
    </w:p>
    <w:p w14:paraId="29048A79" w14:textId="0FA45E63" w:rsidR="00C21988" w:rsidRDefault="00D839FC" w:rsidP="00C21988">
      <w:pPr>
        <w:pStyle w:val="Heading2"/>
      </w:pPr>
      <w:bookmarkStart w:id="566" w:name="_Toc531935271"/>
      <w:bookmarkStart w:id="567" w:name="_Toc531945133"/>
      <w:bookmarkStart w:id="568" w:name="_Toc6302391"/>
      <w:bookmarkStart w:id="569" w:name="_Toc27396123"/>
      <w:r>
        <w:t>5.1</w:t>
      </w:r>
      <w:r>
        <w:tab/>
      </w:r>
      <w:r w:rsidR="00C21988">
        <w:t>Učinci planiranih politika i mjera opisanih u odjeljku 3. o energetskom sustavu i emisijama stakleničkih plinova i uklanjanju stakleničkih plinova, uključujući usporedbu s projekcijama na temelju postojećih politika i mjera (kako su opisane u odjeljku 4.).</w:t>
      </w:r>
      <w:bookmarkEnd w:id="566"/>
      <w:bookmarkEnd w:id="567"/>
      <w:bookmarkEnd w:id="568"/>
      <w:bookmarkEnd w:id="569"/>
    </w:p>
    <w:p w14:paraId="0309A931" w14:textId="77777777" w:rsidR="00DA1BFF" w:rsidRPr="00BE1ECD" w:rsidRDefault="00DA1BFF" w:rsidP="00840E2E">
      <w:pPr>
        <w:pStyle w:val="Heading3"/>
        <w:numPr>
          <w:ilvl w:val="0"/>
          <w:numId w:val="87"/>
        </w:numPr>
      </w:pPr>
      <w:r w:rsidRPr="00BE1ECD">
        <w:t>Projekcije kretanja u pogledu energetskog sustava te emisija i uklanjanja stakleničkih plinova kao i, ako je relevantno, emisija onečišćivača zraka u skladu s Direktivom (kako je predložena u dokumentu COM72013/0920) u okviru planiranih politika i mjera, uključujući relevantne politike i mjere EU-a, barem do deset godina nakon razdoblja obuhvaćenog planom (uključujući projekcije za posljednju godinu razdoblja obuhvaćenog planom).</w:t>
      </w:r>
    </w:p>
    <w:p w14:paraId="476CA39F" w14:textId="1290B3ED" w:rsidR="00C54895" w:rsidRDefault="00C54895" w:rsidP="00C54895">
      <w:r>
        <w:t>Projekcije najvažnijih energetsko</w:t>
      </w:r>
      <w:r w:rsidR="007B4B7C">
        <w:t>-</w:t>
      </w:r>
      <w:r>
        <w:t>klimatskih pokazatelja uz uvažavanje očekivanih sektorskih promjena do 2030. godine, prikazani su u nastavku:</w:t>
      </w:r>
    </w:p>
    <w:p w14:paraId="2DCDE580" w14:textId="56283741" w:rsidR="00C54895" w:rsidRDefault="00C54895" w:rsidP="00840E2E">
      <w:pPr>
        <w:pStyle w:val="ListParagraph"/>
        <w:numPr>
          <w:ilvl w:val="1"/>
          <w:numId w:val="53"/>
        </w:numPr>
      </w:pPr>
      <w:r>
        <w:t>Očekuje se neposredna potrošnje energije od 286,9 PJ u 2030., što predstavlja promjenu od 8,1 % i</w:t>
      </w:r>
      <w:r w:rsidRPr="003B64E6">
        <w:t xml:space="preserve"> </w:t>
      </w:r>
      <w:r>
        <w:t>-15 % u odnosu na potrošnju iz 2005. godine</w:t>
      </w:r>
    </w:p>
    <w:p w14:paraId="4EEA3811" w14:textId="79A7F429" w:rsidR="00C54895" w:rsidRDefault="00C54895" w:rsidP="00840E2E">
      <w:pPr>
        <w:pStyle w:val="ListParagraph"/>
        <w:numPr>
          <w:ilvl w:val="1"/>
          <w:numId w:val="53"/>
        </w:numPr>
      </w:pPr>
      <w:r w:rsidRPr="00462AD9">
        <w:t xml:space="preserve">Očekivano smanjenje emisije stakleničkih plinova </w:t>
      </w:r>
      <w:r>
        <w:t xml:space="preserve">iz energetskih izvora </w:t>
      </w:r>
      <w:r w:rsidRPr="00462AD9">
        <w:t xml:space="preserve">je </w:t>
      </w:r>
      <w:r w:rsidR="00815D2F" w:rsidRPr="00A31422">
        <w:t>3</w:t>
      </w:r>
      <w:r w:rsidR="00815D2F">
        <w:t>1</w:t>
      </w:r>
      <w:r w:rsidR="00D67B60">
        <w:t>,</w:t>
      </w:r>
      <w:r w:rsidR="00815D2F">
        <w:t>2</w:t>
      </w:r>
      <w:r>
        <w:t> % do 2030. godine,</w:t>
      </w:r>
      <w:r w:rsidRPr="0029142D">
        <w:t xml:space="preserve"> u odnosu na razinu emisije iz 1990. godine </w:t>
      </w:r>
    </w:p>
    <w:p w14:paraId="0A75B27B" w14:textId="512BD0BB" w:rsidR="00C54895" w:rsidRPr="00840E2E" w:rsidRDefault="0005799F" w:rsidP="00840E2E">
      <w:pPr>
        <w:pStyle w:val="ListParagraph"/>
        <w:numPr>
          <w:ilvl w:val="1"/>
          <w:numId w:val="53"/>
        </w:numPr>
      </w:pPr>
      <w:r w:rsidRPr="0005799F">
        <w:t>Stopa obnove u razdoblju od 2021 do 2030 raste od trenutačnih 0,7% godišnje za razdoblje od 2014 do 2019 godine u koracima od 1,1% do 3,0%, te doseže desetogodišnji prosjek od 1,6%. Bitno je povećana stopa napuštanja postojećeg fonda zgrada što je vidljivo kroz porast privremeno nenastanjenih jedinica u razdoblju između dva uzastopna popisa stanovništva.</w:t>
      </w:r>
    </w:p>
    <w:p w14:paraId="604CC50A" w14:textId="03F36810" w:rsidR="00C54895" w:rsidRDefault="00C54895" w:rsidP="00840E2E">
      <w:pPr>
        <w:pStyle w:val="ListParagraph"/>
        <w:numPr>
          <w:ilvl w:val="1"/>
          <w:numId w:val="53"/>
        </w:numPr>
      </w:pPr>
      <w:r>
        <w:t>O</w:t>
      </w:r>
      <w:r w:rsidRPr="00C771EA">
        <w:t>čekuje se</w:t>
      </w:r>
      <w:r>
        <w:t xml:space="preserve"> penetracija</w:t>
      </w:r>
      <w:r w:rsidRPr="00C771EA">
        <w:t xml:space="preserve"> električnih</w:t>
      </w:r>
      <w:r>
        <w:t xml:space="preserve"> i</w:t>
      </w:r>
      <w:r w:rsidRPr="00C771EA">
        <w:t xml:space="preserve"> hibridnih vozila</w:t>
      </w:r>
      <w:r>
        <w:t xml:space="preserve">, te vozila s pogonom na vodik, čiji udio u ukupnoj </w:t>
      </w:r>
      <w:r w:rsidRPr="00E22FE7">
        <w:t>putničk</w:t>
      </w:r>
      <w:r>
        <w:t>oj</w:t>
      </w:r>
      <w:r w:rsidRPr="00E22FE7">
        <w:t xml:space="preserve"> aktivnosti u cestovnom prometu </w:t>
      </w:r>
      <w:r>
        <w:t>dostiže</w:t>
      </w:r>
      <w:r w:rsidRPr="00E22FE7">
        <w:t xml:space="preserve"> </w:t>
      </w:r>
      <w:r>
        <w:t>3</w:t>
      </w:r>
      <w:r w:rsidRPr="00E22FE7">
        <w:t>,5</w:t>
      </w:r>
      <w:r>
        <w:t> </w:t>
      </w:r>
      <w:r w:rsidRPr="00E22FE7">
        <w:t>% u 2030. godini</w:t>
      </w:r>
    </w:p>
    <w:p w14:paraId="7C2FFED9" w14:textId="2BEBD6BA" w:rsidR="00C54895" w:rsidRPr="00462AD9" w:rsidRDefault="00C54895" w:rsidP="00840E2E">
      <w:pPr>
        <w:pStyle w:val="ListParagraph"/>
        <w:numPr>
          <w:ilvl w:val="1"/>
          <w:numId w:val="53"/>
        </w:numPr>
      </w:pPr>
      <w:r>
        <w:t xml:space="preserve">Povećanje udjela obnovljivih izvora u bruto neposrednoj potrošnji energije na 36,4 % do 2030. godine </w:t>
      </w:r>
    </w:p>
    <w:p w14:paraId="5850D273" w14:textId="119957CB" w:rsidR="00C54895" w:rsidRPr="00462AD9" w:rsidRDefault="00C54895" w:rsidP="00840E2E">
      <w:pPr>
        <w:pStyle w:val="ListParagraph"/>
        <w:numPr>
          <w:ilvl w:val="1"/>
          <w:numId w:val="53"/>
        </w:numPr>
      </w:pPr>
      <w:r>
        <w:t>Dekarbonizacija proizvodnje električne energije povećanjem udjela obnovljivih izvora energije na 6</w:t>
      </w:r>
      <w:r w:rsidR="0015484D">
        <w:t>3,8</w:t>
      </w:r>
      <w:r>
        <w:t> % do 2030. godine</w:t>
      </w:r>
      <w:r w:rsidRPr="00462AD9" w:rsidDel="000A4462">
        <w:t xml:space="preserve"> </w:t>
      </w:r>
    </w:p>
    <w:p w14:paraId="2FA67D4A" w14:textId="77777777" w:rsidR="00C54895" w:rsidRDefault="00C54895" w:rsidP="00C54895">
      <w:r>
        <w:t xml:space="preserve">Povećanje energetske učinkovitosti snažno je prisutno u svim sektorima potrošnje, a najsnažniji učinci očekuju se u zgradarstvu i prometu. </w:t>
      </w:r>
    </w:p>
    <w:p w14:paraId="21214EDC" w14:textId="77777777" w:rsidR="00C54895" w:rsidRDefault="00C54895" w:rsidP="00C54895">
      <w:r w:rsidRPr="00462AD9">
        <w:t>U zgradarstvu se predviđa nastavak</w:t>
      </w:r>
      <w:r>
        <w:t xml:space="preserve"> i jačanje</w:t>
      </w:r>
      <w:r w:rsidRPr="00462AD9">
        <w:t xml:space="preserve"> dobre prakse energetske obnove svih zgrada (stambenih i nestambenih) s usmjeravanjem obnove prema nZEB standardu, koji podrazumijeva i snažnije iskorištavanje </w:t>
      </w:r>
      <w:r>
        <w:t>OIE</w:t>
      </w:r>
      <w:r w:rsidRPr="00462AD9">
        <w:t xml:space="preserve"> (fotonaponski sustavi, toplinski sunčani kolektori, kotlovi na biomasu, dizalice topline).</w:t>
      </w:r>
    </w:p>
    <w:p w14:paraId="4A0DF69C" w14:textId="39C34F3D" w:rsidR="009302CB" w:rsidRDefault="009302CB" w:rsidP="00C13A71">
      <w:r>
        <w:t>Projekcij</w:t>
      </w:r>
      <w:r w:rsidR="00645F8B">
        <w:t>e</w:t>
      </w:r>
      <w:r>
        <w:t xml:space="preserve"> emisija stakleničkih plinova iz pokretnih i nepokretnih energetskih izvora u Republici Hrvatskoj </w:t>
      </w:r>
      <w:r w:rsidR="00C01B98">
        <w:t xml:space="preserve">prikazuje </w:t>
      </w:r>
      <w:r w:rsidR="00C01B98">
        <w:fldChar w:fldCharType="begin"/>
      </w:r>
      <w:r w:rsidR="00C01B98">
        <w:instrText xml:space="preserve"> REF _Ref531872424 \h </w:instrText>
      </w:r>
      <w:r w:rsidR="00C01B98">
        <w:fldChar w:fldCharType="separate"/>
      </w:r>
      <w:r w:rsidR="00154150" w:rsidRPr="00463A4F">
        <w:t xml:space="preserve">Slika </w:t>
      </w:r>
      <w:r w:rsidR="00154150">
        <w:rPr>
          <w:noProof/>
        </w:rPr>
        <w:t>5</w:t>
      </w:r>
      <w:r w:rsidR="00154150">
        <w:noBreakHyphen/>
      </w:r>
      <w:r w:rsidR="00154150">
        <w:rPr>
          <w:noProof/>
        </w:rPr>
        <w:t>1</w:t>
      </w:r>
      <w:r w:rsidR="00154150" w:rsidRPr="00463A4F">
        <w:rPr>
          <w:szCs w:val="20"/>
        </w:rPr>
        <w:t>.</w:t>
      </w:r>
      <w:r w:rsidR="00C01B98">
        <w:fldChar w:fldCharType="end"/>
      </w:r>
      <w:r w:rsidR="00C42954">
        <w:t xml:space="preserve"> </w:t>
      </w:r>
      <w:r w:rsidR="00364D4B">
        <w:t xml:space="preserve">Prikazan je scenarij s postojećim mjerama </w:t>
      </w:r>
      <w:r w:rsidR="00B53A72">
        <w:t xml:space="preserve">te scenarij </w:t>
      </w:r>
      <w:r w:rsidR="00364D4B">
        <w:t>s dodatnim mjerama</w:t>
      </w:r>
      <w:r w:rsidR="00D85C2C">
        <w:t xml:space="preserve">. </w:t>
      </w:r>
    </w:p>
    <w:p w14:paraId="14BAA939" w14:textId="2FCAA638" w:rsidR="009302CB" w:rsidRDefault="008910C1" w:rsidP="00DB7DF8">
      <w:pPr>
        <w:jc w:val="center"/>
      </w:pPr>
      <w:r>
        <w:rPr>
          <w:noProof/>
        </w:rPr>
        <w:drawing>
          <wp:inline distT="0" distB="0" distL="0" distR="0" wp14:anchorId="580AA5AC" wp14:editId="7772FF06">
            <wp:extent cx="5706471" cy="3021358"/>
            <wp:effectExtent l="0" t="0" r="889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21904" cy="3029529"/>
                    </a:xfrm>
                    <a:prstGeom prst="rect">
                      <a:avLst/>
                    </a:prstGeom>
                    <a:noFill/>
                  </pic:spPr>
                </pic:pic>
              </a:graphicData>
            </a:graphic>
          </wp:inline>
        </w:drawing>
      </w:r>
    </w:p>
    <w:p w14:paraId="57FAAE6C" w14:textId="6A77F4B3" w:rsidR="009302CB" w:rsidRPr="00F817AC" w:rsidRDefault="00714221" w:rsidP="00CF2D4C">
      <w:pPr>
        <w:pStyle w:val="Caption"/>
        <w:rPr>
          <w:szCs w:val="20"/>
        </w:rPr>
      </w:pPr>
      <w:bookmarkStart w:id="570" w:name="_Ref531872424"/>
      <w:bookmarkStart w:id="571" w:name="_Toc27396188"/>
      <w:r w:rsidRPr="00463A4F">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5</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1</w:t>
      </w:r>
      <w:r w:rsidR="005A7E31">
        <w:rPr>
          <w:noProof/>
        </w:rPr>
        <w:fldChar w:fldCharType="end"/>
      </w:r>
      <w:r w:rsidRPr="00463A4F">
        <w:rPr>
          <w:szCs w:val="20"/>
        </w:rPr>
        <w:t>.</w:t>
      </w:r>
      <w:bookmarkEnd w:id="570"/>
      <w:r w:rsidRPr="00463A4F">
        <w:rPr>
          <w:szCs w:val="20"/>
        </w:rPr>
        <w:t xml:space="preserve"> Projekcije emisija stakleničkih za scenarij s postojećim mjerama i scenarij s dodatnim mjerama</w:t>
      </w:r>
      <w:r w:rsidRPr="00463A4F" w:rsidDel="0030751A">
        <w:rPr>
          <w:szCs w:val="20"/>
        </w:rPr>
        <w:t xml:space="preserve"> </w:t>
      </w:r>
      <w:r w:rsidRPr="00463A4F">
        <w:rPr>
          <w:szCs w:val="20"/>
        </w:rPr>
        <w:t>– energetski izvori</w:t>
      </w:r>
      <w:bookmarkEnd w:id="571"/>
    </w:p>
    <w:p w14:paraId="09C41EBB" w14:textId="738101A5" w:rsidR="003442A3" w:rsidRDefault="00314566" w:rsidP="00DB7DF8">
      <w:pPr>
        <w:rPr>
          <w:b/>
          <w:sz w:val="20"/>
          <w:szCs w:val="28"/>
        </w:rPr>
      </w:pPr>
      <w:r>
        <w:t>Potencijal</w:t>
      </w:r>
      <w:r w:rsidR="00E83820">
        <w:t xml:space="preserve"> </w:t>
      </w:r>
      <w:r w:rsidR="00CD5A77">
        <w:t xml:space="preserve">dodatnih mjera </w:t>
      </w:r>
      <w:r w:rsidR="00BA07C0">
        <w:t>smanjenj</w:t>
      </w:r>
      <w:r w:rsidR="008D60BD">
        <w:t>a</w:t>
      </w:r>
      <w:r w:rsidR="00BA07C0">
        <w:t xml:space="preserve"> emisije po energetskim sektorima </w:t>
      </w:r>
      <w:r w:rsidR="00C01B98">
        <w:t>prikazuje</w:t>
      </w:r>
      <w:r w:rsidR="001769C5">
        <w:t xml:space="preserve"> </w:t>
      </w:r>
      <w:r w:rsidR="001769C5">
        <w:fldChar w:fldCharType="begin"/>
      </w:r>
      <w:r w:rsidR="001769C5">
        <w:instrText xml:space="preserve"> REF _Ref20743771 \h </w:instrText>
      </w:r>
      <w:r w:rsidR="001769C5">
        <w:fldChar w:fldCharType="separate"/>
      </w:r>
      <w:r w:rsidR="00154150">
        <w:t xml:space="preserve">Tablica </w:t>
      </w:r>
      <w:r w:rsidR="00154150">
        <w:rPr>
          <w:noProof/>
        </w:rPr>
        <w:t>5</w:t>
      </w:r>
      <w:r w:rsidR="00154150">
        <w:t>–</w:t>
      </w:r>
      <w:r w:rsidR="00154150">
        <w:rPr>
          <w:noProof/>
        </w:rPr>
        <w:t>1</w:t>
      </w:r>
      <w:r w:rsidR="001769C5">
        <w:fldChar w:fldCharType="end"/>
      </w:r>
      <w:r w:rsidR="0048204C">
        <w:t xml:space="preserve">, a predstavlja razliku </w:t>
      </w:r>
      <w:r w:rsidR="00BE43B5">
        <w:t xml:space="preserve">emisija scenarija s postojećim </w:t>
      </w:r>
      <w:r w:rsidR="00805903">
        <w:t>i scenarija s dodatnim mjerama</w:t>
      </w:r>
      <w:r w:rsidR="003C5CA0">
        <w:t>.</w:t>
      </w:r>
    </w:p>
    <w:p w14:paraId="4B1170B1" w14:textId="5945CB5E" w:rsidR="00C91927" w:rsidRDefault="00C91927" w:rsidP="00223709">
      <w:pPr>
        <w:pStyle w:val="Caption"/>
        <w:keepNext/>
      </w:pPr>
    </w:p>
    <w:p w14:paraId="0615A186" w14:textId="2B17AB4A" w:rsidR="003442A3" w:rsidRDefault="00C91927" w:rsidP="003442A3">
      <w:pPr>
        <w:pStyle w:val="Caption"/>
      </w:pPr>
      <w:bookmarkStart w:id="572" w:name="_Ref20743771"/>
      <w:bookmarkStart w:id="573" w:name="_Toc27396230"/>
      <w:r>
        <w:t xml:space="preserve">Tablica </w:t>
      </w:r>
      <w:fldSimple w:instr=" STYLEREF 1 \s ">
        <w:r w:rsidR="00154150">
          <w:rPr>
            <w:noProof/>
          </w:rPr>
          <w:t>5</w:t>
        </w:r>
      </w:fldSimple>
      <w:r w:rsidR="00214B02">
        <w:t>–</w:t>
      </w:r>
      <w:fldSimple w:instr=" SEQ Tablica \* ARABIC \s 1 ">
        <w:r w:rsidR="00154150">
          <w:rPr>
            <w:noProof/>
          </w:rPr>
          <w:t>1</w:t>
        </w:r>
      </w:fldSimple>
      <w:bookmarkEnd w:id="572"/>
      <w:r>
        <w:t>.</w:t>
      </w:r>
      <w:r w:rsidR="003442A3">
        <w:t xml:space="preserve">: </w:t>
      </w:r>
      <w:r w:rsidR="003442A3" w:rsidRPr="003442A3">
        <w:t>Potencijal smanjenja emisij</w:t>
      </w:r>
      <w:r w:rsidR="003442A3">
        <w:t>e stakleničkih plinova</w:t>
      </w:r>
      <w:r w:rsidR="003442A3" w:rsidRPr="003442A3">
        <w:t xml:space="preserve"> </w:t>
      </w:r>
      <w:r w:rsidR="00165156" w:rsidRPr="003442A3">
        <w:t>dodatni</w:t>
      </w:r>
      <w:r w:rsidR="00165156">
        <w:t>h</w:t>
      </w:r>
      <w:r w:rsidR="00165156" w:rsidRPr="003442A3">
        <w:t xml:space="preserve"> </w:t>
      </w:r>
      <w:r w:rsidR="003442A3" w:rsidRPr="003442A3">
        <w:t>mjera</w:t>
      </w:r>
      <w:r w:rsidR="00165156">
        <w:t>,</w:t>
      </w:r>
      <w:r w:rsidR="00D555C4">
        <w:t xml:space="preserve"> energetsk</w:t>
      </w:r>
      <w:r w:rsidR="00165156">
        <w:t>i</w:t>
      </w:r>
      <w:r w:rsidR="00D555C4">
        <w:t xml:space="preserve"> izvor</w:t>
      </w:r>
      <w:r w:rsidR="00165156">
        <w:t>i</w:t>
      </w:r>
      <w:bookmarkEnd w:id="573"/>
    </w:p>
    <w:tbl>
      <w:tblPr>
        <w:tblW w:w="9209" w:type="dxa"/>
        <w:tblLayout w:type="fixed"/>
        <w:tblLook w:val="04A0" w:firstRow="1" w:lastRow="0" w:firstColumn="1" w:lastColumn="0" w:noHBand="0" w:noVBand="1"/>
      </w:tblPr>
      <w:tblGrid>
        <w:gridCol w:w="4106"/>
        <w:gridCol w:w="1275"/>
        <w:gridCol w:w="1276"/>
        <w:gridCol w:w="1276"/>
        <w:gridCol w:w="1276"/>
      </w:tblGrid>
      <w:tr w:rsidR="00BA5CAA" w:rsidRPr="00530D21" w14:paraId="4BE0FD6F" w14:textId="77777777" w:rsidTr="00725326">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C90B7EA" w14:textId="77777777" w:rsidR="003132A3" w:rsidRPr="00185868" w:rsidRDefault="003132A3" w:rsidP="003F7A28">
            <w:pPr>
              <w:suppressAutoHyphens w:val="0"/>
              <w:spacing w:before="60" w:after="60" w:line="240" w:lineRule="auto"/>
              <w:jc w:val="left"/>
              <w:rPr>
                <w:rFonts w:cs="Arial"/>
                <w:b/>
                <w:bCs/>
                <w:sz w:val="20"/>
                <w:szCs w:val="20"/>
              </w:rPr>
            </w:pPr>
            <w:r w:rsidRPr="00185868">
              <w:rPr>
                <w:rFonts w:cs="Arial"/>
                <w:b/>
                <w:bCs/>
                <w:sz w:val="20"/>
                <w:szCs w:val="20"/>
              </w:rPr>
              <w:t>Smanjenje emisije CO</w:t>
            </w:r>
            <w:r w:rsidRPr="00185868">
              <w:rPr>
                <w:rFonts w:cs="Arial"/>
                <w:b/>
                <w:bCs/>
                <w:sz w:val="20"/>
                <w:szCs w:val="20"/>
                <w:vertAlign w:val="subscript"/>
              </w:rPr>
              <w:t>2</w:t>
            </w:r>
            <w:r w:rsidRPr="00185868">
              <w:rPr>
                <w:rFonts w:cs="Arial"/>
                <w:b/>
                <w:bCs/>
                <w:sz w:val="20"/>
                <w:szCs w:val="20"/>
              </w:rPr>
              <w:t>e (kt)</w:t>
            </w:r>
          </w:p>
        </w:tc>
        <w:tc>
          <w:tcPr>
            <w:tcW w:w="1275"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6EC72F5"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2025.</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80310E0"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2030.</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8AB1C1E"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2035.</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7629452" w14:textId="77777777" w:rsidR="003132A3" w:rsidRPr="00185868" w:rsidRDefault="003132A3" w:rsidP="003F7A28">
            <w:pPr>
              <w:suppressAutoHyphens w:val="0"/>
              <w:spacing w:before="60" w:after="60" w:line="240" w:lineRule="auto"/>
              <w:jc w:val="right"/>
              <w:rPr>
                <w:rFonts w:cs="Arial"/>
                <w:b/>
                <w:sz w:val="20"/>
                <w:szCs w:val="20"/>
              </w:rPr>
            </w:pPr>
            <w:r w:rsidRPr="00185868">
              <w:rPr>
                <w:rFonts w:cs="Arial"/>
                <w:b/>
                <w:sz w:val="20"/>
                <w:szCs w:val="20"/>
              </w:rPr>
              <w:t>2040.</w:t>
            </w:r>
          </w:p>
        </w:tc>
      </w:tr>
      <w:tr w:rsidR="00C62EDB" w:rsidRPr="00530D21" w14:paraId="5C37E3FD" w14:textId="77777777" w:rsidTr="00C12E90">
        <w:trPr>
          <w:trHeight w:val="255"/>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58E2B31" w14:textId="77777777" w:rsidR="00C62EDB" w:rsidRPr="000A2BB2" w:rsidRDefault="00C62EDB" w:rsidP="00C62EDB">
            <w:pPr>
              <w:spacing w:before="0"/>
              <w:rPr>
                <w:rFonts w:cs="Arial"/>
                <w:sz w:val="20"/>
                <w:szCs w:val="20"/>
                <w:u w:val="single"/>
              </w:rPr>
            </w:pPr>
            <w:r w:rsidRPr="000A2BB2">
              <w:rPr>
                <w:rFonts w:cs="Arial"/>
                <w:sz w:val="20"/>
                <w:szCs w:val="20"/>
                <w:u w:val="single"/>
              </w:rPr>
              <w:t>Postrojenja za proizvodnju i transf. energije</w:t>
            </w:r>
          </w:p>
          <w:p w14:paraId="11675788" w14:textId="1C58ED02" w:rsidR="00C62EDB" w:rsidRPr="00185868" w:rsidRDefault="00C62EDB" w:rsidP="00C62EDB">
            <w:pPr>
              <w:suppressAutoHyphens w:val="0"/>
              <w:spacing w:before="0" w:after="0" w:line="240" w:lineRule="auto"/>
              <w:jc w:val="left"/>
              <w:rPr>
                <w:rFonts w:cs="Arial"/>
                <w:sz w:val="20"/>
                <w:szCs w:val="20"/>
              </w:rPr>
            </w:pPr>
            <w:r w:rsidRPr="000A2BB2">
              <w:rPr>
                <w:rFonts w:cs="Arial"/>
                <w:sz w:val="18"/>
                <w:szCs w:val="18"/>
              </w:rPr>
              <w:t>Ključne mjere: OIE-2, OIE-3, OIE-4</w:t>
            </w:r>
            <w:r>
              <w:rPr>
                <w:rFonts w:cs="Arial"/>
                <w:sz w:val="18"/>
                <w:szCs w:val="18"/>
              </w:rPr>
              <w:t xml:space="preserve"> (obnovljivi izvori energije), </w:t>
            </w:r>
            <w:r w:rsidR="00184324">
              <w:rPr>
                <w:rFonts w:cs="Arial"/>
                <w:sz w:val="18"/>
                <w:szCs w:val="18"/>
              </w:rPr>
              <w:t>ENU-15</w:t>
            </w:r>
            <w:r>
              <w:rPr>
                <w:rFonts w:cs="Arial"/>
                <w:sz w:val="18"/>
                <w:szCs w:val="18"/>
              </w:rPr>
              <w:t xml:space="preserve">, </w:t>
            </w:r>
            <w:r w:rsidR="00184324">
              <w:rPr>
                <w:rFonts w:cs="Arial"/>
                <w:sz w:val="18"/>
                <w:szCs w:val="18"/>
              </w:rPr>
              <w:t>ENU-16</w:t>
            </w:r>
            <w:r>
              <w:rPr>
                <w:rFonts w:cs="Arial"/>
                <w:sz w:val="18"/>
                <w:szCs w:val="18"/>
              </w:rPr>
              <w:t xml:space="preserve">, </w:t>
            </w:r>
            <w:r w:rsidR="00184324">
              <w:rPr>
                <w:rFonts w:cs="Arial"/>
                <w:sz w:val="18"/>
                <w:szCs w:val="18"/>
              </w:rPr>
              <w:t>ENU-17</w:t>
            </w:r>
            <w:r w:rsidRPr="000A2BB2">
              <w:rPr>
                <w:rFonts w:cs="Arial"/>
                <w:sz w:val="18"/>
                <w:szCs w:val="18"/>
              </w:rPr>
              <w:t xml:space="preserve"> (energetska učinkovitost</w:t>
            </w:r>
            <w:r>
              <w:rPr>
                <w:rFonts w:cs="Arial"/>
                <w:sz w:val="18"/>
                <w:szCs w:val="18"/>
              </w:rPr>
              <w:t>), ES-2 (energetska sigurnost), UTE-1 (unutarnje energetsko tržište), MS-3 (međusektorska mjera)</w:t>
            </w:r>
          </w:p>
        </w:tc>
        <w:tc>
          <w:tcPr>
            <w:tcW w:w="1275" w:type="dxa"/>
            <w:tcBorders>
              <w:top w:val="nil"/>
              <w:left w:val="nil"/>
              <w:bottom w:val="single" w:sz="4" w:space="0" w:color="auto"/>
              <w:right w:val="single" w:sz="4" w:space="0" w:color="auto"/>
            </w:tcBorders>
            <w:shd w:val="clear" w:color="auto" w:fill="auto"/>
            <w:noWrap/>
            <w:vAlign w:val="center"/>
            <w:hideMark/>
          </w:tcPr>
          <w:p w14:paraId="4495A578" w14:textId="7E14DF7B" w:rsidR="00C62EDB" w:rsidRPr="00C12E90" w:rsidRDefault="00C62EDB" w:rsidP="00F35416">
            <w:pPr>
              <w:suppressAutoHyphens w:val="0"/>
              <w:spacing w:before="0" w:after="0" w:line="240" w:lineRule="auto"/>
              <w:jc w:val="right"/>
              <w:rPr>
                <w:rFonts w:cs="Arial"/>
                <w:sz w:val="20"/>
                <w:szCs w:val="20"/>
              </w:rPr>
            </w:pPr>
            <w:r w:rsidRPr="00C12E90">
              <w:rPr>
                <w:sz w:val="20"/>
                <w:szCs w:val="20"/>
              </w:rPr>
              <w:t>140</w:t>
            </w:r>
          </w:p>
        </w:tc>
        <w:tc>
          <w:tcPr>
            <w:tcW w:w="1276" w:type="dxa"/>
            <w:tcBorders>
              <w:top w:val="nil"/>
              <w:left w:val="nil"/>
              <w:bottom w:val="single" w:sz="4" w:space="0" w:color="auto"/>
              <w:right w:val="single" w:sz="4" w:space="0" w:color="auto"/>
            </w:tcBorders>
            <w:shd w:val="clear" w:color="auto" w:fill="auto"/>
            <w:noWrap/>
            <w:vAlign w:val="center"/>
            <w:hideMark/>
          </w:tcPr>
          <w:p w14:paraId="3BF9B4C0" w14:textId="665BB593" w:rsidR="00C62EDB" w:rsidRPr="00C12E90" w:rsidRDefault="00C62EDB" w:rsidP="00F35416">
            <w:pPr>
              <w:suppressAutoHyphens w:val="0"/>
              <w:spacing w:before="0" w:after="0" w:line="240" w:lineRule="auto"/>
              <w:jc w:val="right"/>
              <w:rPr>
                <w:rFonts w:cs="Arial"/>
                <w:sz w:val="20"/>
                <w:szCs w:val="20"/>
              </w:rPr>
            </w:pPr>
            <w:r w:rsidRPr="00C12E90">
              <w:rPr>
                <w:sz w:val="20"/>
                <w:szCs w:val="20"/>
              </w:rPr>
              <w:t>271</w:t>
            </w:r>
          </w:p>
        </w:tc>
        <w:tc>
          <w:tcPr>
            <w:tcW w:w="1276" w:type="dxa"/>
            <w:tcBorders>
              <w:top w:val="nil"/>
              <w:left w:val="nil"/>
              <w:bottom w:val="single" w:sz="4" w:space="0" w:color="auto"/>
              <w:right w:val="single" w:sz="4" w:space="0" w:color="auto"/>
            </w:tcBorders>
            <w:shd w:val="clear" w:color="auto" w:fill="auto"/>
            <w:noWrap/>
            <w:vAlign w:val="center"/>
            <w:hideMark/>
          </w:tcPr>
          <w:p w14:paraId="75980084" w14:textId="4439D122" w:rsidR="00C62EDB" w:rsidRPr="00C12E90" w:rsidRDefault="00C62EDB" w:rsidP="00F35416">
            <w:pPr>
              <w:suppressAutoHyphens w:val="0"/>
              <w:spacing w:before="0" w:after="0" w:line="240" w:lineRule="auto"/>
              <w:jc w:val="right"/>
              <w:rPr>
                <w:rFonts w:cs="Arial"/>
                <w:sz w:val="20"/>
                <w:szCs w:val="20"/>
              </w:rPr>
            </w:pPr>
            <w:r w:rsidRPr="00C12E90">
              <w:rPr>
                <w:sz w:val="20"/>
                <w:szCs w:val="20"/>
              </w:rPr>
              <w:t>393</w:t>
            </w:r>
          </w:p>
        </w:tc>
        <w:tc>
          <w:tcPr>
            <w:tcW w:w="1276" w:type="dxa"/>
            <w:tcBorders>
              <w:top w:val="nil"/>
              <w:left w:val="nil"/>
              <w:bottom w:val="single" w:sz="4" w:space="0" w:color="auto"/>
              <w:right w:val="single" w:sz="4" w:space="0" w:color="auto"/>
            </w:tcBorders>
            <w:shd w:val="clear" w:color="auto" w:fill="auto"/>
            <w:noWrap/>
            <w:vAlign w:val="center"/>
            <w:hideMark/>
          </w:tcPr>
          <w:p w14:paraId="6358AED4" w14:textId="4CC0CF3F" w:rsidR="00C62EDB" w:rsidRPr="00C12E90" w:rsidRDefault="00C62EDB" w:rsidP="00F35416">
            <w:pPr>
              <w:suppressAutoHyphens w:val="0"/>
              <w:spacing w:before="0" w:after="0" w:line="240" w:lineRule="auto"/>
              <w:jc w:val="right"/>
              <w:rPr>
                <w:rFonts w:cs="Arial"/>
                <w:sz w:val="20"/>
                <w:szCs w:val="20"/>
              </w:rPr>
            </w:pPr>
            <w:r w:rsidRPr="00C12E90">
              <w:rPr>
                <w:sz w:val="20"/>
                <w:szCs w:val="20"/>
              </w:rPr>
              <w:t>501</w:t>
            </w:r>
          </w:p>
        </w:tc>
      </w:tr>
      <w:tr w:rsidR="00C62EDB" w:rsidRPr="00530D21" w14:paraId="425F60D5" w14:textId="77777777" w:rsidTr="00C12E90">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301F5" w14:textId="77777777" w:rsidR="00C62EDB" w:rsidRPr="000A2BB2" w:rsidRDefault="00C62EDB" w:rsidP="00C62EDB">
            <w:pPr>
              <w:spacing w:before="0"/>
              <w:rPr>
                <w:rFonts w:cs="Arial"/>
                <w:sz w:val="20"/>
                <w:szCs w:val="20"/>
                <w:u w:val="single"/>
              </w:rPr>
            </w:pPr>
            <w:r w:rsidRPr="000A2BB2">
              <w:rPr>
                <w:rFonts w:cs="Arial"/>
                <w:sz w:val="20"/>
                <w:szCs w:val="20"/>
                <w:u w:val="single"/>
              </w:rPr>
              <w:t>Industrija i građevinarstvo</w:t>
            </w:r>
          </w:p>
          <w:p w14:paraId="67324D1B" w14:textId="6EFA9E77" w:rsidR="00C62EDB" w:rsidRPr="00185868" w:rsidRDefault="00C62EDB" w:rsidP="00C62EDB">
            <w:pPr>
              <w:suppressAutoHyphens w:val="0"/>
              <w:spacing w:before="0" w:after="0" w:line="240" w:lineRule="auto"/>
              <w:jc w:val="left"/>
              <w:rPr>
                <w:rFonts w:cs="Arial"/>
                <w:sz w:val="20"/>
                <w:szCs w:val="20"/>
              </w:rPr>
            </w:pPr>
            <w:r w:rsidRPr="000A2BB2">
              <w:rPr>
                <w:rFonts w:cs="Arial"/>
                <w:sz w:val="18"/>
                <w:szCs w:val="18"/>
              </w:rPr>
              <w:t>Ključne mjere: OIE-2, OIE-3, OIE-4</w:t>
            </w:r>
            <w:r>
              <w:rPr>
                <w:rFonts w:cs="Arial"/>
                <w:sz w:val="18"/>
                <w:szCs w:val="18"/>
              </w:rPr>
              <w:t xml:space="preserve"> (obnovljivi izvori energije), </w:t>
            </w:r>
            <w:r w:rsidR="00184324">
              <w:rPr>
                <w:rFonts w:cs="Arial"/>
                <w:sz w:val="18"/>
                <w:szCs w:val="18"/>
              </w:rPr>
              <w:t>ENU-9</w:t>
            </w:r>
            <w:r w:rsidRPr="000A2BB2">
              <w:rPr>
                <w:rFonts w:cs="Arial"/>
                <w:sz w:val="18"/>
                <w:szCs w:val="18"/>
              </w:rPr>
              <w:t xml:space="preserve"> (energetska učinkovitost</w:t>
            </w:r>
            <w:r>
              <w:rPr>
                <w:rFonts w:cs="Arial"/>
                <w:sz w:val="18"/>
                <w:szCs w:val="18"/>
              </w:rPr>
              <w:t xml:space="preserve">), MS-2, MS-3, MS-4, </w:t>
            </w:r>
            <w:r w:rsidR="004506FD">
              <w:rPr>
                <w:rFonts w:cs="Arial"/>
                <w:sz w:val="18"/>
                <w:szCs w:val="18"/>
              </w:rPr>
              <w:t>MS-9</w:t>
            </w:r>
            <w:r>
              <w:rPr>
                <w:rFonts w:cs="Arial"/>
                <w:sz w:val="18"/>
                <w:szCs w:val="18"/>
              </w:rPr>
              <w:t xml:space="preserve"> (međusektorska mjera)</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FC4E9BE" w14:textId="4CC9AD62" w:rsidR="00C62EDB" w:rsidRPr="00C12E90" w:rsidRDefault="00C62EDB" w:rsidP="00F35416">
            <w:pPr>
              <w:suppressAutoHyphens w:val="0"/>
              <w:spacing w:before="0" w:after="0" w:line="240" w:lineRule="auto"/>
              <w:jc w:val="right"/>
              <w:rPr>
                <w:rFonts w:cs="Arial"/>
                <w:sz w:val="20"/>
                <w:szCs w:val="20"/>
              </w:rPr>
            </w:pPr>
            <w:r w:rsidRPr="00C12E90">
              <w:rPr>
                <w:sz w:val="20"/>
                <w:szCs w:val="20"/>
              </w:rPr>
              <w:t>38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047C4D7" w14:textId="4BDFA239" w:rsidR="00C62EDB" w:rsidRPr="00C12E90" w:rsidRDefault="00C62EDB" w:rsidP="00F35416">
            <w:pPr>
              <w:suppressAutoHyphens w:val="0"/>
              <w:spacing w:before="0" w:after="0" w:line="240" w:lineRule="auto"/>
              <w:jc w:val="right"/>
              <w:rPr>
                <w:rFonts w:cs="Arial"/>
                <w:sz w:val="20"/>
                <w:szCs w:val="20"/>
              </w:rPr>
            </w:pPr>
            <w:r w:rsidRPr="00C12E90">
              <w:rPr>
                <w:sz w:val="20"/>
                <w:szCs w:val="20"/>
              </w:rPr>
              <w:t>75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C572308" w14:textId="2B31440C" w:rsidR="00C62EDB" w:rsidRPr="00C12E90" w:rsidRDefault="00C62EDB" w:rsidP="00F35416">
            <w:pPr>
              <w:suppressAutoHyphens w:val="0"/>
              <w:spacing w:before="0" w:after="0" w:line="240" w:lineRule="auto"/>
              <w:jc w:val="right"/>
              <w:rPr>
                <w:rFonts w:cs="Arial"/>
                <w:sz w:val="20"/>
                <w:szCs w:val="20"/>
              </w:rPr>
            </w:pPr>
            <w:r w:rsidRPr="00C12E90">
              <w:rPr>
                <w:sz w:val="20"/>
                <w:szCs w:val="20"/>
              </w:rPr>
              <w:t>131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5E7A2DB" w14:textId="20ADEB0C" w:rsidR="00C62EDB" w:rsidRPr="00C12E90" w:rsidRDefault="00C62EDB" w:rsidP="00F35416">
            <w:pPr>
              <w:suppressAutoHyphens w:val="0"/>
              <w:spacing w:before="0" w:after="0" w:line="240" w:lineRule="auto"/>
              <w:jc w:val="right"/>
              <w:rPr>
                <w:rFonts w:cs="Arial"/>
                <w:sz w:val="20"/>
                <w:szCs w:val="20"/>
              </w:rPr>
            </w:pPr>
            <w:r w:rsidRPr="00C12E90">
              <w:rPr>
                <w:sz w:val="20"/>
                <w:szCs w:val="20"/>
              </w:rPr>
              <w:t>182</w:t>
            </w:r>
          </w:p>
        </w:tc>
      </w:tr>
      <w:tr w:rsidR="00C62EDB" w:rsidRPr="00530D21" w14:paraId="39F9A3D5" w14:textId="77777777" w:rsidTr="00C12E90">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A25DBE" w14:textId="77777777" w:rsidR="00C62EDB" w:rsidRPr="000A2BB2" w:rsidRDefault="00C62EDB" w:rsidP="00C62EDB">
            <w:pPr>
              <w:spacing w:before="0"/>
              <w:rPr>
                <w:rFonts w:cs="Arial"/>
                <w:sz w:val="20"/>
                <w:szCs w:val="20"/>
                <w:u w:val="single"/>
              </w:rPr>
            </w:pPr>
            <w:r w:rsidRPr="000A2BB2">
              <w:rPr>
                <w:rFonts w:cs="Arial"/>
                <w:sz w:val="20"/>
                <w:szCs w:val="20"/>
                <w:u w:val="single"/>
              </w:rPr>
              <w:t>Promet</w:t>
            </w:r>
          </w:p>
          <w:p w14:paraId="6012AAD6" w14:textId="25905ECA" w:rsidR="00C62EDB" w:rsidRPr="00185868" w:rsidRDefault="00C62EDB" w:rsidP="00C62EDB">
            <w:pPr>
              <w:suppressAutoHyphens w:val="0"/>
              <w:spacing w:before="0" w:after="0" w:line="240" w:lineRule="auto"/>
              <w:jc w:val="left"/>
              <w:rPr>
                <w:rFonts w:cs="Arial"/>
                <w:sz w:val="20"/>
                <w:szCs w:val="20"/>
              </w:rPr>
            </w:pPr>
            <w:r>
              <w:rPr>
                <w:rFonts w:cs="Arial"/>
                <w:sz w:val="18"/>
                <w:szCs w:val="18"/>
              </w:rPr>
              <w:t>Ključne m</w:t>
            </w:r>
            <w:r w:rsidRPr="000A2BB2">
              <w:rPr>
                <w:rFonts w:cs="Arial"/>
                <w:sz w:val="18"/>
                <w:szCs w:val="18"/>
              </w:rPr>
              <w:t xml:space="preserve">jere: </w:t>
            </w:r>
            <w:r>
              <w:rPr>
                <w:rFonts w:cs="Arial"/>
                <w:sz w:val="18"/>
                <w:szCs w:val="18"/>
              </w:rPr>
              <w:t>TR-5,</w:t>
            </w:r>
            <w:r>
              <w:t xml:space="preserve"> </w:t>
            </w:r>
            <w:r w:rsidR="00DC15AF">
              <w:rPr>
                <w:rFonts w:cs="Arial"/>
                <w:sz w:val="18"/>
                <w:szCs w:val="18"/>
              </w:rPr>
              <w:t>TR-6</w:t>
            </w:r>
            <w:r>
              <w:rPr>
                <w:rFonts w:cs="Arial"/>
                <w:sz w:val="18"/>
                <w:szCs w:val="18"/>
              </w:rPr>
              <w:t>,</w:t>
            </w:r>
            <w:r>
              <w:t xml:space="preserve"> </w:t>
            </w:r>
            <w:r w:rsidR="00DC15AF">
              <w:rPr>
                <w:rFonts w:cs="Arial"/>
                <w:sz w:val="18"/>
                <w:szCs w:val="18"/>
              </w:rPr>
              <w:t>TR-7</w:t>
            </w:r>
            <w:r w:rsidRPr="000A2BB2">
              <w:rPr>
                <w:rFonts w:cs="Arial"/>
                <w:sz w:val="18"/>
                <w:szCs w:val="18"/>
              </w:rPr>
              <w:t xml:space="preserve">, </w:t>
            </w:r>
            <w:r w:rsidR="00DC15AF">
              <w:rPr>
                <w:rFonts w:cs="Arial"/>
                <w:sz w:val="18"/>
                <w:szCs w:val="18"/>
              </w:rPr>
              <w:t>TR-12</w:t>
            </w:r>
            <w:r>
              <w:rPr>
                <w:rFonts w:cs="Arial"/>
                <w:sz w:val="18"/>
                <w:szCs w:val="18"/>
              </w:rPr>
              <w:t>,</w:t>
            </w:r>
            <w:r>
              <w:t xml:space="preserve"> </w:t>
            </w:r>
            <w:r w:rsidRPr="000A2BB2">
              <w:rPr>
                <w:rFonts w:cs="Arial"/>
                <w:sz w:val="18"/>
                <w:szCs w:val="18"/>
              </w:rPr>
              <w:t>TR-1</w:t>
            </w:r>
            <w:r>
              <w:rPr>
                <w:rFonts w:cs="Arial"/>
                <w:sz w:val="18"/>
                <w:szCs w:val="18"/>
              </w:rPr>
              <w:t>0</w:t>
            </w:r>
            <w:r w:rsidRPr="000A2BB2">
              <w:rPr>
                <w:rFonts w:cs="Arial"/>
                <w:sz w:val="18"/>
                <w:szCs w:val="18"/>
              </w:rPr>
              <w:t>, TR-</w:t>
            </w:r>
            <w:r>
              <w:rPr>
                <w:rFonts w:cs="Arial"/>
                <w:sz w:val="18"/>
                <w:szCs w:val="18"/>
              </w:rPr>
              <w:t xml:space="preserve">11, </w:t>
            </w:r>
            <w:r w:rsidR="00DC15AF">
              <w:rPr>
                <w:rFonts w:cs="Arial"/>
                <w:sz w:val="18"/>
                <w:szCs w:val="18"/>
              </w:rPr>
              <w:t>TR-9</w:t>
            </w:r>
            <w:r w:rsidRPr="000A2BB2">
              <w:rPr>
                <w:rFonts w:cs="Arial"/>
                <w:sz w:val="18"/>
                <w:szCs w:val="18"/>
              </w:rPr>
              <w:t xml:space="preserve"> </w:t>
            </w:r>
            <w:r>
              <w:rPr>
                <w:rFonts w:cs="Arial"/>
                <w:sz w:val="18"/>
                <w:szCs w:val="18"/>
              </w:rPr>
              <w:t>(promet)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730BD51" w14:textId="7C5CF222" w:rsidR="00C62EDB" w:rsidRPr="00C12E90" w:rsidRDefault="00C62EDB" w:rsidP="00F35416">
            <w:pPr>
              <w:suppressAutoHyphens w:val="0"/>
              <w:spacing w:before="0" w:after="0" w:line="240" w:lineRule="auto"/>
              <w:jc w:val="right"/>
              <w:rPr>
                <w:rFonts w:cs="Arial"/>
                <w:sz w:val="20"/>
                <w:szCs w:val="20"/>
              </w:rPr>
            </w:pPr>
            <w:r w:rsidRPr="00C12E90">
              <w:rPr>
                <w:sz w:val="20"/>
                <w:szCs w:val="20"/>
              </w:rPr>
              <w:t>240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3DBA3A5" w14:textId="6FE92A5A" w:rsidR="00C62EDB" w:rsidRPr="00C12E90" w:rsidRDefault="00C62EDB" w:rsidP="00F35416">
            <w:pPr>
              <w:suppressAutoHyphens w:val="0"/>
              <w:spacing w:before="0" w:after="0" w:line="240" w:lineRule="auto"/>
              <w:jc w:val="right"/>
              <w:rPr>
                <w:rFonts w:cs="Arial"/>
                <w:sz w:val="20"/>
                <w:szCs w:val="20"/>
              </w:rPr>
            </w:pPr>
            <w:r w:rsidRPr="00C12E90">
              <w:rPr>
                <w:sz w:val="20"/>
                <w:szCs w:val="20"/>
              </w:rPr>
              <w:t>483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21B4E8" w14:textId="3636DE2C" w:rsidR="00C62EDB" w:rsidRPr="00C12E90" w:rsidRDefault="00C62EDB" w:rsidP="00F35416">
            <w:pPr>
              <w:suppressAutoHyphens w:val="0"/>
              <w:spacing w:before="0" w:after="0" w:line="240" w:lineRule="auto"/>
              <w:jc w:val="right"/>
              <w:rPr>
                <w:rFonts w:cs="Arial"/>
                <w:sz w:val="20"/>
                <w:szCs w:val="20"/>
              </w:rPr>
            </w:pPr>
            <w:r w:rsidRPr="00C12E90">
              <w:rPr>
                <w:sz w:val="20"/>
                <w:szCs w:val="20"/>
              </w:rPr>
              <w:t>416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25D218" w14:textId="08E2EC7E" w:rsidR="00C62EDB" w:rsidRPr="00C12E90" w:rsidRDefault="00C62EDB" w:rsidP="00F35416">
            <w:pPr>
              <w:suppressAutoHyphens w:val="0"/>
              <w:spacing w:before="0" w:after="0" w:line="240" w:lineRule="auto"/>
              <w:jc w:val="right"/>
              <w:rPr>
                <w:rFonts w:cs="Arial"/>
                <w:sz w:val="20"/>
                <w:szCs w:val="20"/>
              </w:rPr>
            </w:pPr>
            <w:r w:rsidRPr="00C12E90">
              <w:rPr>
                <w:sz w:val="20"/>
                <w:szCs w:val="20"/>
              </w:rPr>
              <w:t>426</w:t>
            </w:r>
          </w:p>
        </w:tc>
      </w:tr>
      <w:tr w:rsidR="00C62EDB" w:rsidRPr="00530D21" w14:paraId="7FF8CF1B" w14:textId="77777777" w:rsidTr="00C12E90">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9EAB9" w14:textId="77777777" w:rsidR="00C62EDB" w:rsidRPr="000A2BB2" w:rsidRDefault="00C62EDB" w:rsidP="00C62EDB">
            <w:pPr>
              <w:spacing w:before="0"/>
              <w:rPr>
                <w:rFonts w:cs="Arial"/>
                <w:sz w:val="20"/>
                <w:szCs w:val="20"/>
                <w:u w:val="single"/>
              </w:rPr>
            </w:pPr>
            <w:r w:rsidRPr="000A2BB2">
              <w:rPr>
                <w:rFonts w:cs="Arial"/>
                <w:sz w:val="20"/>
                <w:szCs w:val="20"/>
                <w:u w:val="single"/>
              </w:rPr>
              <w:t>Opća potrošnja</w:t>
            </w:r>
          </w:p>
          <w:p w14:paraId="390EF64D" w14:textId="2583052D" w:rsidR="00C62EDB" w:rsidRPr="00185868" w:rsidRDefault="00C62EDB" w:rsidP="00C62EDB">
            <w:pPr>
              <w:suppressAutoHyphens w:val="0"/>
              <w:spacing w:before="0" w:after="0" w:line="240" w:lineRule="auto"/>
              <w:jc w:val="left"/>
              <w:rPr>
                <w:rFonts w:cs="Arial"/>
                <w:sz w:val="20"/>
                <w:szCs w:val="20"/>
              </w:rPr>
            </w:pPr>
            <w:r w:rsidRPr="000A2BB2">
              <w:rPr>
                <w:rFonts w:cs="Arial"/>
                <w:sz w:val="18"/>
                <w:szCs w:val="18"/>
              </w:rPr>
              <w:t>Ključne mjere: OIE-</w:t>
            </w:r>
            <w:r>
              <w:rPr>
                <w:rFonts w:cs="Arial"/>
                <w:sz w:val="18"/>
                <w:szCs w:val="18"/>
              </w:rPr>
              <w:t>1</w:t>
            </w:r>
            <w:r w:rsidRPr="000A2BB2">
              <w:rPr>
                <w:rFonts w:cs="Arial"/>
                <w:sz w:val="18"/>
                <w:szCs w:val="18"/>
              </w:rPr>
              <w:t>, OIE-3, OIE-4</w:t>
            </w:r>
            <w:r>
              <w:rPr>
                <w:rFonts w:cs="Arial"/>
                <w:sz w:val="18"/>
                <w:szCs w:val="18"/>
              </w:rPr>
              <w:t xml:space="preserve"> (obnovljivi izvori energije), ENU-2, ENU-3, ENU-4,</w:t>
            </w:r>
            <w:r>
              <w:t xml:space="preserve"> </w:t>
            </w:r>
            <w:r w:rsidRPr="000A2BB2">
              <w:rPr>
                <w:rFonts w:cs="Arial"/>
                <w:sz w:val="18"/>
                <w:szCs w:val="18"/>
              </w:rPr>
              <w:t>ENU-</w:t>
            </w:r>
            <w:r>
              <w:rPr>
                <w:rFonts w:cs="Arial"/>
                <w:sz w:val="18"/>
                <w:szCs w:val="18"/>
              </w:rPr>
              <w:t>5</w:t>
            </w:r>
            <w:r w:rsidRPr="000A2BB2">
              <w:rPr>
                <w:rFonts w:cs="Arial"/>
                <w:sz w:val="18"/>
                <w:szCs w:val="18"/>
              </w:rPr>
              <w:t xml:space="preserve">, </w:t>
            </w:r>
            <w:r w:rsidR="00184324">
              <w:rPr>
                <w:rFonts w:cs="Arial"/>
                <w:sz w:val="18"/>
                <w:szCs w:val="18"/>
              </w:rPr>
              <w:t>ENU-7</w:t>
            </w:r>
            <w:r w:rsidRPr="000A2BB2">
              <w:rPr>
                <w:rFonts w:cs="Arial"/>
                <w:sz w:val="18"/>
                <w:szCs w:val="18"/>
              </w:rPr>
              <w:t xml:space="preserve">, </w:t>
            </w:r>
            <w:r w:rsidR="00184324">
              <w:rPr>
                <w:rFonts w:cs="Arial"/>
                <w:sz w:val="18"/>
                <w:szCs w:val="18"/>
              </w:rPr>
              <w:t>ENU-8</w:t>
            </w:r>
            <w:r w:rsidRPr="000A2BB2">
              <w:rPr>
                <w:rFonts w:cs="Arial"/>
                <w:sz w:val="18"/>
                <w:szCs w:val="18"/>
              </w:rPr>
              <w:t xml:space="preserve">, </w:t>
            </w:r>
            <w:r w:rsidR="00184324">
              <w:rPr>
                <w:rFonts w:cs="Arial"/>
                <w:sz w:val="18"/>
                <w:szCs w:val="18"/>
              </w:rPr>
              <w:t>ENU-10</w:t>
            </w:r>
            <w:r>
              <w:rPr>
                <w:rFonts w:cs="Arial"/>
                <w:sz w:val="18"/>
                <w:szCs w:val="18"/>
              </w:rPr>
              <w:t xml:space="preserve"> </w:t>
            </w:r>
            <w:r w:rsidRPr="000A2BB2">
              <w:rPr>
                <w:rFonts w:cs="Arial"/>
                <w:sz w:val="18"/>
                <w:szCs w:val="18"/>
              </w:rPr>
              <w:t>(energetska učinkovitost</w:t>
            </w:r>
            <w:r>
              <w:rPr>
                <w:rFonts w:cs="Arial"/>
                <w:sz w:val="18"/>
                <w:szCs w:val="18"/>
              </w:rPr>
              <w:t xml:space="preserve">), MS-5, </w:t>
            </w:r>
            <w:r w:rsidR="004506FD">
              <w:rPr>
                <w:rFonts w:cs="Arial"/>
                <w:sz w:val="18"/>
                <w:szCs w:val="18"/>
              </w:rPr>
              <w:t>MS-9</w:t>
            </w:r>
            <w:r>
              <w:rPr>
                <w:rFonts w:cs="Arial"/>
                <w:sz w:val="18"/>
                <w:szCs w:val="18"/>
              </w:rPr>
              <w:t xml:space="preserve"> (međusektorska mjera)</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E0BAC3C" w14:textId="3BD598C5" w:rsidR="00C62EDB" w:rsidRPr="00C12E90" w:rsidRDefault="00C62EDB" w:rsidP="00F35416">
            <w:pPr>
              <w:suppressAutoHyphens w:val="0"/>
              <w:spacing w:before="0" w:after="0" w:line="240" w:lineRule="auto"/>
              <w:jc w:val="right"/>
              <w:rPr>
                <w:rFonts w:cs="Arial"/>
                <w:sz w:val="20"/>
                <w:szCs w:val="20"/>
              </w:rPr>
            </w:pPr>
            <w:r w:rsidRPr="00C12E90">
              <w:rPr>
                <w:sz w:val="20"/>
                <w:szCs w:val="20"/>
              </w:rPr>
              <w:t>165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DB3F7A" w14:textId="53CCED63" w:rsidR="00C62EDB" w:rsidRPr="00C12E90" w:rsidRDefault="00C62EDB" w:rsidP="00F35416">
            <w:pPr>
              <w:suppressAutoHyphens w:val="0"/>
              <w:spacing w:before="0" w:after="0" w:line="240" w:lineRule="auto"/>
              <w:jc w:val="right"/>
              <w:rPr>
                <w:rFonts w:cs="Arial"/>
                <w:sz w:val="20"/>
                <w:szCs w:val="20"/>
              </w:rPr>
            </w:pPr>
            <w:r w:rsidRPr="00C12E90">
              <w:rPr>
                <w:sz w:val="20"/>
                <w:szCs w:val="20"/>
              </w:rPr>
              <w:t>324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1F28AD" w14:textId="7DD36D4F" w:rsidR="00C62EDB" w:rsidRPr="00C12E90" w:rsidRDefault="00C62EDB" w:rsidP="00F35416">
            <w:pPr>
              <w:suppressAutoHyphens w:val="0"/>
              <w:spacing w:before="0" w:after="0" w:line="240" w:lineRule="auto"/>
              <w:jc w:val="right"/>
              <w:rPr>
                <w:rFonts w:cs="Arial"/>
                <w:sz w:val="20"/>
                <w:szCs w:val="20"/>
              </w:rPr>
            </w:pPr>
            <w:r w:rsidRPr="00C12E90">
              <w:rPr>
                <w:sz w:val="20"/>
                <w:szCs w:val="20"/>
              </w:rPr>
              <w:t>466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684A58" w14:textId="5913BB6C" w:rsidR="00C62EDB" w:rsidRPr="00C12E90" w:rsidRDefault="00C62EDB" w:rsidP="00F35416">
            <w:pPr>
              <w:suppressAutoHyphens w:val="0"/>
              <w:spacing w:before="0" w:after="0" w:line="240" w:lineRule="auto"/>
              <w:jc w:val="right"/>
              <w:rPr>
                <w:rFonts w:cs="Arial"/>
                <w:sz w:val="20"/>
                <w:szCs w:val="20"/>
              </w:rPr>
            </w:pPr>
            <w:r w:rsidRPr="00C12E90">
              <w:rPr>
                <w:sz w:val="20"/>
                <w:szCs w:val="20"/>
              </w:rPr>
              <w:t>585</w:t>
            </w:r>
          </w:p>
        </w:tc>
      </w:tr>
      <w:tr w:rsidR="00C62EDB" w:rsidRPr="00530D21" w14:paraId="43DD7B8B" w14:textId="77777777" w:rsidTr="00C12E90">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DA68A" w14:textId="77777777" w:rsidR="00C62EDB" w:rsidRPr="000A2BB2" w:rsidRDefault="00C62EDB" w:rsidP="00C62EDB">
            <w:pPr>
              <w:spacing w:before="0"/>
              <w:rPr>
                <w:rFonts w:cs="Arial"/>
                <w:sz w:val="20"/>
                <w:szCs w:val="20"/>
                <w:u w:val="single"/>
              </w:rPr>
            </w:pPr>
            <w:r w:rsidRPr="000A2BB2">
              <w:rPr>
                <w:rFonts w:cs="Arial"/>
                <w:sz w:val="20"/>
                <w:szCs w:val="20"/>
                <w:u w:val="single"/>
              </w:rPr>
              <w:t>Fugitivne emisije</w:t>
            </w:r>
          </w:p>
          <w:p w14:paraId="072E4768" w14:textId="2EBC8A15" w:rsidR="00C62EDB" w:rsidRPr="00185868" w:rsidRDefault="00C62EDB" w:rsidP="00C62EDB">
            <w:pPr>
              <w:suppressAutoHyphens w:val="0"/>
              <w:spacing w:before="0" w:after="0" w:line="240" w:lineRule="auto"/>
              <w:jc w:val="left"/>
              <w:rPr>
                <w:rFonts w:cs="Arial"/>
                <w:sz w:val="20"/>
                <w:szCs w:val="20"/>
              </w:rPr>
            </w:pPr>
            <w:r w:rsidRPr="000A2BB2">
              <w:rPr>
                <w:rFonts w:cs="Arial"/>
                <w:sz w:val="18"/>
                <w:szCs w:val="18"/>
              </w:rPr>
              <w:t xml:space="preserve">Ključne mjere: </w:t>
            </w:r>
            <w:r w:rsidR="004102D6">
              <w:rPr>
                <w:rFonts w:cs="Arial"/>
                <w:sz w:val="18"/>
                <w:szCs w:val="18"/>
              </w:rPr>
              <w:t>FUG</w:t>
            </w:r>
            <w:r w:rsidRPr="000A2BB2">
              <w:rPr>
                <w:rFonts w:cs="Arial"/>
                <w:sz w:val="18"/>
                <w:szCs w:val="18"/>
              </w:rPr>
              <w:t>-</w:t>
            </w:r>
            <w:r w:rsidR="004102D6">
              <w:rPr>
                <w:rFonts w:cs="Arial"/>
                <w:sz w:val="18"/>
                <w:szCs w:val="18"/>
              </w:rPr>
              <w:t>1</w:t>
            </w:r>
            <w:r>
              <w:rPr>
                <w:rFonts w:cs="Arial"/>
                <w:sz w:val="18"/>
                <w:szCs w:val="18"/>
              </w:rPr>
              <w:t xml:space="preserve">, </w:t>
            </w:r>
            <w:r w:rsidR="004102D6">
              <w:rPr>
                <w:rFonts w:cs="Arial"/>
                <w:sz w:val="18"/>
                <w:szCs w:val="18"/>
              </w:rPr>
              <w:t>FUG</w:t>
            </w:r>
            <w:r>
              <w:rPr>
                <w:rFonts w:cs="Arial"/>
                <w:sz w:val="18"/>
                <w:szCs w:val="18"/>
              </w:rPr>
              <w:t>-</w:t>
            </w:r>
            <w:r w:rsidR="007076ED">
              <w:rPr>
                <w:rFonts w:cs="Arial"/>
                <w:sz w:val="18"/>
                <w:szCs w:val="18"/>
              </w:rPr>
              <w:t>2, FUG-3</w:t>
            </w:r>
            <w:r w:rsidRPr="000A2BB2">
              <w:rPr>
                <w:rFonts w:cs="Arial"/>
                <w:sz w:val="18"/>
                <w:szCs w:val="18"/>
              </w:rPr>
              <w:t xml:space="preserve"> (</w:t>
            </w:r>
            <w:r w:rsidR="007076ED">
              <w:rPr>
                <w:rFonts w:cs="Arial"/>
                <w:sz w:val="18"/>
                <w:szCs w:val="18"/>
              </w:rPr>
              <w:t>fugitivne emisije</w:t>
            </w:r>
            <w:r w:rsidRPr="000A2BB2">
              <w:rPr>
                <w:rFonts w:cs="Arial"/>
                <w:sz w:val="18"/>
                <w:szCs w:val="18"/>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576195B" w14:textId="4B61D85B" w:rsidR="00C62EDB" w:rsidRPr="00C12E90" w:rsidDel="00B670F5" w:rsidRDefault="00C62EDB" w:rsidP="00F35416">
            <w:pPr>
              <w:suppressAutoHyphens w:val="0"/>
              <w:spacing w:before="0" w:after="0" w:line="240" w:lineRule="auto"/>
              <w:jc w:val="right"/>
              <w:rPr>
                <w:sz w:val="20"/>
                <w:szCs w:val="20"/>
              </w:rPr>
            </w:pPr>
            <w:r w:rsidRPr="00C12E90">
              <w:rPr>
                <w:sz w:val="20"/>
                <w:szCs w:val="20"/>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EB770DA" w14:textId="7963ABFD" w:rsidR="00C62EDB" w:rsidRPr="00C12E90" w:rsidDel="00B670F5" w:rsidRDefault="00C62EDB" w:rsidP="00F35416">
            <w:pPr>
              <w:suppressAutoHyphens w:val="0"/>
              <w:spacing w:before="0" w:after="0" w:line="240" w:lineRule="auto"/>
              <w:jc w:val="right"/>
              <w:rPr>
                <w:sz w:val="20"/>
                <w:szCs w:val="20"/>
              </w:rPr>
            </w:pPr>
            <w:r w:rsidRPr="00C12E90">
              <w:rPr>
                <w:sz w:val="20"/>
                <w:szCs w:val="20"/>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714F43" w14:textId="013D385B" w:rsidR="00C62EDB" w:rsidRPr="00C12E90" w:rsidDel="00B670F5" w:rsidRDefault="00C62EDB" w:rsidP="00F35416">
            <w:pPr>
              <w:suppressAutoHyphens w:val="0"/>
              <w:spacing w:before="0" w:after="0" w:line="240" w:lineRule="auto"/>
              <w:jc w:val="right"/>
              <w:rPr>
                <w:sz w:val="20"/>
                <w:szCs w:val="20"/>
              </w:rPr>
            </w:pPr>
            <w:r w:rsidRPr="00C12E90">
              <w:rPr>
                <w:sz w:val="20"/>
                <w:szCs w:val="20"/>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BFA7EC1" w14:textId="5235748B" w:rsidR="00C62EDB" w:rsidRPr="00C12E90" w:rsidDel="00B670F5" w:rsidRDefault="00C62EDB" w:rsidP="00F35416">
            <w:pPr>
              <w:suppressAutoHyphens w:val="0"/>
              <w:spacing w:before="0" w:after="0" w:line="240" w:lineRule="auto"/>
              <w:jc w:val="right"/>
              <w:rPr>
                <w:sz w:val="20"/>
                <w:szCs w:val="20"/>
              </w:rPr>
            </w:pPr>
            <w:r w:rsidRPr="00C12E90">
              <w:rPr>
                <w:sz w:val="20"/>
                <w:szCs w:val="20"/>
              </w:rPr>
              <w:t>18</w:t>
            </w:r>
          </w:p>
        </w:tc>
      </w:tr>
      <w:tr w:rsidR="00C62EDB" w:rsidRPr="00530D21" w14:paraId="292F9140" w14:textId="77777777" w:rsidTr="00C12E90">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D95DA3" w14:textId="77777777" w:rsidR="00C62EDB" w:rsidRPr="00185868" w:rsidRDefault="00C62EDB" w:rsidP="00C62EDB">
            <w:pPr>
              <w:suppressAutoHyphens w:val="0"/>
              <w:spacing w:before="0" w:after="0" w:line="240" w:lineRule="auto"/>
              <w:jc w:val="left"/>
              <w:rPr>
                <w:rFonts w:cs="Arial"/>
                <w:b/>
                <w:sz w:val="20"/>
                <w:szCs w:val="20"/>
              </w:rPr>
            </w:pPr>
            <w:r w:rsidRPr="00185868">
              <w:rPr>
                <w:rFonts w:cs="Arial"/>
                <w:b/>
                <w:sz w:val="20"/>
                <w:szCs w:val="20"/>
              </w:rPr>
              <w:t>Potencijal smanjenja emisije – energetski izvori</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7E9FD67" w14:textId="047412A4" w:rsidR="00C62EDB" w:rsidRPr="00C12E90" w:rsidDel="00B670F5" w:rsidRDefault="00C62EDB" w:rsidP="00F35416">
            <w:pPr>
              <w:suppressAutoHyphens w:val="0"/>
              <w:spacing w:before="0" w:after="0" w:line="240" w:lineRule="auto"/>
              <w:jc w:val="right"/>
              <w:rPr>
                <w:b/>
                <w:bCs/>
                <w:sz w:val="20"/>
                <w:szCs w:val="20"/>
              </w:rPr>
            </w:pPr>
            <w:r w:rsidRPr="00C12E90">
              <w:rPr>
                <w:b/>
                <w:bCs/>
                <w:sz w:val="20"/>
                <w:szCs w:val="20"/>
              </w:rPr>
              <w:t>586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AAFAF6" w14:textId="1F5ECE73" w:rsidR="00C62EDB" w:rsidRPr="00C12E90" w:rsidDel="00B670F5" w:rsidRDefault="00C62EDB" w:rsidP="00F35416">
            <w:pPr>
              <w:suppressAutoHyphens w:val="0"/>
              <w:spacing w:before="0" w:after="0" w:line="240" w:lineRule="auto"/>
              <w:jc w:val="right"/>
              <w:rPr>
                <w:b/>
                <w:bCs/>
                <w:sz w:val="20"/>
                <w:szCs w:val="20"/>
              </w:rPr>
            </w:pPr>
            <w:r w:rsidRPr="00C12E90">
              <w:rPr>
                <w:b/>
                <w:bCs/>
                <w:sz w:val="20"/>
                <w:szCs w:val="20"/>
              </w:rPr>
              <w:t>1159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6A7F17" w14:textId="39718F37" w:rsidR="00C62EDB" w:rsidRPr="00C12E90" w:rsidDel="00B670F5" w:rsidRDefault="00C62EDB" w:rsidP="00F35416">
            <w:pPr>
              <w:suppressAutoHyphens w:val="0"/>
              <w:spacing w:before="0" w:after="0" w:line="240" w:lineRule="auto"/>
              <w:jc w:val="right"/>
              <w:rPr>
                <w:b/>
                <w:bCs/>
                <w:sz w:val="20"/>
                <w:szCs w:val="20"/>
              </w:rPr>
            </w:pPr>
            <w:r w:rsidRPr="00C12E90">
              <w:rPr>
                <w:b/>
                <w:bCs/>
                <w:sz w:val="20"/>
                <w:szCs w:val="20"/>
              </w:rPr>
              <w:t>1416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9A7963" w14:textId="33E238A3" w:rsidR="00C62EDB" w:rsidRPr="00C12E90" w:rsidDel="00B670F5" w:rsidRDefault="00C62EDB" w:rsidP="00F35416">
            <w:pPr>
              <w:suppressAutoHyphens w:val="0"/>
              <w:spacing w:before="0" w:after="0" w:line="240" w:lineRule="auto"/>
              <w:jc w:val="right"/>
              <w:rPr>
                <w:b/>
                <w:bCs/>
                <w:sz w:val="20"/>
                <w:szCs w:val="20"/>
              </w:rPr>
            </w:pPr>
            <w:r w:rsidRPr="00C12E90">
              <w:rPr>
                <w:b/>
                <w:bCs/>
                <w:sz w:val="20"/>
                <w:szCs w:val="20"/>
              </w:rPr>
              <w:t>1714</w:t>
            </w:r>
          </w:p>
        </w:tc>
      </w:tr>
    </w:tbl>
    <w:p w14:paraId="2384FFA6" w14:textId="20A0C241" w:rsidR="00340819" w:rsidRDefault="00340819" w:rsidP="0024305D">
      <w:r>
        <w:t>Projekcij</w:t>
      </w:r>
      <w:r w:rsidR="009C7437">
        <w:t>e</w:t>
      </w:r>
      <w:r>
        <w:t xml:space="preserve"> emisija stakleničkih plinova iz ne-energetskih izvora u Republici Hrvatskoj</w:t>
      </w:r>
      <w:r w:rsidR="005D7291">
        <w:t xml:space="preserve">, sukladno </w:t>
      </w:r>
      <w:r w:rsidR="00F242F6">
        <w:t>prijedlogu</w:t>
      </w:r>
      <w:r w:rsidR="005D7291">
        <w:t xml:space="preserve"> </w:t>
      </w:r>
      <w:r w:rsidR="00F242F6">
        <w:t>Strategij</w:t>
      </w:r>
      <w:r w:rsidR="00995061">
        <w:t>e</w:t>
      </w:r>
      <w:r w:rsidR="00F242F6">
        <w:t xml:space="preserve"> niskougljičnog razvoja Republike Hrvatske, </w:t>
      </w:r>
      <w:r>
        <w:t>prikaz</w:t>
      </w:r>
      <w:r w:rsidR="00C01B98">
        <w:t xml:space="preserve">uje </w:t>
      </w:r>
      <w:r w:rsidR="00C01B98">
        <w:fldChar w:fldCharType="begin"/>
      </w:r>
      <w:r w:rsidR="00C01B98">
        <w:instrText xml:space="preserve"> REF _Ref531872519 \h </w:instrText>
      </w:r>
      <w:r w:rsidR="00C01B98">
        <w:fldChar w:fldCharType="separate"/>
      </w:r>
      <w:r w:rsidR="00154150">
        <w:t xml:space="preserve">Slika </w:t>
      </w:r>
      <w:r w:rsidR="00154150">
        <w:rPr>
          <w:noProof/>
        </w:rPr>
        <w:t>5</w:t>
      </w:r>
      <w:r w:rsidR="00154150">
        <w:noBreakHyphen/>
      </w:r>
      <w:r w:rsidR="00154150">
        <w:rPr>
          <w:noProof/>
        </w:rPr>
        <w:t>2</w:t>
      </w:r>
      <w:r w:rsidR="00154150" w:rsidRPr="00F817AC">
        <w:rPr>
          <w:szCs w:val="20"/>
        </w:rPr>
        <w:t>.</w:t>
      </w:r>
      <w:r w:rsidR="00C01B98">
        <w:fldChar w:fldCharType="end"/>
      </w:r>
      <w:r w:rsidR="00EE79B0">
        <w:t xml:space="preserve"> Za scenarij s</w:t>
      </w:r>
      <w:r w:rsidR="00557762">
        <w:t xml:space="preserve"> postojećim mjerama odabran je </w:t>
      </w:r>
      <w:r w:rsidR="00DF0F1C">
        <w:t>refer</w:t>
      </w:r>
      <w:r w:rsidR="001F194F">
        <w:t>e</w:t>
      </w:r>
      <w:r w:rsidR="0024305D">
        <w:t>n</w:t>
      </w:r>
      <w:r w:rsidR="00DF0F1C">
        <w:t xml:space="preserve">tni scenarij </w:t>
      </w:r>
      <w:r w:rsidR="00874395">
        <w:t>(</w:t>
      </w:r>
      <w:r w:rsidR="00BC0037">
        <w:t>NUR</w:t>
      </w:r>
      <w:r w:rsidR="00874395">
        <w:t>)</w:t>
      </w:r>
      <w:r w:rsidR="00827585">
        <w:t xml:space="preserve">, a za scenarij s dodatnim mjerama </w:t>
      </w:r>
      <w:r w:rsidR="0024305D">
        <w:t>scenarij postupne tranzicije (NU1)</w:t>
      </w:r>
      <w:r w:rsidR="001F194F">
        <w:t>.</w:t>
      </w:r>
    </w:p>
    <w:p w14:paraId="04C0B05A" w14:textId="6B9207B5" w:rsidR="00157089" w:rsidRDefault="00057EA0" w:rsidP="00DB7DF8">
      <w:pPr>
        <w:jc w:val="center"/>
      </w:pPr>
      <w:r>
        <w:rPr>
          <w:noProof/>
        </w:rPr>
        <w:drawing>
          <wp:inline distT="0" distB="0" distL="0" distR="0" wp14:anchorId="6E336EE7" wp14:editId="51D9CFB4">
            <wp:extent cx="5261212" cy="2783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9142" cy="2792730"/>
                    </a:xfrm>
                    <a:prstGeom prst="rect">
                      <a:avLst/>
                    </a:prstGeom>
                    <a:noFill/>
                  </pic:spPr>
                </pic:pic>
              </a:graphicData>
            </a:graphic>
          </wp:inline>
        </w:drawing>
      </w:r>
    </w:p>
    <w:p w14:paraId="5DAA0B89" w14:textId="785EA879" w:rsidR="00157089" w:rsidRPr="00F817AC" w:rsidRDefault="00C01B98" w:rsidP="00CF2D4C">
      <w:pPr>
        <w:pStyle w:val="Caption"/>
        <w:rPr>
          <w:szCs w:val="20"/>
        </w:rPr>
      </w:pPr>
      <w:bookmarkStart w:id="574" w:name="_Ref531872519"/>
      <w:bookmarkStart w:id="575" w:name="_Toc27396189"/>
      <w:r>
        <w:t xml:space="preserve">Slika </w:t>
      </w:r>
      <w:r w:rsidR="005A7E31">
        <w:rPr>
          <w:noProof/>
        </w:rPr>
        <w:fldChar w:fldCharType="begin"/>
      </w:r>
      <w:r w:rsidR="005A7E31">
        <w:rPr>
          <w:noProof/>
        </w:rPr>
        <w:instrText xml:space="preserve"> STYLEREF 1 \s </w:instrText>
      </w:r>
      <w:r w:rsidR="005A7E31">
        <w:rPr>
          <w:noProof/>
        </w:rPr>
        <w:fldChar w:fldCharType="separate"/>
      </w:r>
      <w:r w:rsidR="00154150">
        <w:rPr>
          <w:noProof/>
        </w:rPr>
        <w:t>5</w:t>
      </w:r>
      <w:r w:rsidR="005A7E31">
        <w:rPr>
          <w:noProof/>
        </w:rPr>
        <w:fldChar w:fldCharType="end"/>
      </w:r>
      <w:r w:rsidR="00C3092A">
        <w:noBreakHyphen/>
      </w:r>
      <w:r w:rsidR="005A7E31">
        <w:rPr>
          <w:noProof/>
        </w:rPr>
        <w:fldChar w:fldCharType="begin"/>
      </w:r>
      <w:r w:rsidR="005A7E31">
        <w:rPr>
          <w:noProof/>
        </w:rPr>
        <w:instrText xml:space="preserve"> SEQ Slika \* ARABIC \s 1 </w:instrText>
      </w:r>
      <w:r w:rsidR="005A7E31">
        <w:rPr>
          <w:noProof/>
        </w:rPr>
        <w:fldChar w:fldCharType="separate"/>
      </w:r>
      <w:r w:rsidR="00154150">
        <w:rPr>
          <w:noProof/>
        </w:rPr>
        <w:t>2</w:t>
      </w:r>
      <w:r w:rsidR="005A7E31">
        <w:rPr>
          <w:noProof/>
        </w:rPr>
        <w:fldChar w:fldCharType="end"/>
      </w:r>
      <w:r w:rsidRPr="00F817AC">
        <w:rPr>
          <w:szCs w:val="20"/>
        </w:rPr>
        <w:t>.</w:t>
      </w:r>
      <w:bookmarkEnd w:id="574"/>
      <w:r w:rsidRPr="00F817AC">
        <w:rPr>
          <w:szCs w:val="20"/>
        </w:rPr>
        <w:t xml:space="preserve"> </w:t>
      </w:r>
      <w:r w:rsidRPr="0030751A">
        <w:rPr>
          <w:szCs w:val="20"/>
        </w:rPr>
        <w:t>Projekcije emisija stakleničkih za scenarij s postojećim mjerama i scenarij s dodatnim mjerama</w:t>
      </w:r>
      <w:r w:rsidRPr="0030751A" w:rsidDel="0030751A">
        <w:rPr>
          <w:szCs w:val="20"/>
        </w:rPr>
        <w:t xml:space="preserve"> </w:t>
      </w:r>
      <w:r>
        <w:rPr>
          <w:szCs w:val="20"/>
        </w:rPr>
        <w:t>– ne-energetski izvori</w:t>
      </w:r>
      <w:bookmarkEnd w:id="575"/>
    </w:p>
    <w:p w14:paraId="7C2F651A" w14:textId="2844C0AF" w:rsidR="00D555C4" w:rsidRDefault="00D555C4" w:rsidP="00D555C4">
      <w:r>
        <w:t>Potencijal dodatnih mj</w:t>
      </w:r>
      <w:r w:rsidR="00154150">
        <w:t>a</w:t>
      </w:r>
      <w:r>
        <w:t>era smanjenj</w:t>
      </w:r>
      <w:r w:rsidR="00805903">
        <w:t>a</w:t>
      </w:r>
      <w:r>
        <w:t xml:space="preserve"> emisij</w:t>
      </w:r>
      <w:r w:rsidR="00805903">
        <w:t>a</w:t>
      </w:r>
      <w:r>
        <w:t xml:space="preserve"> </w:t>
      </w:r>
      <w:r w:rsidR="005D74CD">
        <w:t>za</w:t>
      </w:r>
      <w:r>
        <w:t xml:space="preserve"> </w:t>
      </w:r>
      <w:r w:rsidR="005D74CD">
        <w:t>ne-</w:t>
      </w:r>
      <w:r>
        <w:t>energetsk</w:t>
      </w:r>
      <w:r w:rsidR="005D74CD">
        <w:t>e</w:t>
      </w:r>
      <w:r>
        <w:t xml:space="preserve"> sektor</w:t>
      </w:r>
      <w:r w:rsidR="005D74CD">
        <w:t>e</w:t>
      </w:r>
      <w:r>
        <w:t xml:space="preserve"> prikaz</w:t>
      </w:r>
      <w:r w:rsidR="00C01B98">
        <w:t xml:space="preserve">uje </w:t>
      </w:r>
      <w:r w:rsidR="00C01B98">
        <w:fldChar w:fldCharType="begin"/>
      </w:r>
      <w:r w:rsidR="00C01B98">
        <w:instrText xml:space="preserve"> REF _Ref531872549 \h </w:instrText>
      </w:r>
      <w:r w:rsidR="00C01B98">
        <w:fldChar w:fldCharType="separate"/>
      </w:r>
      <w:r w:rsidR="00154150">
        <w:t xml:space="preserve">Tablica </w:t>
      </w:r>
      <w:r w:rsidR="00154150">
        <w:rPr>
          <w:noProof/>
        </w:rPr>
        <w:t>5</w:t>
      </w:r>
      <w:r w:rsidR="00154150">
        <w:t>–</w:t>
      </w:r>
      <w:r w:rsidR="00154150">
        <w:rPr>
          <w:noProof/>
        </w:rPr>
        <w:t>2</w:t>
      </w:r>
      <w:r w:rsidR="00154150">
        <w:t>.:</w:t>
      </w:r>
      <w:r w:rsidR="00C01B98">
        <w:fldChar w:fldCharType="end"/>
      </w:r>
      <w:r w:rsidR="004F3D0B">
        <w:t xml:space="preserve">, a predstavlja </w:t>
      </w:r>
      <w:r w:rsidR="00071A30">
        <w:t>razliku emisija stakleničkih plinova</w:t>
      </w:r>
      <w:r w:rsidR="00874395">
        <w:t xml:space="preserve"> scenarija NUR i NU1.</w:t>
      </w:r>
    </w:p>
    <w:p w14:paraId="69C26C4F" w14:textId="7EFB692F" w:rsidR="005D74CD" w:rsidRDefault="005D74CD">
      <w:pPr>
        <w:pStyle w:val="Caption"/>
        <w:keepNext/>
      </w:pPr>
      <w:bookmarkStart w:id="576" w:name="_Ref531872549"/>
      <w:bookmarkStart w:id="577" w:name="_Toc27396231"/>
      <w:r>
        <w:t xml:space="preserve">Tablica </w:t>
      </w:r>
      <w:fldSimple w:instr=" STYLEREF 1 \s ">
        <w:r w:rsidR="00154150">
          <w:rPr>
            <w:noProof/>
          </w:rPr>
          <w:t>5</w:t>
        </w:r>
      </w:fldSimple>
      <w:r w:rsidR="00562DF0">
        <w:t>–</w:t>
      </w:r>
      <w:fldSimple w:instr=" SEQ Tablica \* ARABIC \s 1 ">
        <w:r w:rsidR="00154150">
          <w:rPr>
            <w:noProof/>
          </w:rPr>
          <w:t>2</w:t>
        </w:r>
      </w:fldSimple>
      <w:r w:rsidR="00C91927">
        <w:t>.</w:t>
      </w:r>
      <w:r>
        <w:t>:</w:t>
      </w:r>
      <w:bookmarkEnd w:id="576"/>
      <w:r>
        <w:t xml:space="preserve"> </w:t>
      </w:r>
      <w:r w:rsidRPr="003442A3">
        <w:t>Potencijal smanjenja emisij</w:t>
      </w:r>
      <w:r>
        <w:t>e stakleničkih plinova</w:t>
      </w:r>
      <w:r w:rsidRPr="003442A3">
        <w:t xml:space="preserve"> dodatni</w:t>
      </w:r>
      <w:r w:rsidR="00165156">
        <w:t>h</w:t>
      </w:r>
      <w:r w:rsidRPr="003442A3">
        <w:t xml:space="preserve"> mjera</w:t>
      </w:r>
      <w:r w:rsidR="00165156">
        <w:t>,</w:t>
      </w:r>
      <w:r>
        <w:t xml:space="preserve"> </w:t>
      </w:r>
      <w:r w:rsidR="0078674D">
        <w:t>ne-</w:t>
      </w:r>
      <w:r>
        <w:t>energetsk</w:t>
      </w:r>
      <w:r w:rsidR="00165156">
        <w:t>i</w:t>
      </w:r>
      <w:r>
        <w:t xml:space="preserve"> izvor</w:t>
      </w:r>
      <w:r w:rsidR="00165156">
        <w:t>i</w:t>
      </w:r>
      <w:bookmarkEnd w:id="577"/>
    </w:p>
    <w:tbl>
      <w:tblPr>
        <w:tblW w:w="9209" w:type="dxa"/>
        <w:tblLayout w:type="fixed"/>
        <w:tblLook w:val="04A0" w:firstRow="1" w:lastRow="0" w:firstColumn="1" w:lastColumn="0" w:noHBand="0" w:noVBand="1"/>
      </w:tblPr>
      <w:tblGrid>
        <w:gridCol w:w="4106"/>
        <w:gridCol w:w="1275"/>
        <w:gridCol w:w="1276"/>
        <w:gridCol w:w="1276"/>
        <w:gridCol w:w="1276"/>
      </w:tblGrid>
      <w:tr w:rsidR="005D74CD" w:rsidRPr="00530D21" w14:paraId="13614D87" w14:textId="77777777" w:rsidTr="00725326">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62C20A5C" w14:textId="77777777" w:rsidR="005D74CD" w:rsidRPr="00530D21" w:rsidRDefault="005D74CD" w:rsidP="00725326">
            <w:pPr>
              <w:keepNext/>
              <w:suppressAutoHyphens w:val="0"/>
              <w:spacing w:before="60" w:after="60" w:line="240" w:lineRule="auto"/>
              <w:jc w:val="left"/>
              <w:rPr>
                <w:rFonts w:cs="Arial"/>
                <w:b/>
                <w:bCs/>
                <w:sz w:val="20"/>
                <w:szCs w:val="20"/>
              </w:rPr>
            </w:pPr>
            <w:r>
              <w:rPr>
                <w:rFonts w:cs="Arial"/>
                <w:b/>
                <w:bCs/>
                <w:sz w:val="20"/>
                <w:szCs w:val="20"/>
              </w:rPr>
              <w:t>S</w:t>
            </w:r>
            <w:r w:rsidRPr="00530D21">
              <w:rPr>
                <w:rFonts w:cs="Arial"/>
                <w:b/>
                <w:bCs/>
                <w:sz w:val="20"/>
                <w:szCs w:val="20"/>
              </w:rPr>
              <w:t>manjenj</w:t>
            </w:r>
            <w:r>
              <w:rPr>
                <w:rFonts w:cs="Arial"/>
                <w:b/>
                <w:bCs/>
                <w:sz w:val="20"/>
                <w:szCs w:val="20"/>
              </w:rPr>
              <w:t>e</w:t>
            </w:r>
            <w:r w:rsidRPr="00530D21">
              <w:rPr>
                <w:rFonts w:cs="Arial"/>
                <w:b/>
                <w:bCs/>
                <w:sz w:val="20"/>
                <w:szCs w:val="20"/>
              </w:rPr>
              <w:t xml:space="preserve"> emisij</w:t>
            </w:r>
            <w:r>
              <w:rPr>
                <w:rFonts w:cs="Arial"/>
                <w:b/>
                <w:bCs/>
                <w:sz w:val="20"/>
                <w:szCs w:val="20"/>
              </w:rPr>
              <w:t>e CO</w:t>
            </w:r>
            <w:r w:rsidRPr="00E07206">
              <w:rPr>
                <w:rFonts w:cs="Arial"/>
                <w:b/>
                <w:bCs/>
                <w:sz w:val="20"/>
                <w:szCs w:val="20"/>
                <w:vertAlign w:val="subscript"/>
              </w:rPr>
              <w:t>2</w:t>
            </w:r>
            <w:r>
              <w:rPr>
                <w:rFonts w:cs="Arial"/>
                <w:b/>
                <w:bCs/>
                <w:sz w:val="20"/>
                <w:szCs w:val="20"/>
              </w:rPr>
              <w:t>e</w:t>
            </w:r>
            <w:r w:rsidRPr="00530D21">
              <w:rPr>
                <w:rFonts w:cs="Arial"/>
                <w:b/>
                <w:bCs/>
                <w:sz w:val="20"/>
                <w:szCs w:val="20"/>
              </w:rPr>
              <w:t xml:space="preserve"> (kt)</w:t>
            </w:r>
          </w:p>
        </w:tc>
        <w:tc>
          <w:tcPr>
            <w:tcW w:w="127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9144855" w14:textId="77777777" w:rsidR="005D74CD" w:rsidRPr="00DB7DF8" w:rsidRDefault="005D74CD" w:rsidP="00725326">
            <w:pPr>
              <w:keepNext/>
              <w:suppressAutoHyphens w:val="0"/>
              <w:spacing w:before="60" w:after="60" w:line="240" w:lineRule="auto"/>
              <w:jc w:val="right"/>
              <w:rPr>
                <w:rFonts w:cs="Arial"/>
                <w:b/>
                <w:sz w:val="20"/>
                <w:szCs w:val="20"/>
              </w:rPr>
            </w:pPr>
            <w:r w:rsidRPr="00DB7DF8">
              <w:rPr>
                <w:rFonts w:cs="Arial"/>
                <w:b/>
                <w:sz w:val="20"/>
                <w:szCs w:val="20"/>
              </w:rPr>
              <w:t>2025.</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A27C7B6" w14:textId="77777777" w:rsidR="005D74CD" w:rsidRPr="00DB7DF8" w:rsidRDefault="005D74CD" w:rsidP="00725326">
            <w:pPr>
              <w:keepNext/>
              <w:suppressAutoHyphens w:val="0"/>
              <w:spacing w:before="60" w:after="60" w:line="240" w:lineRule="auto"/>
              <w:jc w:val="right"/>
              <w:rPr>
                <w:rFonts w:cs="Arial"/>
                <w:b/>
                <w:sz w:val="20"/>
                <w:szCs w:val="20"/>
              </w:rPr>
            </w:pPr>
            <w:r w:rsidRPr="00DB7DF8">
              <w:rPr>
                <w:rFonts w:cs="Arial"/>
                <w:b/>
                <w:sz w:val="20"/>
                <w:szCs w:val="20"/>
              </w:rPr>
              <w:t>2030.</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3255AFF" w14:textId="77777777" w:rsidR="005D74CD" w:rsidRPr="00DB7DF8" w:rsidRDefault="005D74CD" w:rsidP="00725326">
            <w:pPr>
              <w:keepNext/>
              <w:suppressAutoHyphens w:val="0"/>
              <w:spacing w:before="60" w:after="60" w:line="240" w:lineRule="auto"/>
              <w:jc w:val="right"/>
              <w:rPr>
                <w:rFonts w:cs="Arial"/>
                <w:b/>
                <w:sz w:val="20"/>
                <w:szCs w:val="20"/>
              </w:rPr>
            </w:pPr>
            <w:r w:rsidRPr="00DB7DF8">
              <w:rPr>
                <w:rFonts w:cs="Arial"/>
                <w:b/>
                <w:sz w:val="20"/>
                <w:szCs w:val="20"/>
              </w:rPr>
              <w:t>2035.</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B20C639" w14:textId="77777777" w:rsidR="005D74CD" w:rsidRPr="00DB7DF8" w:rsidRDefault="005D74CD" w:rsidP="00725326">
            <w:pPr>
              <w:keepNext/>
              <w:suppressAutoHyphens w:val="0"/>
              <w:spacing w:before="60" w:after="60" w:line="240" w:lineRule="auto"/>
              <w:jc w:val="right"/>
              <w:rPr>
                <w:rFonts w:cs="Arial"/>
                <w:b/>
                <w:sz w:val="20"/>
                <w:szCs w:val="20"/>
              </w:rPr>
            </w:pPr>
            <w:r w:rsidRPr="00DB7DF8">
              <w:rPr>
                <w:rFonts w:cs="Arial"/>
                <w:b/>
                <w:sz w:val="20"/>
                <w:szCs w:val="20"/>
              </w:rPr>
              <w:t>2040.</w:t>
            </w:r>
          </w:p>
        </w:tc>
      </w:tr>
      <w:tr w:rsidR="00BB6DBB" w:rsidRPr="00530D21" w14:paraId="5FB38D91" w14:textId="77777777" w:rsidTr="00840E2E">
        <w:trPr>
          <w:trHeight w:val="255"/>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A3BB04" w14:textId="77777777" w:rsidR="00BB6DBB" w:rsidRPr="00840E2E" w:rsidRDefault="00BB6DBB" w:rsidP="00840E2E">
            <w:pPr>
              <w:keepNext/>
              <w:spacing w:before="40" w:after="40" w:line="240" w:lineRule="auto"/>
              <w:jc w:val="left"/>
              <w:rPr>
                <w:rFonts w:cs="Arial"/>
                <w:sz w:val="20"/>
                <w:szCs w:val="20"/>
              </w:rPr>
            </w:pPr>
            <w:r w:rsidRPr="00840E2E">
              <w:rPr>
                <w:rFonts w:cs="Arial"/>
                <w:sz w:val="20"/>
                <w:szCs w:val="20"/>
              </w:rPr>
              <w:t>Industrijski procesi</w:t>
            </w:r>
          </w:p>
          <w:p w14:paraId="16E7FF33" w14:textId="5F918F8A" w:rsidR="00BB6DBB" w:rsidRPr="00E873ED" w:rsidRDefault="00BB6DBB" w:rsidP="00840E2E">
            <w:pPr>
              <w:keepNext/>
              <w:suppressAutoHyphens w:val="0"/>
              <w:spacing w:before="40" w:after="40" w:line="240" w:lineRule="auto"/>
              <w:jc w:val="left"/>
              <w:rPr>
                <w:rFonts w:cs="Arial"/>
                <w:sz w:val="20"/>
                <w:szCs w:val="20"/>
              </w:rPr>
            </w:pPr>
          </w:p>
        </w:tc>
        <w:tc>
          <w:tcPr>
            <w:tcW w:w="1275" w:type="dxa"/>
            <w:tcBorders>
              <w:top w:val="nil"/>
              <w:left w:val="nil"/>
              <w:bottom w:val="single" w:sz="4" w:space="0" w:color="auto"/>
              <w:right w:val="single" w:sz="4" w:space="0" w:color="auto"/>
            </w:tcBorders>
            <w:shd w:val="clear" w:color="auto" w:fill="auto"/>
            <w:noWrap/>
            <w:vAlign w:val="center"/>
            <w:hideMark/>
          </w:tcPr>
          <w:p w14:paraId="5D36021F" w14:textId="6E3C97F8" w:rsidR="00BB6DBB" w:rsidRPr="00906E22" w:rsidRDefault="00F02C7B" w:rsidP="00906E22">
            <w:pPr>
              <w:keepNext/>
              <w:suppressAutoHyphens w:val="0"/>
              <w:spacing w:before="0" w:after="0" w:line="240" w:lineRule="auto"/>
              <w:jc w:val="right"/>
              <w:rPr>
                <w:rFonts w:cs="Arial"/>
                <w:sz w:val="20"/>
                <w:szCs w:val="20"/>
              </w:rPr>
            </w:pPr>
            <w:r>
              <w:rPr>
                <w:sz w:val="20"/>
                <w:szCs w:val="20"/>
              </w:rPr>
              <w:t>163</w:t>
            </w:r>
          </w:p>
        </w:tc>
        <w:tc>
          <w:tcPr>
            <w:tcW w:w="1276" w:type="dxa"/>
            <w:tcBorders>
              <w:top w:val="nil"/>
              <w:left w:val="nil"/>
              <w:bottom w:val="single" w:sz="4" w:space="0" w:color="auto"/>
              <w:right w:val="single" w:sz="4" w:space="0" w:color="auto"/>
            </w:tcBorders>
            <w:shd w:val="clear" w:color="auto" w:fill="auto"/>
            <w:noWrap/>
            <w:vAlign w:val="center"/>
            <w:hideMark/>
          </w:tcPr>
          <w:p w14:paraId="7BFC3ABF" w14:textId="259EED8C" w:rsidR="00BB6DBB" w:rsidRPr="00906E22" w:rsidRDefault="00F02C7B" w:rsidP="00906E22">
            <w:pPr>
              <w:keepNext/>
              <w:suppressAutoHyphens w:val="0"/>
              <w:spacing w:before="0" w:after="0" w:line="240" w:lineRule="auto"/>
              <w:jc w:val="right"/>
              <w:rPr>
                <w:rFonts w:cs="Arial"/>
                <w:sz w:val="20"/>
                <w:szCs w:val="20"/>
              </w:rPr>
            </w:pPr>
            <w:r>
              <w:rPr>
                <w:sz w:val="20"/>
                <w:szCs w:val="20"/>
              </w:rPr>
              <w:t>155</w:t>
            </w:r>
          </w:p>
        </w:tc>
        <w:tc>
          <w:tcPr>
            <w:tcW w:w="1276" w:type="dxa"/>
            <w:tcBorders>
              <w:top w:val="nil"/>
              <w:left w:val="nil"/>
              <w:bottom w:val="single" w:sz="4" w:space="0" w:color="auto"/>
              <w:right w:val="single" w:sz="4" w:space="0" w:color="auto"/>
            </w:tcBorders>
            <w:shd w:val="clear" w:color="auto" w:fill="auto"/>
            <w:noWrap/>
            <w:vAlign w:val="center"/>
            <w:hideMark/>
          </w:tcPr>
          <w:p w14:paraId="1666A946" w14:textId="5D0BCF6D" w:rsidR="00BB6DBB" w:rsidRPr="00906E22" w:rsidRDefault="00F02C7B" w:rsidP="00906E22">
            <w:pPr>
              <w:keepNext/>
              <w:suppressAutoHyphens w:val="0"/>
              <w:spacing w:before="0" w:after="0" w:line="240" w:lineRule="auto"/>
              <w:jc w:val="right"/>
              <w:rPr>
                <w:rFonts w:cs="Arial"/>
                <w:sz w:val="20"/>
                <w:szCs w:val="20"/>
              </w:rPr>
            </w:pPr>
            <w:r>
              <w:rPr>
                <w:sz w:val="20"/>
                <w:szCs w:val="20"/>
              </w:rPr>
              <w:t>239</w:t>
            </w:r>
          </w:p>
        </w:tc>
        <w:tc>
          <w:tcPr>
            <w:tcW w:w="1276" w:type="dxa"/>
            <w:tcBorders>
              <w:top w:val="nil"/>
              <w:left w:val="nil"/>
              <w:bottom w:val="single" w:sz="4" w:space="0" w:color="auto"/>
              <w:right w:val="single" w:sz="4" w:space="0" w:color="auto"/>
            </w:tcBorders>
            <w:shd w:val="clear" w:color="auto" w:fill="auto"/>
            <w:noWrap/>
            <w:vAlign w:val="center"/>
            <w:hideMark/>
          </w:tcPr>
          <w:p w14:paraId="7B78ADE1" w14:textId="292171F3" w:rsidR="00BB6DBB" w:rsidRPr="00906E22" w:rsidRDefault="00F02C7B" w:rsidP="00906E22">
            <w:pPr>
              <w:keepNext/>
              <w:suppressAutoHyphens w:val="0"/>
              <w:spacing w:before="0" w:after="0" w:line="240" w:lineRule="auto"/>
              <w:jc w:val="right"/>
              <w:rPr>
                <w:rFonts w:cs="Arial"/>
                <w:sz w:val="20"/>
                <w:szCs w:val="20"/>
              </w:rPr>
            </w:pPr>
            <w:r>
              <w:rPr>
                <w:sz w:val="20"/>
                <w:szCs w:val="20"/>
              </w:rPr>
              <w:t>323</w:t>
            </w:r>
          </w:p>
        </w:tc>
      </w:tr>
      <w:tr w:rsidR="003C0F68" w:rsidRPr="00530D21" w14:paraId="34EDDAF5" w14:textId="77777777" w:rsidTr="00840E2E">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AE532" w14:textId="66084371" w:rsidR="003C0F68" w:rsidRPr="00EC5EF3" w:rsidRDefault="003C0F68" w:rsidP="00840E2E">
            <w:pPr>
              <w:keepNext/>
              <w:spacing w:before="40" w:after="40" w:line="240" w:lineRule="auto"/>
              <w:jc w:val="left"/>
              <w:rPr>
                <w:rFonts w:cs="Arial"/>
                <w:sz w:val="20"/>
                <w:szCs w:val="20"/>
              </w:rPr>
            </w:pPr>
            <w:r w:rsidRPr="00840E2E">
              <w:rPr>
                <w:rFonts w:cs="Arial"/>
                <w:sz w:val="20"/>
                <w:szCs w:val="20"/>
              </w:rPr>
              <w:t>Poljoprivreda</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24769C3" w14:textId="661037CA" w:rsidR="003C0F68" w:rsidRPr="00906E22" w:rsidRDefault="00F02C7B" w:rsidP="00906E22">
            <w:pPr>
              <w:keepNext/>
              <w:suppressAutoHyphens w:val="0"/>
              <w:spacing w:before="0" w:after="0" w:line="240" w:lineRule="auto"/>
              <w:jc w:val="right"/>
              <w:rPr>
                <w:rFonts w:cs="Arial"/>
                <w:sz w:val="20"/>
                <w:szCs w:val="20"/>
              </w:rPr>
            </w:pPr>
            <w:r>
              <w:rPr>
                <w:sz w:val="20"/>
                <w:szCs w:val="20"/>
              </w:rPr>
              <w:t>118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B112F8" w14:textId="1739363F" w:rsidR="003C0F68" w:rsidRPr="00906E22" w:rsidRDefault="00F02C7B" w:rsidP="00906E22">
            <w:pPr>
              <w:keepNext/>
              <w:suppressAutoHyphens w:val="0"/>
              <w:spacing w:before="0" w:after="0" w:line="240" w:lineRule="auto"/>
              <w:jc w:val="right"/>
              <w:rPr>
                <w:rFonts w:cs="Arial"/>
                <w:sz w:val="20"/>
                <w:szCs w:val="20"/>
              </w:rPr>
            </w:pPr>
            <w:r>
              <w:rPr>
                <w:sz w:val="20"/>
                <w:szCs w:val="20"/>
              </w:rPr>
              <w:t>162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315F42" w14:textId="08E2DE04" w:rsidR="003C0F68" w:rsidRPr="00906E22" w:rsidRDefault="00F02C7B" w:rsidP="00906E22">
            <w:pPr>
              <w:keepNext/>
              <w:suppressAutoHyphens w:val="0"/>
              <w:spacing w:before="0" w:after="0" w:line="240" w:lineRule="auto"/>
              <w:jc w:val="right"/>
              <w:rPr>
                <w:rFonts w:cs="Arial"/>
                <w:sz w:val="20"/>
                <w:szCs w:val="20"/>
              </w:rPr>
            </w:pPr>
            <w:r>
              <w:rPr>
                <w:sz w:val="20"/>
                <w:szCs w:val="20"/>
              </w:rPr>
              <w:t>200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D20230F" w14:textId="026BEBBD" w:rsidR="003C0F68" w:rsidRPr="00906E22" w:rsidRDefault="00F02C7B" w:rsidP="00906E22">
            <w:pPr>
              <w:keepNext/>
              <w:suppressAutoHyphens w:val="0"/>
              <w:spacing w:before="0" w:after="0" w:line="240" w:lineRule="auto"/>
              <w:jc w:val="right"/>
              <w:rPr>
                <w:rFonts w:cs="Arial"/>
                <w:sz w:val="20"/>
                <w:szCs w:val="20"/>
              </w:rPr>
            </w:pPr>
            <w:r w:rsidRPr="00906E22">
              <w:rPr>
                <w:sz w:val="20"/>
                <w:szCs w:val="20"/>
              </w:rPr>
              <w:t>2</w:t>
            </w:r>
            <w:r>
              <w:rPr>
                <w:sz w:val="20"/>
                <w:szCs w:val="20"/>
              </w:rPr>
              <w:t>37</w:t>
            </w:r>
          </w:p>
        </w:tc>
      </w:tr>
      <w:tr w:rsidR="00897090" w:rsidRPr="00530D21" w14:paraId="1B71A5D4" w14:textId="77777777" w:rsidTr="00840E2E">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5BA27" w14:textId="5D1FAF25" w:rsidR="00897090" w:rsidRPr="00840E2E" w:rsidRDefault="00190377" w:rsidP="00840E2E">
            <w:pPr>
              <w:keepNext/>
              <w:spacing w:before="40" w:after="40" w:line="240" w:lineRule="auto"/>
              <w:jc w:val="left"/>
              <w:rPr>
                <w:rFonts w:cs="Arial"/>
                <w:sz w:val="20"/>
                <w:szCs w:val="20"/>
              </w:rPr>
            </w:pPr>
            <w:r w:rsidRPr="00840E2E">
              <w:rPr>
                <w:rFonts w:cs="Arial"/>
                <w:sz w:val="20"/>
                <w:szCs w:val="20"/>
              </w:rPr>
              <w:t>Otpad</w:t>
            </w:r>
            <w:r w:rsidR="00D2689D" w:rsidRPr="00840E2E">
              <w:rPr>
                <w:rFonts w:cs="Arial"/>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4F33925" w14:textId="25D1758A" w:rsidR="00897090" w:rsidRPr="00840E2E" w:rsidRDefault="00906E22" w:rsidP="00906E22">
            <w:pPr>
              <w:keepNext/>
              <w:suppressAutoHyphens w:val="0"/>
              <w:spacing w:before="0" w:after="0" w:line="240" w:lineRule="auto"/>
              <w:jc w:val="right"/>
              <w:rPr>
                <w:rFonts w:cs="Arial"/>
                <w:sz w:val="20"/>
                <w:szCs w:val="20"/>
              </w:rPr>
            </w:pPr>
            <w:r w:rsidRPr="00840E2E">
              <w:rPr>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E40527" w14:textId="0FD2CF0C" w:rsidR="00897090" w:rsidRPr="00840E2E" w:rsidRDefault="00906E22" w:rsidP="00906E22">
            <w:pPr>
              <w:keepNext/>
              <w:suppressAutoHyphens w:val="0"/>
              <w:spacing w:before="0" w:after="0" w:line="240" w:lineRule="auto"/>
              <w:jc w:val="right"/>
              <w:rPr>
                <w:rFonts w:cs="Arial"/>
                <w:sz w:val="20"/>
                <w:szCs w:val="20"/>
              </w:rPr>
            </w:pPr>
            <w:r w:rsidRPr="00840E2E">
              <w:rPr>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3A6724C" w14:textId="170A08C3" w:rsidR="00897090" w:rsidRPr="00840E2E" w:rsidRDefault="00906E22" w:rsidP="00906E22">
            <w:pPr>
              <w:keepNext/>
              <w:suppressAutoHyphens w:val="0"/>
              <w:spacing w:before="0" w:after="0" w:line="240" w:lineRule="auto"/>
              <w:jc w:val="right"/>
              <w:rPr>
                <w:rFonts w:cs="Arial"/>
                <w:sz w:val="20"/>
                <w:szCs w:val="20"/>
              </w:rPr>
            </w:pPr>
            <w:r w:rsidRPr="00840E2E">
              <w:rPr>
                <w:sz w:val="20"/>
                <w:szCs w:val="20"/>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7BB23C" w14:textId="29D63115" w:rsidR="00897090" w:rsidRPr="00840E2E" w:rsidRDefault="00906E22" w:rsidP="00906E22">
            <w:pPr>
              <w:keepNext/>
              <w:suppressAutoHyphens w:val="0"/>
              <w:spacing w:before="0" w:after="0" w:line="240" w:lineRule="auto"/>
              <w:jc w:val="right"/>
              <w:rPr>
                <w:rFonts w:cs="Arial"/>
                <w:sz w:val="20"/>
                <w:szCs w:val="20"/>
              </w:rPr>
            </w:pPr>
            <w:r w:rsidRPr="00840E2E">
              <w:rPr>
                <w:sz w:val="20"/>
                <w:szCs w:val="20"/>
              </w:rPr>
              <w:t>0</w:t>
            </w:r>
          </w:p>
        </w:tc>
      </w:tr>
      <w:tr w:rsidR="00906E22" w:rsidRPr="00530D21" w14:paraId="13489330" w14:textId="77777777" w:rsidTr="00906E22">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A7838" w14:textId="21627777" w:rsidR="00906E22" w:rsidRPr="00DB7DF8" w:rsidRDefault="00906E22" w:rsidP="00840E2E">
            <w:pPr>
              <w:suppressAutoHyphens w:val="0"/>
              <w:spacing w:before="40" w:after="40" w:line="240" w:lineRule="auto"/>
              <w:jc w:val="left"/>
              <w:rPr>
                <w:rFonts w:cs="Arial"/>
                <w:b/>
                <w:sz w:val="20"/>
                <w:szCs w:val="20"/>
              </w:rPr>
            </w:pPr>
            <w:r>
              <w:rPr>
                <w:rFonts w:cs="Arial"/>
                <w:b/>
                <w:sz w:val="20"/>
                <w:szCs w:val="20"/>
              </w:rPr>
              <w:t>P</w:t>
            </w:r>
            <w:r w:rsidRPr="00DB7DF8">
              <w:rPr>
                <w:rFonts w:cs="Arial"/>
                <w:b/>
                <w:sz w:val="20"/>
                <w:szCs w:val="20"/>
              </w:rPr>
              <w:t>otencijal smanjenja emisije</w:t>
            </w:r>
            <w:r>
              <w:rPr>
                <w:rFonts w:cs="Arial"/>
                <w:b/>
                <w:sz w:val="20"/>
                <w:szCs w:val="20"/>
              </w:rPr>
              <w:t xml:space="preserve"> – ne-energetski izvori</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102EC24" w14:textId="238F07A5" w:rsidR="00906E22" w:rsidRPr="00906E22" w:rsidDel="00B670F5" w:rsidRDefault="00F02C7B" w:rsidP="00906E22">
            <w:pPr>
              <w:suppressAutoHyphens w:val="0"/>
              <w:spacing w:before="0" w:after="0" w:line="240" w:lineRule="auto"/>
              <w:jc w:val="right"/>
              <w:rPr>
                <w:b/>
                <w:bCs/>
                <w:sz w:val="20"/>
                <w:szCs w:val="20"/>
              </w:rPr>
            </w:pPr>
            <w:r w:rsidRPr="00906E22">
              <w:rPr>
                <w:b/>
                <w:bCs/>
                <w:sz w:val="20"/>
                <w:szCs w:val="20"/>
              </w:rPr>
              <w:t>2</w:t>
            </w:r>
            <w:r>
              <w:rPr>
                <w:b/>
                <w:bCs/>
                <w:sz w:val="20"/>
                <w:szCs w:val="20"/>
              </w:rPr>
              <w:t>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29D4DB" w14:textId="4124F951" w:rsidR="00906E22" w:rsidRPr="00906E22" w:rsidDel="00B670F5" w:rsidRDefault="00F02C7B" w:rsidP="00906E22">
            <w:pPr>
              <w:suppressAutoHyphens w:val="0"/>
              <w:spacing w:before="0" w:after="0" w:line="240" w:lineRule="auto"/>
              <w:jc w:val="right"/>
              <w:rPr>
                <w:b/>
                <w:bCs/>
                <w:sz w:val="20"/>
                <w:szCs w:val="20"/>
              </w:rPr>
            </w:pPr>
            <w:r>
              <w:rPr>
                <w:b/>
                <w:bCs/>
                <w:sz w:val="20"/>
                <w:szCs w:val="20"/>
              </w:rPr>
              <w:t>316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D79CBE" w14:textId="427D70FE" w:rsidR="00906E22" w:rsidRPr="00906E22" w:rsidDel="00B670F5" w:rsidRDefault="00F02C7B" w:rsidP="00906E22">
            <w:pPr>
              <w:suppressAutoHyphens w:val="0"/>
              <w:spacing w:before="0" w:after="0" w:line="240" w:lineRule="auto"/>
              <w:jc w:val="right"/>
              <w:rPr>
                <w:b/>
                <w:bCs/>
                <w:sz w:val="20"/>
                <w:szCs w:val="20"/>
              </w:rPr>
            </w:pPr>
            <w:r>
              <w:rPr>
                <w:b/>
                <w:bCs/>
                <w:sz w:val="20"/>
                <w:szCs w:val="20"/>
              </w:rPr>
              <w:t>439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5A4EDEE" w14:textId="49E0437B" w:rsidR="00906E22" w:rsidRPr="00906E22" w:rsidDel="00B670F5" w:rsidRDefault="00F02C7B" w:rsidP="00906E22">
            <w:pPr>
              <w:suppressAutoHyphens w:val="0"/>
              <w:spacing w:before="0" w:after="0" w:line="240" w:lineRule="auto"/>
              <w:jc w:val="right"/>
              <w:rPr>
                <w:b/>
                <w:bCs/>
                <w:sz w:val="20"/>
                <w:szCs w:val="20"/>
              </w:rPr>
            </w:pPr>
            <w:r>
              <w:rPr>
                <w:b/>
                <w:bCs/>
                <w:sz w:val="20"/>
                <w:szCs w:val="20"/>
              </w:rPr>
              <w:t>5</w:t>
            </w:r>
            <w:r w:rsidR="0039177A">
              <w:rPr>
                <w:b/>
                <w:bCs/>
                <w:sz w:val="20"/>
                <w:szCs w:val="20"/>
              </w:rPr>
              <w:t>60</w:t>
            </w:r>
          </w:p>
        </w:tc>
      </w:tr>
    </w:tbl>
    <w:p w14:paraId="6D9A2229" w14:textId="6C93B209" w:rsidR="00F62709" w:rsidRPr="00840E2E" w:rsidRDefault="00D2689D" w:rsidP="00840E2E">
      <w:pPr>
        <w:spacing w:before="120"/>
        <w:rPr>
          <w:sz w:val="16"/>
          <w:szCs w:val="16"/>
        </w:rPr>
      </w:pPr>
      <w:r>
        <w:rPr>
          <w:sz w:val="16"/>
          <w:szCs w:val="16"/>
        </w:rPr>
        <w:t xml:space="preserve">* - </w:t>
      </w:r>
      <w:r w:rsidR="00F62709" w:rsidRPr="00840E2E">
        <w:rPr>
          <w:sz w:val="16"/>
          <w:szCs w:val="16"/>
        </w:rPr>
        <w:t>Scenariji NU1 jednak je scenariju NUR</w:t>
      </w:r>
      <w:r w:rsidR="00E873ED">
        <w:rPr>
          <w:sz w:val="16"/>
          <w:szCs w:val="16"/>
        </w:rPr>
        <w:t xml:space="preserve"> za sektor Otpad</w:t>
      </w:r>
      <w:r w:rsidR="00F62709" w:rsidRPr="00840E2E">
        <w:rPr>
          <w:sz w:val="16"/>
          <w:szCs w:val="16"/>
        </w:rPr>
        <w:t>, budući nisu raspoznate dodatne mjere. Oba scenarija uključuju primjenu mjera za smanjenje emisija stakleničkih plinova iz odlaganja krutog otpada</w:t>
      </w:r>
      <w:r w:rsidR="00EC5EF3">
        <w:rPr>
          <w:sz w:val="16"/>
          <w:szCs w:val="16"/>
        </w:rPr>
        <w:t>.</w:t>
      </w:r>
    </w:p>
    <w:p w14:paraId="40504B16" w14:textId="67285D11" w:rsidR="006C4D23" w:rsidRDefault="006C4D23" w:rsidP="006C4D23">
      <w:r w:rsidRPr="0053172A">
        <w:t xml:space="preserve">Ukupne emisije stakleničkih plinova </w:t>
      </w:r>
      <w:r>
        <w:t xml:space="preserve">u Republici Hrvatskoj </w:t>
      </w:r>
      <w:r w:rsidRPr="0053172A">
        <w:t xml:space="preserve">prikazuje </w:t>
      </w:r>
      <w:r w:rsidR="00C01B98">
        <w:fldChar w:fldCharType="begin"/>
      </w:r>
      <w:r w:rsidR="00C01B98">
        <w:instrText xml:space="preserve"> REF _Ref531872591 \h </w:instrText>
      </w:r>
      <w:r w:rsidR="00C01B98">
        <w:fldChar w:fldCharType="separate"/>
      </w:r>
      <w:r w:rsidR="00154150" w:rsidRPr="00C875CC">
        <w:t xml:space="preserve">Slika </w:t>
      </w:r>
      <w:r w:rsidR="00154150">
        <w:rPr>
          <w:noProof/>
        </w:rPr>
        <w:t>5</w:t>
      </w:r>
      <w:r w:rsidR="00154150">
        <w:noBreakHyphen/>
      </w:r>
      <w:r w:rsidR="00154150">
        <w:rPr>
          <w:noProof/>
        </w:rPr>
        <w:t>3</w:t>
      </w:r>
      <w:r w:rsidR="00154150" w:rsidRPr="00C875CC">
        <w:rPr>
          <w:szCs w:val="20"/>
        </w:rPr>
        <w:t>.</w:t>
      </w:r>
      <w:r w:rsidR="00C01B98">
        <w:fldChar w:fldCharType="end"/>
      </w:r>
      <w:r w:rsidRPr="0053172A">
        <w:t xml:space="preserve"> </w:t>
      </w:r>
      <w:r>
        <w:t>P</w:t>
      </w:r>
      <w:r w:rsidRPr="0053172A">
        <w:t xml:space="preserve">rikazan je trend povijesnih emisija i očekivanog smanjenja emisija za scenarij </w:t>
      </w:r>
      <w:r>
        <w:t xml:space="preserve">s postojećim mjerama </w:t>
      </w:r>
      <w:r w:rsidR="00483D4C" w:rsidRPr="00483D4C">
        <w:t>i scenarij s dodatnim mjerama</w:t>
      </w:r>
      <w:r w:rsidRPr="00483D4C">
        <w:t>.</w:t>
      </w:r>
      <w:r w:rsidRPr="0053172A">
        <w:t xml:space="preserve"> </w:t>
      </w:r>
      <w:r w:rsidR="00483D4C" w:rsidRPr="00483D4C">
        <w:t>Emisija stakleničkih plinova bi u 2030. godini bila za 2</w:t>
      </w:r>
      <w:r w:rsidR="00C412F1">
        <w:t>8</w:t>
      </w:r>
      <w:r w:rsidR="00483D4C" w:rsidRPr="00483D4C">
        <w:t>,</w:t>
      </w:r>
      <w:r w:rsidR="00C412F1">
        <w:t>9</w:t>
      </w:r>
      <w:r w:rsidR="00827666">
        <w:t>-3</w:t>
      </w:r>
      <w:r w:rsidR="00C412F1">
        <w:t>3</w:t>
      </w:r>
      <w:r w:rsidR="00827666">
        <w:t>,</w:t>
      </w:r>
      <w:r w:rsidR="00C412F1">
        <w:t>5</w:t>
      </w:r>
      <w:r w:rsidR="002576F7" w:rsidRPr="00483D4C">
        <w:t xml:space="preserve"> </w:t>
      </w:r>
      <w:r w:rsidR="00483D4C" w:rsidRPr="00483D4C">
        <w:t>% manja od razine emisije iz 1990. godine</w:t>
      </w:r>
      <w:r w:rsidRPr="0053172A">
        <w:t>.</w:t>
      </w:r>
    </w:p>
    <w:p w14:paraId="558E8E06" w14:textId="713A4C69" w:rsidR="00483D4C" w:rsidRDefault="00483D4C" w:rsidP="006C4D23">
      <w:r w:rsidRPr="00483D4C">
        <w:t xml:space="preserve">Tijekom 2019. godine </w:t>
      </w:r>
      <w:r>
        <w:t>projekcije emisija iz energetskih i ne-energetskih izvora će se međusobno uskladiti</w:t>
      </w:r>
      <w:r w:rsidRPr="00483D4C">
        <w:t xml:space="preserve"> pa može doći i do korekcija u pogledu projekcija emisija.</w:t>
      </w:r>
    </w:p>
    <w:p w14:paraId="5407698A" w14:textId="391CF5BE" w:rsidR="006C4D23" w:rsidRDefault="00C412F1" w:rsidP="006C4D23">
      <w:pPr>
        <w:jc w:val="center"/>
      </w:pPr>
      <w:r>
        <w:rPr>
          <w:noProof/>
        </w:rPr>
        <w:drawing>
          <wp:inline distT="0" distB="0" distL="0" distR="0" wp14:anchorId="27886CDB" wp14:editId="5A71B359">
            <wp:extent cx="5759532" cy="291240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82892" cy="2924219"/>
                    </a:xfrm>
                    <a:prstGeom prst="rect">
                      <a:avLst/>
                    </a:prstGeom>
                    <a:noFill/>
                  </pic:spPr>
                </pic:pic>
              </a:graphicData>
            </a:graphic>
          </wp:inline>
        </w:drawing>
      </w:r>
    </w:p>
    <w:p w14:paraId="3B68A9E7" w14:textId="1AD7C1F0" w:rsidR="006C4D23" w:rsidRPr="00F817AC" w:rsidRDefault="00C01B98" w:rsidP="00CF2D4C">
      <w:pPr>
        <w:pStyle w:val="Caption"/>
        <w:rPr>
          <w:szCs w:val="20"/>
        </w:rPr>
      </w:pPr>
      <w:bookmarkStart w:id="578" w:name="_Ref531872591"/>
      <w:bookmarkStart w:id="579" w:name="_Toc27396190"/>
      <w:r w:rsidRPr="00C875CC">
        <w:t xml:space="preserve">Slika </w:t>
      </w:r>
      <w:r w:rsidR="00F86B65">
        <w:rPr>
          <w:noProof/>
        </w:rPr>
        <w:fldChar w:fldCharType="begin"/>
      </w:r>
      <w:r w:rsidR="00F86B65">
        <w:rPr>
          <w:noProof/>
        </w:rPr>
        <w:instrText xml:space="preserve"> STYLEREF 1 \s </w:instrText>
      </w:r>
      <w:r w:rsidR="00F86B65">
        <w:rPr>
          <w:noProof/>
        </w:rPr>
        <w:fldChar w:fldCharType="separate"/>
      </w:r>
      <w:r w:rsidR="00154150">
        <w:rPr>
          <w:noProof/>
        </w:rPr>
        <w:t>5</w:t>
      </w:r>
      <w:r w:rsidR="00F86B65">
        <w:rPr>
          <w:noProof/>
        </w:rPr>
        <w:fldChar w:fldCharType="end"/>
      </w:r>
      <w:r w:rsidR="00C3092A">
        <w:noBreakHyphen/>
      </w:r>
      <w:r w:rsidR="00F86B65">
        <w:rPr>
          <w:noProof/>
        </w:rPr>
        <w:fldChar w:fldCharType="begin"/>
      </w:r>
      <w:r w:rsidR="00F86B65">
        <w:rPr>
          <w:noProof/>
        </w:rPr>
        <w:instrText xml:space="preserve"> SEQ Slika \* ARABIC \s 1 </w:instrText>
      </w:r>
      <w:r w:rsidR="00F86B65">
        <w:rPr>
          <w:noProof/>
        </w:rPr>
        <w:fldChar w:fldCharType="separate"/>
      </w:r>
      <w:r w:rsidR="00154150">
        <w:rPr>
          <w:noProof/>
        </w:rPr>
        <w:t>3</w:t>
      </w:r>
      <w:r w:rsidR="00F86B65">
        <w:rPr>
          <w:noProof/>
        </w:rPr>
        <w:fldChar w:fldCharType="end"/>
      </w:r>
      <w:r w:rsidRPr="00C875CC">
        <w:rPr>
          <w:szCs w:val="20"/>
        </w:rPr>
        <w:t>.</w:t>
      </w:r>
      <w:bookmarkEnd w:id="578"/>
      <w:r w:rsidRPr="00C875CC">
        <w:rPr>
          <w:szCs w:val="20"/>
        </w:rPr>
        <w:t xml:space="preserve"> Projekcija ukupnih emisija stakleničkih plinova, za scenarij s postojećim mjerama i</w:t>
      </w:r>
      <w:r w:rsidR="00374BF2" w:rsidRPr="00C875CC">
        <w:rPr>
          <w:szCs w:val="20"/>
        </w:rPr>
        <w:t xml:space="preserve"> </w:t>
      </w:r>
      <w:r w:rsidR="006C4D23" w:rsidRPr="00C875CC">
        <w:rPr>
          <w:szCs w:val="20"/>
        </w:rPr>
        <w:t>scenarij s dodatnim mjerama</w:t>
      </w:r>
      <w:bookmarkEnd w:id="579"/>
    </w:p>
    <w:p w14:paraId="394ADA6F" w14:textId="55E44B15" w:rsidR="006C4D23" w:rsidRDefault="006C4D23" w:rsidP="006C4D23">
      <w:r w:rsidRPr="0053172A">
        <w:t>Republika Hrvatska ovim scenarijima ispunjava obvezu smanjenja emisije stakleničkih plinova iz sektora izvan ETS-a za 2030.</w:t>
      </w:r>
      <w:r w:rsidR="00522272">
        <w:t xml:space="preserve"> (</w:t>
      </w:r>
      <w:r w:rsidR="008F1DD4">
        <w:t>-7 %</w:t>
      </w:r>
      <w:r w:rsidR="00522272">
        <w:t>).</w:t>
      </w:r>
      <w:r w:rsidRPr="0053172A">
        <w:t xml:space="preserve"> Smanjenje emisije iz sektora</w:t>
      </w:r>
      <w:r w:rsidR="00DC24F6">
        <w:t xml:space="preserve"> izvan ETS-a</w:t>
      </w:r>
      <w:r w:rsidRPr="0053172A">
        <w:t xml:space="preserve"> bi iznosilo </w:t>
      </w:r>
      <w:r w:rsidR="001F2770">
        <w:t>1</w:t>
      </w:r>
      <w:r w:rsidR="007775AC">
        <w:t>2</w:t>
      </w:r>
      <w:r w:rsidR="007A2F25">
        <w:t>,</w:t>
      </w:r>
      <w:r w:rsidR="007775AC">
        <w:t>7</w:t>
      </w:r>
      <w:r w:rsidR="00B74066">
        <w:t>-</w:t>
      </w:r>
      <w:r w:rsidR="007775AC">
        <w:t>18</w:t>
      </w:r>
      <w:r w:rsidR="00B74066">
        <w:t>,</w:t>
      </w:r>
      <w:r w:rsidR="007775AC">
        <w:t>5</w:t>
      </w:r>
      <w:r w:rsidR="007156D0" w:rsidRPr="0053172A">
        <w:t xml:space="preserve"> </w:t>
      </w:r>
      <w:r w:rsidRPr="0053172A">
        <w:t xml:space="preserve">% do 2030. godine, u odnosu na emisiju iz 2005. godine </w:t>
      </w:r>
      <w:r w:rsidR="00294E57">
        <w:t>(</w:t>
      </w:r>
      <w:r w:rsidR="00C01B98">
        <w:fldChar w:fldCharType="begin"/>
      </w:r>
      <w:r w:rsidR="00C01B98">
        <w:instrText xml:space="preserve"> REF _Ref531872629 \h </w:instrText>
      </w:r>
      <w:r w:rsidR="00C01B98">
        <w:fldChar w:fldCharType="separate"/>
      </w:r>
      <w:r w:rsidR="00154150" w:rsidRPr="00B74066">
        <w:t xml:space="preserve">Slika </w:t>
      </w:r>
      <w:r w:rsidR="00154150">
        <w:rPr>
          <w:noProof/>
        </w:rPr>
        <w:t>5</w:t>
      </w:r>
      <w:r w:rsidR="00154150">
        <w:noBreakHyphen/>
      </w:r>
      <w:r w:rsidR="00154150">
        <w:rPr>
          <w:noProof/>
        </w:rPr>
        <w:t>4</w:t>
      </w:r>
      <w:r w:rsidR="00154150" w:rsidRPr="00B74066">
        <w:t>.</w:t>
      </w:r>
      <w:r w:rsidR="00C01B98">
        <w:fldChar w:fldCharType="end"/>
      </w:r>
      <w:r w:rsidR="00294E57">
        <w:t>).</w:t>
      </w:r>
    </w:p>
    <w:p w14:paraId="07AAB429" w14:textId="1EF2DE36" w:rsidR="006C4D23" w:rsidRDefault="007775AC" w:rsidP="00DB7DF8">
      <w:pPr>
        <w:jc w:val="center"/>
      </w:pPr>
      <w:r>
        <w:rPr>
          <w:noProof/>
        </w:rPr>
        <w:drawing>
          <wp:inline distT="0" distB="0" distL="0" distR="0" wp14:anchorId="34164E3F" wp14:editId="3C37C828">
            <wp:extent cx="5704946" cy="277955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2377" cy="2788048"/>
                    </a:xfrm>
                    <a:prstGeom prst="rect">
                      <a:avLst/>
                    </a:prstGeom>
                    <a:noFill/>
                  </pic:spPr>
                </pic:pic>
              </a:graphicData>
            </a:graphic>
          </wp:inline>
        </w:drawing>
      </w:r>
    </w:p>
    <w:p w14:paraId="3ACE4896" w14:textId="1066C043" w:rsidR="006C4D23" w:rsidRPr="00F817AC" w:rsidRDefault="00C01B98" w:rsidP="00CF2D4C">
      <w:pPr>
        <w:pStyle w:val="Caption"/>
        <w:rPr>
          <w:szCs w:val="20"/>
        </w:rPr>
      </w:pPr>
      <w:bookmarkStart w:id="580" w:name="_Ref531872629"/>
      <w:bookmarkStart w:id="581" w:name="_Toc27396191"/>
      <w:r w:rsidRPr="00B74066">
        <w:t xml:space="preserve">Slika </w:t>
      </w:r>
      <w:r w:rsidR="00F86B65">
        <w:rPr>
          <w:noProof/>
        </w:rPr>
        <w:fldChar w:fldCharType="begin"/>
      </w:r>
      <w:r w:rsidR="00F86B65">
        <w:rPr>
          <w:noProof/>
        </w:rPr>
        <w:instrText xml:space="preserve"> STYLEREF 1 \s </w:instrText>
      </w:r>
      <w:r w:rsidR="00F86B65">
        <w:rPr>
          <w:noProof/>
        </w:rPr>
        <w:fldChar w:fldCharType="separate"/>
      </w:r>
      <w:r w:rsidR="00154150">
        <w:rPr>
          <w:noProof/>
        </w:rPr>
        <w:t>5</w:t>
      </w:r>
      <w:r w:rsidR="00F86B65">
        <w:rPr>
          <w:noProof/>
        </w:rPr>
        <w:fldChar w:fldCharType="end"/>
      </w:r>
      <w:r w:rsidR="00C3092A">
        <w:noBreakHyphen/>
      </w:r>
      <w:r w:rsidR="00F86B65">
        <w:rPr>
          <w:noProof/>
        </w:rPr>
        <w:fldChar w:fldCharType="begin"/>
      </w:r>
      <w:r w:rsidR="00F86B65">
        <w:rPr>
          <w:noProof/>
        </w:rPr>
        <w:instrText xml:space="preserve"> SEQ Slika \* ARABIC \s 1 </w:instrText>
      </w:r>
      <w:r w:rsidR="00F86B65">
        <w:rPr>
          <w:noProof/>
        </w:rPr>
        <w:fldChar w:fldCharType="separate"/>
      </w:r>
      <w:r w:rsidR="00154150">
        <w:rPr>
          <w:noProof/>
        </w:rPr>
        <w:t>4</w:t>
      </w:r>
      <w:r w:rsidR="00F86B65">
        <w:rPr>
          <w:noProof/>
        </w:rPr>
        <w:fldChar w:fldCharType="end"/>
      </w:r>
      <w:r w:rsidRPr="00B74066">
        <w:t>.</w:t>
      </w:r>
      <w:bookmarkEnd w:id="580"/>
      <w:r w:rsidR="008E00CE">
        <w:t xml:space="preserve"> </w:t>
      </w:r>
      <w:r w:rsidRPr="00B74066">
        <w:rPr>
          <w:szCs w:val="20"/>
        </w:rPr>
        <w:t>Projekcija emisija stakleničkih plinova iz sektora izvan ETS-a, za scenarij s postojećim mjerama i scenarij s dodatnim mjerama</w:t>
      </w:r>
      <w:bookmarkEnd w:id="581"/>
    </w:p>
    <w:p w14:paraId="71210216" w14:textId="663203B2" w:rsidR="0088749A" w:rsidDel="006C4D23" w:rsidRDefault="00FE31C5" w:rsidP="00340819">
      <w:r w:rsidRPr="005F7E30">
        <w:t>Smanjenje emisija u ETS sektoru bi 2030. godine bilo 30,</w:t>
      </w:r>
      <w:r w:rsidR="00ED266A">
        <w:t>1</w:t>
      </w:r>
      <w:r w:rsidR="003D50FF" w:rsidRPr="005F7E30">
        <w:t>-</w:t>
      </w:r>
      <w:r w:rsidR="00ED266A" w:rsidRPr="005F7E30">
        <w:t>3</w:t>
      </w:r>
      <w:r w:rsidR="00ED266A">
        <w:t>4</w:t>
      </w:r>
      <w:r w:rsidR="003D50FF" w:rsidRPr="005F7E30">
        <w:t>,</w:t>
      </w:r>
      <w:r w:rsidR="00ED266A">
        <w:t>3</w:t>
      </w:r>
      <w:r w:rsidR="007A2F25" w:rsidRPr="005F7E30">
        <w:t xml:space="preserve"> </w:t>
      </w:r>
      <w:r w:rsidRPr="005F7E30">
        <w:t>%.</w:t>
      </w:r>
      <w:r w:rsidR="00294E57" w:rsidRPr="005F7E30">
        <w:t xml:space="preserve"> Projekciju emisija stakleničkih plinova za ETS sektor prikazuje </w:t>
      </w:r>
      <w:r w:rsidR="005F7E30" w:rsidRPr="005F7E30">
        <w:fldChar w:fldCharType="begin"/>
      </w:r>
      <w:r w:rsidR="005F7E30" w:rsidRPr="005F7E30">
        <w:instrText xml:space="preserve"> REF _Ref532204639 \h </w:instrText>
      </w:r>
      <w:r w:rsidR="005F7E30">
        <w:instrText xml:space="preserve"> \* MERGEFORMAT </w:instrText>
      </w:r>
      <w:r w:rsidR="005F7E30" w:rsidRPr="005F7E30">
        <w:fldChar w:fldCharType="separate"/>
      </w:r>
      <w:r w:rsidR="00154150" w:rsidRPr="005F7E30">
        <w:t xml:space="preserve">Slika </w:t>
      </w:r>
      <w:r w:rsidR="00154150">
        <w:t>5</w:t>
      </w:r>
      <w:r w:rsidR="00154150">
        <w:noBreakHyphen/>
        <w:t>5</w:t>
      </w:r>
      <w:r w:rsidR="00154150" w:rsidRPr="005F7E30">
        <w:t>.</w:t>
      </w:r>
      <w:r w:rsidR="005F7E30" w:rsidRPr="005F7E30">
        <w:fldChar w:fldCharType="end"/>
      </w:r>
    </w:p>
    <w:p w14:paraId="0A068A6C" w14:textId="3CFAD0DD" w:rsidR="0053172A" w:rsidRPr="00F817AC" w:rsidDel="006C4D23" w:rsidRDefault="00ED266A" w:rsidP="0053172A">
      <w:pPr>
        <w:jc w:val="center"/>
        <w:rPr>
          <w:b/>
          <w:sz w:val="20"/>
          <w:szCs w:val="20"/>
        </w:rPr>
      </w:pPr>
      <w:r>
        <w:rPr>
          <w:b/>
          <w:noProof/>
          <w:sz w:val="20"/>
          <w:szCs w:val="20"/>
        </w:rPr>
        <w:drawing>
          <wp:inline distT="0" distB="0" distL="0" distR="0" wp14:anchorId="5EB62CE0" wp14:editId="2D66AB25">
            <wp:extent cx="5802136" cy="277160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22665" cy="2781412"/>
                    </a:xfrm>
                    <a:prstGeom prst="rect">
                      <a:avLst/>
                    </a:prstGeom>
                    <a:noFill/>
                  </pic:spPr>
                </pic:pic>
              </a:graphicData>
            </a:graphic>
          </wp:inline>
        </w:drawing>
      </w:r>
      <w:r w:rsidR="0053172A" w:rsidRPr="0053172A" w:rsidDel="006C4D23">
        <w:rPr>
          <w:b/>
          <w:sz w:val="20"/>
          <w:szCs w:val="20"/>
        </w:rPr>
        <w:t xml:space="preserve"> </w:t>
      </w:r>
    </w:p>
    <w:p w14:paraId="6DB2291B" w14:textId="767511F7" w:rsidR="002B6D39" w:rsidRPr="00F817AC" w:rsidRDefault="00A87274" w:rsidP="00A87274">
      <w:pPr>
        <w:pStyle w:val="Caption"/>
        <w:rPr>
          <w:b w:val="0"/>
          <w:szCs w:val="20"/>
        </w:rPr>
      </w:pPr>
      <w:bookmarkStart w:id="582" w:name="_Ref532204639"/>
      <w:bookmarkStart w:id="583" w:name="_Ref531872663"/>
      <w:bookmarkStart w:id="584" w:name="_Toc27396192"/>
      <w:r w:rsidRPr="005F7E30">
        <w:t xml:space="preserve">Slika </w:t>
      </w:r>
      <w:r w:rsidR="00F86B65">
        <w:rPr>
          <w:noProof/>
        </w:rPr>
        <w:fldChar w:fldCharType="begin"/>
      </w:r>
      <w:r w:rsidR="00F86B65">
        <w:rPr>
          <w:noProof/>
        </w:rPr>
        <w:instrText xml:space="preserve"> STYLEREF 1 \s </w:instrText>
      </w:r>
      <w:r w:rsidR="00F86B65">
        <w:rPr>
          <w:noProof/>
        </w:rPr>
        <w:fldChar w:fldCharType="separate"/>
      </w:r>
      <w:r w:rsidR="00154150">
        <w:rPr>
          <w:noProof/>
        </w:rPr>
        <w:t>5</w:t>
      </w:r>
      <w:r w:rsidR="00F86B65">
        <w:rPr>
          <w:noProof/>
        </w:rPr>
        <w:fldChar w:fldCharType="end"/>
      </w:r>
      <w:r w:rsidR="00C3092A">
        <w:noBreakHyphen/>
      </w:r>
      <w:r w:rsidR="00856D97" w:rsidRPr="005F7E30">
        <w:fldChar w:fldCharType="begin"/>
      </w:r>
      <w:r w:rsidR="00856D97" w:rsidRPr="00976062">
        <w:instrText xml:space="preserve"> SEQ Slika \* ARABIC \s 1 </w:instrText>
      </w:r>
      <w:r w:rsidR="00856D97" w:rsidRPr="005F7E30">
        <w:fldChar w:fldCharType="separate"/>
      </w:r>
      <w:r w:rsidR="00154150">
        <w:rPr>
          <w:noProof/>
        </w:rPr>
        <w:t>5</w:t>
      </w:r>
      <w:r w:rsidR="00856D97" w:rsidRPr="005F7E30">
        <w:fldChar w:fldCharType="end"/>
      </w:r>
      <w:r w:rsidR="00AA71A4" w:rsidRPr="005F7E30">
        <w:t>.</w:t>
      </w:r>
      <w:bookmarkEnd w:id="582"/>
      <w:r w:rsidR="00AA71A4" w:rsidRPr="005F7E30">
        <w:t xml:space="preserve"> </w:t>
      </w:r>
      <w:r w:rsidRPr="005F7E30">
        <w:t>Projekcija emisija stakleničkih plinova iz ETS sektora, za scenarij s postojećim mjerama i scenarij s dodatnim</w:t>
      </w:r>
      <w:r w:rsidRPr="00CA3570">
        <w:t xml:space="preserve"> mjerama</w:t>
      </w:r>
      <w:bookmarkEnd w:id="583"/>
      <w:bookmarkEnd w:id="584"/>
    </w:p>
    <w:p w14:paraId="4BA22E2F" w14:textId="33AAD8BA" w:rsidR="00D724CE" w:rsidRDefault="00900603" w:rsidP="002C65A8">
      <w:r>
        <w:t xml:space="preserve">Za scenarij s postojećim mjerama </w:t>
      </w:r>
      <w:r w:rsidR="00CA4A3C">
        <w:t xml:space="preserve">(WEM) i scenarij s dodatnim mjerama (WAM) izračunate su i emisije stakleničkih plinova </w:t>
      </w:r>
      <w:r w:rsidR="00120BE9">
        <w:t xml:space="preserve">za međunarodni zračni </w:t>
      </w:r>
      <w:r w:rsidR="0034253A">
        <w:t>promet</w:t>
      </w:r>
      <w:r w:rsidR="002728A3">
        <w:t>, temelj</w:t>
      </w:r>
      <w:r w:rsidR="00B70A78">
        <w:t>e</w:t>
      </w:r>
      <w:r w:rsidR="002728A3">
        <w:t xml:space="preserve">m </w:t>
      </w:r>
      <w:r w:rsidR="00DF5082">
        <w:t xml:space="preserve">podataka </w:t>
      </w:r>
      <w:r w:rsidR="00E16A34">
        <w:t xml:space="preserve">iz </w:t>
      </w:r>
      <w:r w:rsidR="00306CB9">
        <w:t xml:space="preserve">energetskih bilanci </w:t>
      </w:r>
      <w:r w:rsidR="00F516D6">
        <w:t>za projekcijsko razdoblje od 2020. do 2040. godine. Proje</w:t>
      </w:r>
      <w:r w:rsidR="00CF62BD">
        <w:t>kcije</w:t>
      </w:r>
      <w:r w:rsidR="00F516D6">
        <w:t xml:space="preserve"> emisij</w:t>
      </w:r>
      <w:r w:rsidR="00E80577">
        <w:t>a</w:t>
      </w:r>
      <w:r w:rsidR="00F516D6">
        <w:t xml:space="preserve"> stakleničkih plinova </w:t>
      </w:r>
      <w:r w:rsidR="00CF62BD">
        <w:t>su jednake za oba analizirana scenarija</w:t>
      </w:r>
      <w:r w:rsidR="001A00DD">
        <w:t xml:space="preserve"> (Tablica 5-3).</w:t>
      </w:r>
    </w:p>
    <w:p w14:paraId="7CE41C7D" w14:textId="6C5687D2" w:rsidR="007954F4" w:rsidRDefault="007954F4" w:rsidP="007954F4">
      <w:pPr>
        <w:pStyle w:val="Caption"/>
        <w:keepNext/>
      </w:pPr>
      <w:bookmarkStart w:id="585" w:name="_Toc27396232"/>
      <w:r>
        <w:t xml:space="preserve">Tablica </w:t>
      </w:r>
      <w:fldSimple w:instr=" STYLEREF 1 \s ">
        <w:r w:rsidR="00154150">
          <w:rPr>
            <w:noProof/>
          </w:rPr>
          <w:t>5</w:t>
        </w:r>
      </w:fldSimple>
      <w:r>
        <w:t>–</w:t>
      </w:r>
      <w:fldSimple w:instr=" SEQ Tablica \* ARABIC \s 1 ">
        <w:r w:rsidR="00154150">
          <w:rPr>
            <w:noProof/>
          </w:rPr>
          <w:t>3</w:t>
        </w:r>
      </w:fldSimple>
      <w:r>
        <w:t xml:space="preserve">.: </w:t>
      </w:r>
      <w:r w:rsidR="00B07C75">
        <w:t>Emisije stakleničkih plinova iz međunarodnog zračnog prometa</w:t>
      </w:r>
      <w:bookmarkEnd w:id="585"/>
    </w:p>
    <w:tbl>
      <w:tblPr>
        <w:tblW w:w="8648" w:type="dxa"/>
        <w:tblLayout w:type="fixed"/>
        <w:tblLook w:val="04A0" w:firstRow="1" w:lastRow="0" w:firstColumn="1" w:lastColumn="0" w:noHBand="0" w:noVBand="1"/>
      </w:tblPr>
      <w:tblGrid>
        <w:gridCol w:w="3408"/>
        <w:gridCol w:w="1048"/>
        <w:gridCol w:w="1048"/>
        <w:gridCol w:w="1048"/>
        <w:gridCol w:w="1048"/>
        <w:gridCol w:w="1048"/>
      </w:tblGrid>
      <w:tr w:rsidR="00776A0D" w:rsidRPr="00530D21" w14:paraId="64CB53C7" w14:textId="77777777" w:rsidTr="00223709">
        <w:trPr>
          <w:trHeight w:val="255"/>
        </w:trPr>
        <w:tc>
          <w:tcPr>
            <w:tcW w:w="340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5625DBD9" w14:textId="038CCAEE" w:rsidR="00776A0D" w:rsidRPr="00530D21" w:rsidRDefault="00776A0D" w:rsidP="00776A0D">
            <w:pPr>
              <w:keepNext/>
              <w:suppressAutoHyphens w:val="0"/>
              <w:spacing w:before="60" w:after="60" w:line="240" w:lineRule="auto"/>
              <w:jc w:val="left"/>
              <w:rPr>
                <w:rFonts w:cs="Arial"/>
                <w:b/>
                <w:bCs/>
                <w:sz w:val="20"/>
                <w:szCs w:val="20"/>
              </w:rPr>
            </w:pPr>
            <w:r>
              <w:rPr>
                <w:rFonts w:cs="Arial"/>
                <w:b/>
                <w:bCs/>
                <w:sz w:val="20"/>
                <w:szCs w:val="20"/>
              </w:rPr>
              <w:t>E</w:t>
            </w:r>
            <w:r w:rsidRPr="00530D21">
              <w:rPr>
                <w:rFonts w:cs="Arial"/>
                <w:b/>
                <w:bCs/>
                <w:sz w:val="20"/>
                <w:szCs w:val="20"/>
              </w:rPr>
              <w:t>misij</w:t>
            </w:r>
            <w:r>
              <w:rPr>
                <w:rFonts w:cs="Arial"/>
                <w:b/>
                <w:bCs/>
                <w:sz w:val="20"/>
                <w:szCs w:val="20"/>
              </w:rPr>
              <w:t>a CO</w:t>
            </w:r>
            <w:r w:rsidRPr="00E07206">
              <w:rPr>
                <w:rFonts w:cs="Arial"/>
                <w:b/>
                <w:bCs/>
                <w:sz w:val="20"/>
                <w:szCs w:val="20"/>
                <w:vertAlign w:val="subscript"/>
              </w:rPr>
              <w:t>2</w:t>
            </w:r>
            <w:r>
              <w:rPr>
                <w:rFonts w:cs="Arial"/>
                <w:b/>
                <w:bCs/>
                <w:sz w:val="20"/>
                <w:szCs w:val="20"/>
              </w:rPr>
              <w:t>e</w:t>
            </w:r>
            <w:r w:rsidRPr="00530D21">
              <w:rPr>
                <w:rFonts w:cs="Arial"/>
                <w:b/>
                <w:bCs/>
                <w:sz w:val="20"/>
                <w:szCs w:val="20"/>
              </w:rPr>
              <w:t xml:space="preserve"> (kt)</w:t>
            </w:r>
          </w:p>
        </w:tc>
        <w:tc>
          <w:tcPr>
            <w:tcW w:w="104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56FF82A" w14:textId="27A83647" w:rsidR="00776A0D" w:rsidRPr="00DB7DF8" w:rsidRDefault="00776A0D" w:rsidP="00776A0D">
            <w:pPr>
              <w:keepNext/>
              <w:suppressAutoHyphens w:val="0"/>
              <w:spacing w:before="60" w:after="60" w:line="240" w:lineRule="auto"/>
              <w:jc w:val="right"/>
              <w:rPr>
                <w:rFonts w:cs="Arial"/>
                <w:b/>
                <w:sz w:val="20"/>
                <w:szCs w:val="20"/>
              </w:rPr>
            </w:pPr>
            <w:r w:rsidRPr="00DB7DF8">
              <w:rPr>
                <w:rFonts w:cs="Arial"/>
                <w:b/>
                <w:sz w:val="20"/>
                <w:szCs w:val="20"/>
              </w:rPr>
              <w:t>202</w:t>
            </w:r>
            <w:r>
              <w:rPr>
                <w:rFonts w:cs="Arial"/>
                <w:b/>
                <w:sz w:val="20"/>
                <w:szCs w:val="20"/>
              </w:rPr>
              <w:t>0</w:t>
            </w:r>
            <w:r w:rsidRPr="00DB7DF8">
              <w:rPr>
                <w:rFonts w:cs="Arial"/>
                <w:b/>
                <w:sz w:val="20"/>
                <w:szCs w:val="20"/>
              </w:rPr>
              <w:t>.</w:t>
            </w:r>
          </w:p>
        </w:tc>
        <w:tc>
          <w:tcPr>
            <w:tcW w:w="1048" w:type="dxa"/>
            <w:tcBorders>
              <w:top w:val="single" w:sz="4" w:space="0" w:color="auto"/>
              <w:left w:val="nil"/>
              <w:bottom w:val="single" w:sz="4" w:space="0" w:color="auto"/>
              <w:right w:val="single" w:sz="4" w:space="0" w:color="auto"/>
            </w:tcBorders>
            <w:shd w:val="clear" w:color="auto" w:fill="DEEAF6" w:themeFill="accent1" w:themeFillTint="33"/>
          </w:tcPr>
          <w:p w14:paraId="3D8AEC2E" w14:textId="55CD4BDF" w:rsidR="00776A0D" w:rsidRPr="00776A0D" w:rsidRDefault="00776A0D" w:rsidP="00776A0D">
            <w:pPr>
              <w:keepNext/>
              <w:suppressAutoHyphens w:val="0"/>
              <w:spacing w:before="60" w:after="60" w:line="240" w:lineRule="auto"/>
              <w:jc w:val="right"/>
              <w:rPr>
                <w:rFonts w:cs="Arial"/>
                <w:b/>
                <w:sz w:val="20"/>
                <w:szCs w:val="20"/>
              </w:rPr>
            </w:pPr>
            <w:r w:rsidRPr="00223709">
              <w:rPr>
                <w:rFonts w:cs="Arial"/>
                <w:b/>
                <w:sz w:val="20"/>
                <w:szCs w:val="20"/>
              </w:rPr>
              <w:t>2025.</w:t>
            </w:r>
          </w:p>
        </w:tc>
        <w:tc>
          <w:tcPr>
            <w:tcW w:w="104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3901F0D" w14:textId="08B25C48" w:rsidR="00776A0D" w:rsidRPr="00776A0D" w:rsidRDefault="00776A0D" w:rsidP="00776A0D">
            <w:pPr>
              <w:keepNext/>
              <w:suppressAutoHyphens w:val="0"/>
              <w:spacing w:before="60" w:after="60" w:line="240" w:lineRule="auto"/>
              <w:jc w:val="right"/>
              <w:rPr>
                <w:rFonts w:cs="Arial"/>
                <w:b/>
                <w:sz w:val="20"/>
                <w:szCs w:val="20"/>
              </w:rPr>
            </w:pPr>
            <w:r w:rsidRPr="00776A0D">
              <w:rPr>
                <w:rFonts w:cs="Arial"/>
                <w:b/>
                <w:sz w:val="20"/>
                <w:szCs w:val="20"/>
              </w:rPr>
              <w:t>2030.</w:t>
            </w:r>
          </w:p>
        </w:tc>
        <w:tc>
          <w:tcPr>
            <w:tcW w:w="104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B040D9D" w14:textId="77777777" w:rsidR="00776A0D" w:rsidRPr="00DB7DF8" w:rsidRDefault="00776A0D" w:rsidP="00776A0D">
            <w:pPr>
              <w:keepNext/>
              <w:suppressAutoHyphens w:val="0"/>
              <w:spacing w:before="60" w:after="60" w:line="240" w:lineRule="auto"/>
              <w:jc w:val="right"/>
              <w:rPr>
                <w:rFonts w:cs="Arial"/>
                <w:b/>
                <w:sz w:val="20"/>
                <w:szCs w:val="20"/>
              </w:rPr>
            </w:pPr>
            <w:r w:rsidRPr="00DB7DF8">
              <w:rPr>
                <w:rFonts w:cs="Arial"/>
                <w:b/>
                <w:sz w:val="20"/>
                <w:szCs w:val="20"/>
              </w:rPr>
              <w:t>2035.</w:t>
            </w:r>
          </w:p>
        </w:tc>
        <w:tc>
          <w:tcPr>
            <w:tcW w:w="1048"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58B1C59" w14:textId="77777777" w:rsidR="00776A0D" w:rsidRPr="00DB7DF8" w:rsidRDefault="00776A0D" w:rsidP="00776A0D">
            <w:pPr>
              <w:keepNext/>
              <w:suppressAutoHyphens w:val="0"/>
              <w:spacing w:before="60" w:after="60" w:line="240" w:lineRule="auto"/>
              <w:jc w:val="right"/>
              <w:rPr>
                <w:rFonts w:cs="Arial"/>
                <w:b/>
                <w:sz w:val="20"/>
                <w:szCs w:val="20"/>
              </w:rPr>
            </w:pPr>
            <w:r w:rsidRPr="00DB7DF8">
              <w:rPr>
                <w:rFonts w:cs="Arial"/>
                <w:b/>
                <w:sz w:val="20"/>
                <w:szCs w:val="20"/>
              </w:rPr>
              <w:t>2040.</w:t>
            </w:r>
          </w:p>
        </w:tc>
      </w:tr>
      <w:tr w:rsidR="00A47CCC" w:rsidRPr="00530D21" w14:paraId="585AB73E" w14:textId="77777777" w:rsidTr="00A261B4">
        <w:trPr>
          <w:trHeight w:val="255"/>
        </w:trPr>
        <w:tc>
          <w:tcPr>
            <w:tcW w:w="3408" w:type="dxa"/>
            <w:tcBorders>
              <w:top w:val="nil"/>
              <w:left w:val="single" w:sz="4" w:space="0" w:color="auto"/>
              <w:bottom w:val="single" w:sz="4" w:space="0" w:color="auto"/>
              <w:right w:val="single" w:sz="4" w:space="0" w:color="auto"/>
            </w:tcBorders>
            <w:shd w:val="clear" w:color="auto" w:fill="auto"/>
            <w:noWrap/>
            <w:vAlign w:val="bottom"/>
            <w:hideMark/>
          </w:tcPr>
          <w:p w14:paraId="6759E423" w14:textId="7B37078C" w:rsidR="00776A0D" w:rsidRPr="00530D21" w:rsidRDefault="00776A0D" w:rsidP="00776A0D">
            <w:pPr>
              <w:keepNext/>
              <w:suppressAutoHyphens w:val="0"/>
              <w:spacing w:before="0" w:after="0" w:line="240" w:lineRule="auto"/>
              <w:jc w:val="left"/>
              <w:rPr>
                <w:rFonts w:cs="Arial"/>
                <w:sz w:val="20"/>
                <w:szCs w:val="20"/>
              </w:rPr>
            </w:pPr>
            <w:r>
              <w:rPr>
                <w:rFonts w:cs="Arial"/>
                <w:sz w:val="20"/>
                <w:szCs w:val="20"/>
              </w:rPr>
              <w:t>Međunarodni zračni promet</w:t>
            </w:r>
            <w:r w:rsidR="006F58FE">
              <w:rPr>
                <w:rFonts w:cs="Arial"/>
                <w:sz w:val="20"/>
                <w:szCs w:val="20"/>
              </w:rPr>
              <w:t xml:space="preserve"> (WEM</w:t>
            </w:r>
            <w:r w:rsidR="008309CF">
              <w:rPr>
                <w:rFonts w:cs="Arial"/>
                <w:sz w:val="20"/>
                <w:szCs w:val="20"/>
              </w:rPr>
              <w:t>=WAM</w:t>
            </w:r>
            <w:r w:rsidR="006F58FE">
              <w:rPr>
                <w:rFonts w:cs="Arial"/>
                <w:sz w:val="20"/>
                <w:szCs w:val="20"/>
              </w:rPr>
              <w:t>)</w:t>
            </w:r>
          </w:p>
        </w:tc>
        <w:tc>
          <w:tcPr>
            <w:tcW w:w="1048" w:type="dxa"/>
            <w:tcBorders>
              <w:top w:val="nil"/>
              <w:left w:val="nil"/>
              <w:bottom w:val="single" w:sz="4" w:space="0" w:color="auto"/>
              <w:right w:val="single" w:sz="4" w:space="0" w:color="auto"/>
            </w:tcBorders>
            <w:shd w:val="clear" w:color="auto" w:fill="auto"/>
            <w:noWrap/>
            <w:vAlign w:val="center"/>
            <w:hideMark/>
          </w:tcPr>
          <w:p w14:paraId="7E9213AA" w14:textId="19A6FE86" w:rsidR="00776A0D" w:rsidRPr="00B00023" w:rsidRDefault="007E24F5" w:rsidP="00776A0D">
            <w:pPr>
              <w:keepNext/>
              <w:suppressAutoHyphens w:val="0"/>
              <w:spacing w:before="0" w:after="0" w:line="240" w:lineRule="auto"/>
              <w:jc w:val="right"/>
              <w:rPr>
                <w:rFonts w:cs="Arial"/>
                <w:sz w:val="20"/>
                <w:szCs w:val="20"/>
              </w:rPr>
            </w:pPr>
            <w:r>
              <w:rPr>
                <w:sz w:val="20"/>
                <w:szCs w:val="20"/>
              </w:rPr>
              <w:t>38</w:t>
            </w:r>
            <w:r w:rsidR="00D77AB1">
              <w:rPr>
                <w:sz w:val="20"/>
                <w:szCs w:val="20"/>
              </w:rPr>
              <w:t>0,7</w:t>
            </w:r>
          </w:p>
        </w:tc>
        <w:tc>
          <w:tcPr>
            <w:tcW w:w="1048" w:type="dxa"/>
            <w:tcBorders>
              <w:top w:val="single" w:sz="4" w:space="0" w:color="auto"/>
              <w:left w:val="nil"/>
              <w:bottom w:val="single" w:sz="4" w:space="0" w:color="auto"/>
              <w:right w:val="single" w:sz="4" w:space="0" w:color="auto"/>
            </w:tcBorders>
            <w:vAlign w:val="center"/>
          </w:tcPr>
          <w:p w14:paraId="04784DC7" w14:textId="367F1F2A" w:rsidR="00776A0D" w:rsidRPr="00776A0D" w:rsidRDefault="007E24F5" w:rsidP="00776A0D">
            <w:pPr>
              <w:keepNext/>
              <w:suppressAutoHyphens w:val="0"/>
              <w:spacing w:before="0" w:after="0" w:line="240" w:lineRule="auto"/>
              <w:jc w:val="right"/>
              <w:rPr>
                <w:sz w:val="20"/>
                <w:szCs w:val="20"/>
              </w:rPr>
            </w:pPr>
            <w:r>
              <w:rPr>
                <w:sz w:val="20"/>
                <w:szCs w:val="20"/>
              </w:rPr>
              <w:t>390</w:t>
            </w:r>
            <w:r w:rsidR="00D77AB1">
              <w:rPr>
                <w:sz w:val="20"/>
                <w:szCs w:val="20"/>
              </w:rPr>
              <w:t>,0</w:t>
            </w:r>
          </w:p>
        </w:tc>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450951C0" w14:textId="45DB68D9" w:rsidR="00776A0D" w:rsidRPr="00776A0D" w:rsidRDefault="004A35D8" w:rsidP="00776A0D">
            <w:pPr>
              <w:keepNext/>
              <w:suppressAutoHyphens w:val="0"/>
              <w:spacing w:before="0" w:after="0" w:line="240" w:lineRule="auto"/>
              <w:jc w:val="right"/>
              <w:rPr>
                <w:rFonts w:cs="Arial"/>
                <w:sz w:val="20"/>
                <w:szCs w:val="20"/>
              </w:rPr>
            </w:pPr>
            <w:r>
              <w:rPr>
                <w:sz w:val="20"/>
                <w:szCs w:val="20"/>
              </w:rPr>
              <w:t>399</w:t>
            </w:r>
            <w:r w:rsidR="00D77AB1">
              <w:rPr>
                <w:sz w:val="20"/>
                <w:szCs w:val="20"/>
              </w:rPr>
              <w:t>,4</w:t>
            </w:r>
          </w:p>
        </w:tc>
        <w:tc>
          <w:tcPr>
            <w:tcW w:w="1048" w:type="dxa"/>
            <w:tcBorders>
              <w:top w:val="nil"/>
              <w:left w:val="nil"/>
              <w:bottom w:val="single" w:sz="4" w:space="0" w:color="auto"/>
              <w:right w:val="single" w:sz="4" w:space="0" w:color="auto"/>
            </w:tcBorders>
            <w:shd w:val="clear" w:color="auto" w:fill="auto"/>
            <w:noWrap/>
            <w:vAlign w:val="center"/>
            <w:hideMark/>
          </w:tcPr>
          <w:p w14:paraId="1192094C" w14:textId="215AE069" w:rsidR="00776A0D" w:rsidRPr="00B00023" w:rsidRDefault="004A35D8" w:rsidP="00776A0D">
            <w:pPr>
              <w:keepNext/>
              <w:suppressAutoHyphens w:val="0"/>
              <w:spacing w:before="0" w:after="0" w:line="240" w:lineRule="auto"/>
              <w:jc w:val="right"/>
              <w:rPr>
                <w:rFonts w:cs="Arial"/>
                <w:sz w:val="20"/>
                <w:szCs w:val="20"/>
              </w:rPr>
            </w:pPr>
            <w:r>
              <w:rPr>
                <w:sz w:val="20"/>
                <w:szCs w:val="20"/>
              </w:rPr>
              <w:t>40</w:t>
            </w:r>
            <w:r w:rsidR="00D77AB1">
              <w:rPr>
                <w:sz w:val="20"/>
                <w:szCs w:val="20"/>
              </w:rPr>
              <w:t>0,9</w:t>
            </w:r>
          </w:p>
        </w:tc>
        <w:tc>
          <w:tcPr>
            <w:tcW w:w="1048" w:type="dxa"/>
            <w:tcBorders>
              <w:top w:val="nil"/>
              <w:left w:val="nil"/>
              <w:bottom w:val="single" w:sz="4" w:space="0" w:color="auto"/>
              <w:right w:val="single" w:sz="4" w:space="0" w:color="auto"/>
            </w:tcBorders>
            <w:shd w:val="clear" w:color="auto" w:fill="auto"/>
            <w:noWrap/>
            <w:vAlign w:val="center"/>
            <w:hideMark/>
          </w:tcPr>
          <w:p w14:paraId="2A7B5438" w14:textId="365FEE1E" w:rsidR="00776A0D" w:rsidRPr="00B00023" w:rsidRDefault="004A35D8" w:rsidP="00776A0D">
            <w:pPr>
              <w:keepNext/>
              <w:suppressAutoHyphens w:val="0"/>
              <w:spacing w:before="0" w:after="0" w:line="240" w:lineRule="auto"/>
              <w:jc w:val="right"/>
              <w:rPr>
                <w:rFonts w:cs="Arial"/>
                <w:sz w:val="20"/>
                <w:szCs w:val="20"/>
              </w:rPr>
            </w:pPr>
            <w:r>
              <w:rPr>
                <w:sz w:val="20"/>
                <w:szCs w:val="20"/>
              </w:rPr>
              <w:t>402</w:t>
            </w:r>
            <w:r w:rsidR="00D77AB1">
              <w:rPr>
                <w:sz w:val="20"/>
                <w:szCs w:val="20"/>
              </w:rPr>
              <w:t>,4</w:t>
            </w:r>
          </w:p>
        </w:tc>
      </w:tr>
    </w:tbl>
    <w:p w14:paraId="36ACF947" w14:textId="72046863" w:rsidR="0056392F" w:rsidRPr="00BE1ECD" w:rsidRDefault="00122838" w:rsidP="00840E2E">
      <w:pPr>
        <w:pStyle w:val="Heading3"/>
        <w:numPr>
          <w:ilvl w:val="0"/>
          <w:numId w:val="87"/>
        </w:numPr>
      </w:pPr>
      <w:r w:rsidRPr="00122838">
        <w:t>Procjena međudjelovanja politika (međudjelovanje između postojećih i planiranih politika i mjera u okviru jedne dimenzije i međudjelovanje između postojećih i planiranih politika i mjera različitih dimenzija) barem do posljednje godine razdoblja obuhvaćenog planom, posebno kako bi se u potpunosti razumio učinak politika energetske učinkovitosti/uštede energije na utvrđivanje veličine energetskog sustava te smanjio rizik od izgubljenih investicija u području opskrbe energijom</w:t>
      </w:r>
    </w:p>
    <w:p w14:paraId="384CF314" w14:textId="78B40F81" w:rsidR="00AC3A92" w:rsidRDefault="001C4CAD" w:rsidP="00AC3A92">
      <w:r>
        <w:t>U opisu svake mjere naveden</w:t>
      </w:r>
      <w:r w:rsidR="003D2EEF">
        <w:t>e su dimenzije na koje dotična mjera ima učinak.</w:t>
      </w:r>
    </w:p>
    <w:p w14:paraId="3DE616C9" w14:textId="0E7161B1" w:rsidR="00122838" w:rsidRPr="00BE1ECD" w:rsidRDefault="00122838" w:rsidP="00840E2E">
      <w:pPr>
        <w:pStyle w:val="Heading3"/>
        <w:numPr>
          <w:ilvl w:val="0"/>
          <w:numId w:val="87"/>
        </w:numPr>
      </w:pPr>
      <w:r w:rsidRPr="00122838">
        <w:t>Procjena interakcija između postojećih politika i mjera te planiranih politika i mjera, kao i između tih politika i mjera te politike Unije u području klime i energije</w:t>
      </w:r>
    </w:p>
    <w:p w14:paraId="67B0FA89" w14:textId="77777777" w:rsidR="00AB4C0E" w:rsidRDefault="00AB4C0E" w:rsidP="00AB4C0E">
      <w:r>
        <w:t>U opisu svake mjere navedene su dimenzije na koje dotična mjera ima učinak.</w:t>
      </w:r>
    </w:p>
    <w:p w14:paraId="2318F85E" w14:textId="7FCE8ECB" w:rsidR="00C21988" w:rsidRDefault="00D839FC" w:rsidP="00C21988">
      <w:pPr>
        <w:pStyle w:val="Heading2"/>
      </w:pPr>
      <w:bookmarkStart w:id="586" w:name="_Toc531801585"/>
      <w:bookmarkStart w:id="587" w:name="_Toc531801712"/>
      <w:bookmarkStart w:id="588" w:name="_Toc531801840"/>
      <w:bookmarkStart w:id="589" w:name="_Toc531801968"/>
      <w:bookmarkStart w:id="590" w:name="_Toc531801586"/>
      <w:bookmarkStart w:id="591" w:name="_Toc531801713"/>
      <w:bookmarkStart w:id="592" w:name="_Toc531801841"/>
      <w:bookmarkStart w:id="593" w:name="_Toc531801969"/>
      <w:bookmarkStart w:id="594" w:name="_Toc531801587"/>
      <w:bookmarkStart w:id="595" w:name="_Toc531801714"/>
      <w:bookmarkStart w:id="596" w:name="_Toc531801842"/>
      <w:bookmarkStart w:id="597" w:name="_Toc531801970"/>
      <w:bookmarkStart w:id="598" w:name="_Toc531801588"/>
      <w:bookmarkStart w:id="599" w:name="_Toc531801715"/>
      <w:bookmarkStart w:id="600" w:name="_Toc531801843"/>
      <w:bookmarkStart w:id="601" w:name="_Toc531801971"/>
      <w:bookmarkStart w:id="602" w:name="_Toc531801589"/>
      <w:bookmarkStart w:id="603" w:name="_Toc531801716"/>
      <w:bookmarkStart w:id="604" w:name="_Toc531801844"/>
      <w:bookmarkStart w:id="605" w:name="_Toc531801972"/>
      <w:bookmarkStart w:id="606" w:name="_Toc531801590"/>
      <w:bookmarkStart w:id="607" w:name="_Toc531801717"/>
      <w:bookmarkStart w:id="608" w:name="_Toc531801845"/>
      <w:bookmarkStart w:id="609" w:name="_Toc531801973"/>
      <w:bookmarkStart w:id="610" w:name="_Toc531801591"/>
      <w:bookmarkStart w:id="611" w:name="_Toc531801718"/>
      <w:bookmarkStart w:id="612" w:name="_Toc531801846"/>
      <w:bookmarkStart w:id="613" w:name="_Toc531801974"/>
      <w:bookmarkStart w:id="614" w:name="_Toc531801592"/>
      <w:bookmarkStart w:id="615" w:name="_Toc531801719"/>
      <w:bookmarkStart w:id="616" w:name="_Toc531801847"/>
      <w:bookmarkStart w:id="617" w:name="_Toc531801975"/>
      <w:bookmarkStart w:id="618" w:name="_Toc531935272"/>
      <w:bookmarkStart w:id="619" w:name="_Toc531945134"/>
      <w:bookmarkStart w:id="620" w:name="_Toc6302392"/>
      <w:bookmarkStart w:id="621" w:name="_Toc27396124"/>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t>5.2</w:t>
      </w:r>
      <w:r>
        <w:tab/>
      </w:r>
      <w:r w:rsidR="00C21988">
        <w:t>Makroekonomski, okolišni i socijalni učinci i učinci na vještine (u smislu troškova i koristi, kao i ekonomičnosti) planiranih politika i mjera opisanih u odjeljku 3</w:t>
      </w:r>
      <w:r w:rsidR="00C21988" w:rsidRPr="00412DA1">
        <w:t>.</w:t>
      </w:r>
      <w:bookmarkEnd w:id="618"/>
      <w:bookmarkEnd w:id="619"/>
      <w:bookmarkEnd w:id="620"/>
      <w:bookmarkEnd w:id="621"/>
      <w:r w:rsidR="00C21988" w:rsidRPr="00412DA1">
        <w:t xml:space="preserve"> </w:t>
      </w:r>
    </w:p>
    <w:p w14:paraId="6C7C6219" w14:textId="080A2C4E" w:rsidR="00E10864" w:rsidRDefault="00E10864" w:rsidP="00922CC4">
      <w:r>
        <w:t>U</w:t>
      </w:r>
      <w:r w:rsidR="00DA73D3">
        <w:t xml:space="preserve"> okviru</w:t>
      </w:r>
      <w:r>
        <w:t xml:space="preserve"> </w:t>
      </w:r>
      <w:r w:rsidR="00DA73D3">
        <w:t xml:space="preserve">analize posljedica prelaska na niskougljične scenarije, analiziran je i utjecaj tranzicije na </w:t>
      </w:r>
      <w:r w:rsidR="00065383">
        <w:t>tzv. klasične onečišćujuće tvari, prije svega SO</w:t>
      </w:r>
      <w:r w:rsidR="00065383" w:rsidRPr="00286B4C">
        <w:rPr>
          <w:vertAlign w:val="subscript"/>
        </w:rPr>
        <w:t>2</w:t>
      </w:r>
      <w:r w:rsidR="00065383">
        <w:t>, NO</w:t>
      </w:r>
      <w:r w:rsidR="00065383" w:rsidRPr="00286B4C">
        <w:rPr>
          <w:vertAlign w:val="subscript"/>
        </w:rPr>
        <w:t>X</w:t>
      </w:r>
      <w:r w:rsidR="00065383">
        <w:t xml:space="preserve"> i sitne lebdeće čestice (PM2,5).</w:t>
      </w:r>
      <w:r w:rsidR="00DA73D3">
        <w:t xml:space="preserve"> </w:t>
      </w:r>
      <w:r w:rsidR="00434C10" w:rsidRPr="00E10864">
        <w:t>Proračuni pokazuju da se prelaskom na niskougljične scenarije u 2030. godini postiž</w:t>
      </w:r>
      <w:r w:rsidR="00434C10">
        <w:t>e</w:t>
      </w:r>
      <w:r w:rsidR="00434C10" w:rsidRPr="00E10864">
        <w:t xml:space="preserve"> </w:t>
      </w:r>
      <w:r w:rsidR="00434C10">
        <w:t>s</w:t>
      </w:r>
      <w:r w:rsidR="00434C10" w:rsidRPr="00E10864">
        <w:t>manje</w:t>
      </w:r>
      <w:r w:rsidR="00434C10">
        <w:t>nje</w:t>
      </w:r>
      <w:r w:rsidR="00434C10" w:rsidRPr="00E10864">
        <w:t xml:space="preserve"> emisij</w:t>
      </w:r>
      <w:r w:rsidR="00434C10">
        <w:t xml:space="preserve">a </w:t>
      </w:r>
      <w:r w:rsidR="007E1DA8">
        <w:t>navedenih oneči</w:t>
      </w:r>
      <w:r w:rsidR="00B70A78">
        <w:t>š</w:t>
      </w:r>
      <w:r w:rsidR="007E1DA8">
        <w:t xml:space="preserve">ćujućih tvari u zrak </w:t>
      </w:r>
      <w:r w:rsidR="00434C10">
        <w:t>od</w:t>
      </w:r>
      <w:r w:rsidR="00434C10" w:rsidRPr="00E10864">
        <w:t xml:space="preserve"> 9</w:t>
      </w:r>
      <w:r w:rsidR="007E1DA8">
        <w:t>%</w:t>
      </w:r>
      <w:r w:rsidR="00434C10" w:rsidRPr="00E10864">
        <w:t xml:space="preserve"> do 32%</w:t>
      </w:r>
      <w:r w:rsidR="007E1DA8">
        <w:t>.</w:t>
      </w:r>
      <w:r w:rsidR="00434C10" w:rsidRPr="00E10864">
        <w:t xml:space="preserve"> </w:t>
      </w:r>
      <w:r w:rsidR="00177C39">
        <w:t>S</w:t>
      </w:r>
      <w:r w:rsidR="00434C10">
        <w:t>manjenj</w:t>
      </w:r>
      <w:r w:rsidR="00177C39">
        <w:t>e</w:t>
      </w:r>
      <w:r w:rsidR="00434C10">
        <w:t xml:space="preserve"> emisija </w:t>
      </w:r>
      <w:r w:rsidR="00177C39">
        <w:t>o</w:t>
      </w:r>
      <w:r w:rsidR="00272302">
        <w:t>nečišćujućih tvari</w:t>
      </w:r>
      <w:r w:rsidRPr="00E10864">
        <w:t xml:space="preserve"> </w:t>
      </w:r>
      <w:r w:rsidR="00177C39">
        <w:t>imat će</w:t>
      </w:r>
      <w:r w:rsidR="00B70A78">
        <w:t xml:space="preserve"> </w:t>
      </w:r>
      <w:r w:rsidRPr="00E10864">
        <w:t>pozitivan učinak na zdravlje, osobito u gradovima</w:t>
      </w:r>
      <w:r w:rsidR="00F84702">
        <w:t>.</w:t>
      </w:r>
    </w:p>
    <w:p w14:paraId="7C2A7194" w14:textId="0447FF79" w:rsidR="00922CC4" w:rsidRDefault="00F84702" w:rsidP="00922CC4">
      <w:r>
        <w:t>M</w:t>
      </w:r>
      <w:r w:rsidR="00922CC4">
        <w:t>akroekonomski učin</w:t>
      </w:r>
      <w:r w:rsidR="00133938">
        <w:t>ci analizirani su na temelju</w:t>
      </w:r>
      <w:r w:rsidR="00922CC4">
        <w:t xml:space="preserve"> </w:t>
      </w:r>
      <w:r w:rsidR="00133938">
        <w:t>p</w:t>
      </w:r>
      <w:r w:rsidR="00922CC4">
        <w:t>rocjen</w:t>
      </w:r>
      <w:r w:rsidR="00133938">
        <w:t>e</w:t>
      </w:r>
      <w:r w:rsidR="00922CC4">
        <w:t xml:space="preserve"> ukupnih ulaganja u razdoblju od 2021. do 2050. godine</w:t>
      </w:r>
      <w:r w:rsidR="00133938">
        <w:t xml:space="preserve">, </w:t>
      </w:r>
      <w:r w:rsidR="00922CC4">
        <w:t xml:space="preserve">analiziranih u „Zelenoj knjizi“. Za procjenu učinaka korišten je Scenarij S2 u kojem su predviđena ukupna investicijska ulaganja u iznosu od 378,90 milijardu kuna, od čega u razdoblju od 2021. do 2030. godine 141,47 milijardi kuna a u razdoblju od 2031. do 2050. godine 237,43 milijarde kuna. Pretpostavka analize je da su investicije linearno raspoređene po godinama odnosno da se prosječno godišnje u prvom razdoblju investira 14,148 milijardi kuna odnosno 11,872 milijarde kuna u drugom razdoblju. </w:t>
      </w:r>
    </w:p>
    <w:p w14:paraId="03542697" w14:textId="77777777" w:rsidR="00922CC4" w:rsidRDefault="00922CC4" w:rsidP="00922CC4">
      <w:r>
        <w:t>Makroekonomski učinci su računati input-output analizom koja se temelji na input-output tablici za Republiku Hrvatsku za 2015. godinu koja je objavljena 2019. godine na Eurostatu. Analiza u obzir uzima izravne (direktne) i neizravne (indirektne), multiplikativne, učinke investicija koje su različitim procjenama disagregirane na pojedine djelatnosti (od ukupno 65 djelatnosti) koje se nalaze u simetričnoj input-output tablici a s obzirom na specifičnost svake investicije. Izravni učinci obuhvaćaju dodatnu zaposlenost, odnosno dohodak, u sektorima koji proizvode dobra i usluge za potrebe zadovoljavanja dodatne finalne potražnje. Neizravni učinci obuhvaćaju neizravnu zaposlenost, odnosno dohodak, drugih sektora koji povećavaju razinu proizvodnje kako bi isporučili intermedijarne inpute potrebne za proizvodnju u sektoru koji izravno isporučuje output za potrebe finalne potražnje. Input-output model obuhvaća postojeće tehnološke veze između 65 različitih djelatnosti odnosno sektora hrvatskog gospodarstva. Omjer uvozne i domaće komponente temelji se na input-output tablici za 2015. godinu.</w:t>
      </w:r>
    </w:p>
    <w:p w14:paraId="4E593104" w14:textId="77777777" w:rsidR="00922CC4" w:rsidRDefault="00922CC4" w:rsidP="00922CC4">
      <w:r>
        <w:t>Rezultati analize su podijeljeni na dva razdoblja: od 2021. do 2030. i od 2031. do 2050. godine. Rezultati analize prvog razdoblja ukazuju da će ukupne investicije predviđene energetskim planom utjecati na povećanje bruto domaćeg proizvoda (i bruto dodane vrijednosti) između 2 i 2,5 posto s obzirom na razinu BDP iz 2018. godine. U strukturi rasta građevinarstvo, sektora F, ima 32%, industrija bez građevinarstva uključujući poljoprivredu i rudarstvo i vađenje 34% a tercijarne odnosno uslužne djelatnosti 34%. Zaposlenost će u prvoj godini porasti za oko 2,4 posto u odnosu na broj ukupan broj zaposlenih 2017. godine, odnosno oko 40 tisuća novozaposlenih, od čega 44 posto u djelatnosti građevinarstva (50 posto novih radnih mjesta je rezultat investicija u zgradarstvo), oko 33 posto u industriji te ostatak od oko 23 posto u tercijarnim djelatnostima. Za očekivati je da rast zaposlenosti neće imati istu dinamiku u idućim godinama zbog rasta produktivnosti radnika, primjene novih tehnologija, premještanja radnika sa završenih radova na nove radove i sl. S obzirom na povijesne podatke o kretanju zaposlenosti po sektorima uz ostvarene investicije, posebice u sektoru zgradarstva, za očekivati je da će broj zaposlenih porasti između 40 i 80 tisuća novozaposlenih radnika a kao rezultat investicija predviđenih energetsko klimatskim planom (u odnosu na 2017. godinu).</w:t>
      </w:r>
    </w:p>
    <w:p w14:paraId="4EBA4F34" w14:textId="7CD42844" w:rsidR="00922CC4" w:rsidRDefault="00922CC4" w:rsidP="00922CC4">
      <w:r>
        <w:t>Provedene analize i dobiveni rezultati ukazuju na značajne makroekonomske učinke integriranog nacionalnog energetskog i klimatskog plana na hrvatsko gospodarstvo prikazano kroz utjecaj na BDP i zaposlenost, kako ukupnu tako i po sektorima.</w:t>
      </w:r>
    </w:p>
    <w:p w14:paraId="560879C6" w14:textId="32A6FD95" w:rsidR="00562990" w:rsidRPr="00412DA1" w:rsidRDefault="00922CC4" w:rsidP="00C21988">
      <w:r>
        <w:t xml:space="preserve">Provedena analiza je u određenoj mjeri limitirana dostupnošću i kvalitetom potrebnih ulaznih podataka gdje se prije svega misli na disagregaciju ukupnih investicija po sektorima hrvatskog gospodarstva te omjere uvozne i domaće komponente po sektorima input-output tablice iz 2015 godine. Input-output analiza je statička analiza te ne uzima u obzir buduće promjene u tehnološkim vezama među različitim djelatnostima. Također ovom analizom nisu obuhvaćeni inducirani učinci koji obuhvaćaju induciranu zaposlenost, odnosno dohodak koji ostvaruju proizvođači dobara i usluga namijenjenih potrošnji kućanstava. </w:t>
      </w:r>
    </w:p>
    <w:p w14:paraId="78E596C7" w14:textId="53050C5E" w:rsidR="00920EBC" w:rsidRDefault="00D839FC" w:rsidP="00C21988">
      <w:pPr>
        <w:pStyle w:val="Heading2"/>
      </w:pPr>
      <w:bookmarkStart w:id="622" w:name="_Toc27396125"/>
      <w:bookmarkStart w:id="623" w:name="_Toc531935273"/>
      <w:bookmarkStart w:id="624" w:name="_Toc531945135"/>
      <w:bookmarkStart w:id="625" w:name="_Toc6302393"/>
      <w:r>
        <w:t>5.3</w:t>
      </w:r>
      <w:r>
        <w:tab/>
      </w:r>
      <w:r w:rsidR="001C7248">
        <w:t>Pregled potrebnih ulaganja</w:t>
      </w:r>
      <w:bookmarkEnd w:id="622"/>
    </w:p>
    <w:p w14:paraId="472928AF" w14:textId="77777777" w:rsidR="00E85956" w:rsidRPr="00BE1ECD" w:rsidRDefault="00E85956" w:rsidP="00840E2E">
      <w:pPr>
        <w:pStyle w:val="Heading3"/>
        <w:numPr>
          <w:ilvl w:val="0"/>
          <w:numId w:val="88"/>
        </w:numPr>
      </w:pPr>
      <w:r w:rsidRPr="00BE1ECD">
        <w:t>Postojeći tokovi ulaganja i predviđanja budućih ulaganja u odnosu na planirane politike i mjere</w:t>
      </w:r>
    </w:p>
    <w:p w14:paraId="63B660A7" w14:textId="216F6A29" w:rsidR="00A56A7B" w:rsidRDefault="00BD29EE" w:rsidP="00CE6C71">
      <w:r>
        <w:rPr>
          <w:rFonts w:cs="Tahoma"/>
          <w:lang w:eastAsia="ar-SA"/>
        </w:rPr>
        <w:fldChar w:fldCharType="begin"/>
      </w:r>
      <w:r>
        <w:instrText xml:space="preserve"> REF _Ref19965510 \h </w:instrText>
      </w:r>
      <w:r>
        <w:rPr>
          <w:rFonts w:cs="Tahoma"/>
          <w:lang w:eastAsia="ar-SA"/>
        </w:rPr>
      </w:r>
      <w:r>
        <w:rPr>
          <w:rFonts w:cs="Tahoma"/>
          <w:lang w:eastAsia="ar-SA"/>
        </w:rPr>
        <w:fldChar w:fldCharType="separate"/>
      </w:r>
      <w:r w:rsidR="00154150">
        <w:t xml:space="preserve">Tablica </w:t>
      </w:r>
      <w:r w:rsidR="00154150">
        <w:rPr>
          <w:noProof/>
        </w:rPr>
        <w:t>5</w:t>
      </w:r>
      <w:r w:rsidR="00154150">
        <w:t>–</w:t>
      </w:r>
      <w:r w:rsidR="00154150">
        <w:rPr>
          <w:noProof/>
        </w:rPr>
        <w:t>4</w:t>
      </w:r>
      <w:r>
        <w:rPr>
          <w:rFonts w:cs="Tahoma"/>
          <w:lang w:eastAsia="ar-SA"/>
        </w:rPr>
        <w:fldChar w:fldCharType="end"/>
      </w:r>
      <w:r>
        <w:t xml:space="preserve"> </w:t>
      </w:r>
      <w:r w:rsidR="00A56A7B">
        <w:t xml:space="preserve">prikazuje </w:t>
      </w:r>
      <w:r w:rsidR="00BE4062">
        <w:t>procjenu ukupnih ulaganja za razdoblje 2021. – 2030. kao i za razdoblje 2031. – 2050.</w:t>
      </w:r>
    </w:p>
    <w:p w14:paraId="0D3A3174" w14:textId="28BCA7DC" w:rsidR="003F4C53" w:rsidRPr="00462AD9" w:rsidRDefault="00C91927" w:rsidP="003F4C53">
      <w:pPr>
        <w:pStyle w:val="Caption"/>
      </w:pPr>
      <w:bookmarkStart w:id="626" w:name="_Ref19965510"/>
      <w:bookmarkStart w:id="627" w:name="_Toc27396233"/>
      <w:r>
        <w:t xml:space="preserve">Tablica </w:t>
      </w:r>
      <w:fldSimple w:instr=" STYLEREF 1 \s ">
        <w:r w:rsidR="00154150">
          <w:rPr>
            <w:noProof/>
          </w:rPr>
          <w:t>5</w:t>
        </w:r>
      </w:fldSimple>
      <w:r w:rsidR="00214B02">
        <w:t>–</w:t>
      </w:r>
      <w:fldSimple w:instr=" SEQ Tablica \* ARABIC \s 1 ">
        <w:r w:rsidR="00154150">
          <w:rPr>
            <w:noProof/>
          </w:rPr>
          <w:t>4</w:t>
        </w:r>
      </w:fldSimple>
      <w:bookmarkEnd w:id="626"/>
      <w:r>
        <w:t xml:space="preserve">.: </w:t>
      </w:r>
      <w:r w:rsidR="003F4C53">
        <w:t>Procjena ukupnih ulaganja za razdoblja 2021. – 2030. i 2031. – 2050.</w:t>
      </w:r>
      <w:bookmarkEnd w:id="627"/>
    </w:p>
    <w:tbl>
      <w:tblPr>
        <w:tblStyle w:val="TableGrid"/>
        <w:tblW w:w="0" w:type="auto"/>
        <w:tblLook w:val="04A0" w:firstRow="1" w:lastRow="0" w:firstColumn="1" w:lastColumn="0" w:noHBand="0" w:noVBand="1"/>
      </w:tblPr>
      <w:tblGrid>
        <w:gridCol w:w="3681"/>
        <w:gridCol w:w="2693"/>
        <w:gridCol w:w="2686"/>
      </w:tblGrid>
      <w:tr w:rsidR="00EC4378" w14:paraId="140E543D" w14:textId="77777777" w:rsidTr="003B3D8A">
        <w:tc>
          <w:tcPr>
            <w:tcW w:w="3681" w:type="dxa"/>
            <w:shd w:val="clear" w:color="auto" w:fill="DEEAF6" w:themeFill="accent1" w:themeFillTint="33"/>
          </w:tcPr>
          <w:p w14:paraId="65F3EF75" w14:textId="2824C779" w:rsidR="00FF2619" w:rsidRPr="00725326" w:rsidRDefault="00FF2619" w:rsidP="00CE6C71">
            <w:pPr>
              <w:rPr>
                <w:b/>
              </w:rPr>
            </w:pPr>
            <w:r w:rsidRPr="00725326">
              <w:rPr>
                <w:rFonts w:cs="Arial"/>
                <w:b/>
                <w:bCs/>
                <w:color w:val="000000"/>
              </w:rPr>
              <w:t>Milijard</w:t>
            </w:r>
            <w:r w:rsidR="008163C0">
              <w:rPr>
                <w:rFonts w:cs="Arial"/>
                <w:b/>
                <w:bCs/>
                <w:color w:val="000000"/>
              </w:rPr>
              <w:t>e</w:t>
            </w:r>
            <w:r w:rsidRPr="00725326">
              <w:rPr>
                <w:rFonts w:cs="Arial"/>
                <w:b/>
                <w:bCs/>
                <w:color w:val="000000"/>
              </w:rPr>
              <w:t xml:space="preserve"> kuna</w:t>
            </w:r>
          </w:p>
        </w:tc>
        <w:tc>
          <w:tcPr>
            <w:tcW w:w="2693" w:type="dxa"/>
            <w:shd w:val="clear" w:color="auto" w:fill="DEEAF6" w:themeFill="accent1" w:themeFillTint="33"/>
          </w:tcPr>
          <w:p w14:paraId="5A36581C" w14:textId="3B0DC428" w:rsidR="00FF2619" w:rsidRPr="00725326" w:rsidRDefault="007F692B" w:rsidP="00725326">
            <w:pPr>
              <w:jc w:val="center"/>
              <w:rPr>
                <w:b/>
              </w:rPr>
            </w:pPr>
            <w:r w:rsidRPr="00725326">
              <w:rPr>
                <w:rFonts w:cs="Arial"/>
                <w:b/>
                <w:color w:val="000000"/>
              </w:rPr>
              <w:t>2021.–2030.</w:t>
            </w:r>
          </w:p>
        </w:tc>
        <w:tc>
          <w:tcPr>
            <w:tcW w:w="2686" w:type="dxa"/>
            <w:shd w:val="clear" w:color="auto" w:fill="DEEAF6" w:themeFill="accent1" w:themeFillTint="33"/>
          </w:tcPr>
          <w:p w14:paraId="71DF06A1" w14:textId="1A2AFA17" w:rsidR="00FF2619" w:rsidRPr="00725326" w:rsidRDefault="007F692B" w:rsidP="00725326">
            <w:pPr>
              <w:jc w:val="center"/>
              <w:rPr>
                <w:b/>
              </w:rPr>
            </w:pPr>
            <w:r w:rsidRPr="00725326">
              <w:rPr>
                <w:rFonts w:cs="Arial"/>
                <w:b/>
                <w:color w:val="000000"/>
              </w:rPr>
              <w:t>2031.–2050.</w:t>
            </w:r>
          </w:p>
        </w:tc>
      </w:tr>
      <w:tr w:rsidR="00EC4378" w14:paraId="761655B5" w14:textId="77777777" w:rsidTr="00E9039B">
        <w:tc>
          <w:tcPr>
            <w:tcW w:w="3681" w:type="dxa"/>
            <w:shd w:val="clear" w:color="auto" w:fill="FFFFFF" w:themeFill="background1"/>
          </w:tcPr>
          <w:p w14:paraId="04C2647B" w14:textId="1229F962" w:rsidR="00FF2619" w:rsidRDefault="004F566A" w:rsidP="00CE6C71">
            <w:r w:rsidRPr="00725326">
              <w:rPr>
                <w:rFonts w:cs="Arial"/>
                <w:color w:val="000000"/>
              </w:rPr>
              <w:t>Proizvodnja električne energije</w:t>
            </w:r>
          </w:p>
        </w:tc>
        <w:tc>
          <w:tcPr>
            <w:tcW w:w="2693" w:type="dxa"/>
            <w:shd w:val="clear" w:color="auto" w:fill="FFFFFF" w:themeFill="background1"/>
          </w:tcPr>
          <w:p w14:paraId="30957EA1" w14:textId="6F50CFFC" w:rsidR="00FF2619" w:rsidRDefault="004F566A" w:rsidP="00725326">
            <w:pPr>
              <w:ind w:right="978"/>
              <w:jc w:val="right"/>
            </w:pPr>
            <w:r w:rsidRPr="00725326">
              <w:rPr>
                <w:rFonts w:cs="Arial"/>
                <w:color w:val="000000"/>
              </w:rPr>
              <w:t>16,32</w:t>
            </w:r>
          </w:p>
        </w:tc>
        <w:tc>
          <w:tcPr>
            <w:tcW w:w="2686" w:type="dxa"/>
            <w:shd w:val="clear" w:color="auto" w:fill="FFFFFF" w:themeFill="background1"/>
          </w:tcPr>
          <w:p w14:paraId="7227A5F3" w14:textId="0A47D6E9" w:rsidR="00FF2619" w:rsidRDefault="004F566A" w:rsidP="00725326">
            <w:pPr>
              <w:ind w:right="978"/>
              <w:jc w:val="right"/>
            </w:pPr>
            <w:r w:rsidRPr="00725326">
              <w:rPr>
                <w:rFonts w:cs="Arial"/>
                <w:color w:val="000000"/>
              </w:rPr>
              <w:t>36,86</w:t>
            </w:r>
          </w:p>
        </w:tc>
      </w:tr>
      <w:tr w:rsidR="00EC4378" w14:paraId="32C1BE00" w14:textId="77777777" w:rsidTr="00E9039B">
        <w:tc>
          <w:tcPr>
            <w:tcW w:w="3681" w:type="dxa"/>
            <w:shd w:val="clear" w:color="auto" w:fill="FFFFFF" w:themeFill="background1"/>
          </w:tcPr>
          <w:p w14:paraId="51E2F976" w14:textId="010C4C8A" w:rsidR="00FF2619" w:rsidRDefault="004F566A" w:rsidP="00CE6C71">
            <w:r w:rsidRPr="00725326">
              <w:rPr>
                <w:rFonts w:cs="Arial"/>
                <w:color w:val="000000"/>
              </w:rPr>
              <w:t>Prijenos električne energije</w:t>
            </w:r>
          </w:p>
        </w:tc>
        <w:tc>
          <w:tcPr>
            <w:tcW w:w="2693" w:type="dxa"/>
            <w:shd w:val="clear" w:color="auto" w:fill="FFFFFF" w:themeFill="background1"/>
          </w:tcPr>
          <w:p w14:paraId="0B8915B0" w14:textId="4FE0FDD5" w:rsidR="00FF2619" w:rsidRDefault="004F566A" w:rsidP="00725326">
            <w:pPr>
              <w:ind w:right="978"/>
              <w:jc w:val="right"/>
            </w:pPr>
            <w:r w:rsidRPr="00725326">
              <w:rPr>
                <w:rFonts w:cs="Arial"/>
                <w:color w:val="000000"/>
              </w:rPr>
              <w:t>7,90</w:t>
            </w:r>
          </w:p>
        </w:tc>
        <w:tc>
          <w:tcPr>
            <w:tcW w:w="2686" w:type="dxa"/>
            <w:shd w:val="clear" w:color="auto" w:fill="FFFFFF" w:themeFill="background1"/>
          </w:tcPr>
          <w:p w14:paraId="2511B10B" w14:textId="0576BAF6" w:rsidR="00FF2619" w:rsidRDefault="004F566A" w:rsidP="00725326">
            <w:pPr>
              <w:ind w:right="978"/>
              <w:jc w:val="right"/>
            </w:pPr>
            <w:r w:rsidRPr="00725326">
              <w:rPr>
                <w:rFonts w:cs="Arial"/>
                <w:color w:val="000000"/>
              </w:rPr>
              <w:t>9,90</w:t>
            </w:r>
          </w:p>
        </w:tc>
      </w:tr>
      <w:tr w:rsidR="00EC4378" w14:paraId="7F50107E" w14:textId="77777777" w:rsidTr="00E9039B">
        <w:tc>
          <w:tcPr>
            <w:tcW w:w="3681" w:type="dxa"/>
            <w:shd w:val="clear" w:color="auto" w:fill="FFFFFF" w:themeFill="background1"/>
          </w:tcPr>
          <w:p w14:paraId="4DA2D905" w14:textId="36EF217F" w:rsidR="00FF2619" w:rsidRDefault="004F566A" w:rsidP="00CE6C71">
            <w:r w:rsidRPr="00725326">
              <w:rPr>
                <w:rFonts w:cs="Arial"/>
                <w:color w:val="000000"/>
              </w:rPr>
              <w:t>Distribucija električne energije</w:t>
            </w:r>
          </w:p>
        </w:tc>
        <w:tc>
          <w:tcPr>
            <w:tcW w:w="2693" w:type="dxa"/>
            <w:shd w:val="clear" w:color="auto" w:fill="FFFFFF" w:themeFill="background1"/>
          </w:tcPr>
          <w:p w14:paraId="7B6C788B" w14:textId="0EE4CC79" w:rsidR="00FF2619" w:rsidRDefault="004F566A" w:rsidP="00725326">
            <w:pPr>
              <w:ind w:right="978"/>
              <w:jc w:val="right"/>
            </w:pPr>
            <w:r w:rsidRPr="00725326">
              <w:rPr>
                <w:rFonts w:cs="Arial"/>
                <w:color w:val="000000"/>
              </w:rPr>
              <w:t>10,0</w:t>
            </w:r>
          </w:p>
        </w:tc>
        <w:tc>
          <w:tcPr>
            <w:tcW w:w="2686" w:type="dxa"/>
            <w:shd w:val="clear" w:color="auto" w:fill="FFFFFF" w:themeFill="background1"/>
          </w:tcPr>
          <w:p w14:paraId="0B5963A3" w14:textId="7A84EE6F" w:rsidR="00FF2619" w:rsidRDefault="004F566A" w:rsidP="00725326">
            <w:pPr>
              <w:ind w:right="978"/>
              <w:jc w:val="right"/>
            </w:pPr>
            <w:r w:rsidRPr="00725326">
              <w:rPr>
                <w:rFonts w:cs="Arial"/>
                <w:color w:val="000000"/>
              </w:rPr>
              <w:t>20,0</w:t>
            </w:r>
          </w:p>
        </w:tc>
      </w:tr>
      <w:tr w:rsidR="00EC4378" w14:paraId="111BED90" w14:textId="77777777" w:rsidTr="00E9039B">
        <w:tc>
          <w:tcPr>
            <w:tcW w:w="3681" w:type="dxa"/>
            <w:shd w:val="clear" w:color="auto" w:fill="FFFFFF" w:themeFill="background1"/>
          </w:tcPr>
          <w:p w14:paraId="3D95BF63" w14:textId="58BC062B" w:rsidR="00FF2619" w:rsidRDefault="004F566A" w:rsidP="00CE6C71">
            <w:r w:rsidRPr="00725326">
              <w:rPr>
                <w:rFonts w:cs="Arial"/>
                <w:color w:val="000000"/>
              </w:rPr>
              <w:t>Toplinarstvo</w:t>
            </w:r>
          </w:p>
        </w:tc>
        <w:tc>
          <w:tcPr>
            <w:tcW w:w="2693" w:type="dxa"/>
            <w:shd w:val="clear" w:color="auto" w:fill="FFFFFF" w:themeFill="background1"/>
          </w:tcPr>
          <w:p w14:paraId="34DC1E7E" w14:textId="4045848D" w:rsidR="00FF2619" w:rsidRDefault="004F566A" w:rsidP="00725326">
            <w:pPr>
              <w:ind w:right="978"/>
              <w:jc w:val="right"/>
            </w:pPr>
            <w:r w:rsidRPr="00725326">
              <w:rPr>
                <w:rFonts w:cs="Arial"/>
                <w:color w:val="000000"/>
              </w:rPr>
              <w:t>0,60</w:t>
            </w:r>
          </w:p>
        </w:tc>
        <w:tc>
          <w:tcPr>
            <w:tcW w:w="2686" w:type="dxa"/>
            <w:shd w:val="clear" w:color="auto" w:fill="FFFFFF" w:themeFill="background1"/>
          </w:tcPr>
          <w:p w14:paraId="7B8AA654" w14:textId="45FAE266" w:rsidR="00FF2619" w:rsidRDefault="004F566A" w:rsidP="00725326">
            <w:pPr>
              <w:ind w:right="978"/>
              <w:jc w:val="right"/>
            </w:pPr>
            <w:r w:rsidRPr="00725326">
              <w:rPr>
                <w:rFonts w:cs="Arial"/>
                <w:color w:val="000000"/>
              </w:rPr>
              <w:t>1,20</w:t>
            </w:r>
          </w:p>
        </w:tc>
      </w:tr>
      <w:tr w:rsidR="00EC4378" w14:paraId="158FA6BD" w14:textId="77777777" w:rsidTr="00E9039B">
        <w:tc>
          <w:tcPr>
            <w:tcW w:w="3681" w:type="dxa"/>
            <w:shd w:val="clear" w:color="auto" w:fill="FFFFFF" w:themeFill="background1"/>
          </w:tcPr>
          <w:p w14:paraId="77756954" w14:textId="44CC4057" w:rsidR="00FF2619" w:rsidRDefault="004F566A" w:rsidP="00CE6C71">
            <w:r w:rsidRPr="00725326">
              <w:rPr>
                <w:rFonts w:cs="Arial"/>
                <w:color w:val="000000"/>
              </w:rPr>
              <w:t>Sunčani toplinski sustavi</w:t>
            </w:r>
          </w:p>
        </w:tc>
        <w:tc>
          <w:tcPr>
            <w:tcW w:w="2693" w:type="dxa"/>
            <w:shd w:val="clear" w:color="auto" w:fill="FFFFFF" w:themeFill="background1"/>
          </w:tcPr>
          <w:p w14:paraId="6E56A84F" w14:textId="6ACD28E9" w:rsidR="00FF2619" w:rsidRDefault="004F566A" w:rsidP="00725326">
            <w:pPr>
              <w:ind w:right="978"/>
              <w:jc w:val="right"/>
            </w:pPr>
            <w:r w:rsidRPr="00725326">
              <w:rPr>
                <w:rFonts w:cs="Arial"/>
                <w:color w:val="000000"/>
              </w:rPr>
              <w:t>3,04</w:t>
            </w:r>
          </w:p>
        </w:tc>
        <w:tc>
          <w:tcPr>
            <w:tcW w:w="2686" w:type="dxa"/>
            <w:shd w:val="clear" w:color="auto" w:fill="FFFFFF" w:themeFill="background1"/>
          </w:tcPr>
          <w:p w14:paraId="0D83D504" w14:textId="5BA774A5" w:rsidR="00FF2619" w:rsidRDefault="004F566A" w:rsidP="00725326">
            <w:pPr>
              <w:ind w:right="978"/>
              <w:jc w:val="right"/>
            </w:pPr>
            <w:r w:rsidRPr="00725326">
              <w:rPr>
                <w:rFonts w:cs="Arial"/>
                <w:color w:val="000000"/>
              </w:rPr>
              <w:t>6,08</w:t>
            </w:r>
          </w:p>
        </w:tc>
      </w:tr>
      <w:tr w:rsidR="00EC4378" w14:paraId="120B4C95" w14:textId="77777777" w:rsidTr="00E9039B">
        <w:tc>
          <w:tcPr>
            <w:tcW w:w="3681" w:type="dxa"/>
            <w:shd w:val="clear" w:color="auto" w:fill="FFFFFF" w:themeFill="background1"/>
          </w:tcPr>
          <w:p w14:paraId="42FC618C" w14:textId="4232BD7A" w:rsidR="00FF2619" w:rsidRDefault="004F566A" w:rsidP="00CE6C71">
            <w:r w:rsidRPr="00725326">
              <w:rPr>
                <w:rFonts w:cs="Arial"/>
                <w:color w:val="000000"/>
              </w:rPr>
              <w:t>Transport i distribucija prirodnog plina</w:t>
            </w:r>
          </w:p>
        </w:tc>
        <w:tc>
          <w:tcPr>
            <w:tcW w:w="2693" w:type="dxa"/>
            <w:shd w:val="clear" w:color="auto" w:fill="FFFFFF" w:themeFill="background1"/>
          </w:tcPr>
          <w:p w14:paraId="67371D3C" w14:textId="2F9BBB80" w:rsidR="00FF2619" w:rsidRDefault="004F566A" w:rsidP="00725326">
            <w:pPr>
              <w:ind w:right="978"/>
              <w:jc w:val="right"/>
            </w:pPr>
            <w:r w:rsidRPr="00725326">
              <w:rPr>
                <w:rFonts w:cs="Arial"/>
              </w:rPr>
              <w:t>10,7</w:t>
            </w:r>
          </w:p>
        </w:tc>
        <w:tc>
          <w:tcPr>
            <w:tcW w:w="2686" w:type="dxa"/>
            <w:shd w:val="clear" w:color="auto" w:fill="FFFFFF" w:themeFill="background1"/>
          </w:tcPr>
          <w:p w14:paraId="48697DC8" w14:textId="0474F099" w:rsidR="00FF2619" w:rsidRDefault="004F566A" w:rsidP="00725326">
            <w:pPr>
              <w:ind w:right="978"/>
              <w:jc w:val="right"/>
            </w:pPr>
            <w:r w:rsidRPr="00725326">
              <w:rPr>
                <w:rFonts w:cs="Arial"/>
              </w:rPr>
              <w:t>2,80</w:t>
            </w:r>
          </w:p>
        </w:tc>
      </w:tr>
      <w:tr w:rsidR="00EC4378" w14:paraId="5F0FCA83" w14:textId="77777777" w:rsidTr="00E9039B">
        <w:tc>
          <w:tcPr>
            <w:tcW w:w="3681" w:type="dxa"/>
            <w:shd w:val="clear" w:color="auto" w:fill="FFFFFF" w:themeFill="background1"/>
          </w:tcPr>
          <w:p w14:paraId="5685AB52" w14:textId="153EE1EB" w:rsidR="00FF2619" w:rsidRDefault="004F566A" w:rsidP="00CE6C71">
            <w:r w:rsidRPr="00725326">
              <w:rPr>
                <w:rFonts w:cs="Arial"/>
                <w:color w:val="000000"/>
              </w:rPr>
              <w:t>Naftni sektor</w:t>
            </w:r>
          </w:p>
        </w:tc>
        <w:tc>
          <w:tcPr>
            <w:tcW w:w="2693" w:type="dxa"/>
            <w:shd w:val="clear" w:color="auto" w:fill="FFFFFF" w:themeFill="background1"/>
          </w:tcPr>
          <w:p w14:paraId="610A55A8" w14:textId="286DC106" w:rsidR="00FF2619" w:rsidRDefault="004F566A" w:rsidP="00725326">
            <w:pPr>
              <w:ind w:right="978"/>
              <w:jc w:val="right"/>
            </w:pPr>
            <w:r w:rsidRPr="00725326">
              <w:rPr>
                <w:rFonts w:cs="Arial"/>
                <w:color w:val="000000"/>
              </w:rPr>
              <w:t>13,0</w:t>
            </w:r>
          </w:p>
        </w:tc>
        <w:tc>
          <w:tcPr>
            <w:tcW w:w="2686" w:type="dxa"/>
            <w:shd w:val="clear" w:color="auto" w:fill="FFFFFF" w:themeFill="background1"/>
          </w:tcPr>
          <w:p w14:paraId="64850B4F" w14:textId="1592D60E" w:rsidR="00FF2619" w:rsidRDefault="004F566A" w:rsidP="00725326">
            <w:pPr>
              <w:ind w:right="978"/>
              <w:jc w:val="right"/>
            </w:pPr>
            <w:r w:rsidRPr="00725326">
              <w:rPr>
                <w:rFonts w:cs="Arial"/>
                <w:color w:val="000000"/>
              </w:rPr>
              <w:t>9,9</w:t>
            </w:r>
          </w:p>
        </w:tc>
      </w:tr>
      <w:tr w:rsidR="00EC4378" w14:paraId="30106267" w14:textId="77777777" w:rsidTr="00E9039B">
        <w:tc>
          <w:tcPr>
            <w:tcW w:w="3681" w:type="dxa"/>
            <w:shd w:val="clear" w:color="auto" w:fill="FFFFFF" w:themeFill="background1"/>
          </w:tcPr>
          <w:p w14:paraId="69ABEAA7" w14:textId="3D2A8684" w:rsidR="00FF2619" w:rsidRDefault="004F566A" w:rsidP="00CE6C71">
            <w:r w:rsidRPr="00725326">
              <w:rPr>
                <w:rFonts w:cs="Arial"/>
                <w:color w:val="000000"/>
              </w:rPr>
              <w:t>Istraživanje ugljikovodika</w:t>
            </w:r>
          </w:p>
        </w:tc>
        <w:tc>
          <w:tcPr>
            <w:tcW w:w="2693" w:type="dxa"/>
            <w:shd w:val="clear" w:color="auto" w:fill="FFFFFF" w:themeFill="background1"/>
          </w:tcPr>
          <w:p w14:paraId="0355EC7A" w14:textId="23774EF8" w:rsidR="00FF2619" w:rsidRDefault="004F566A" w:rsidP="00725326">
            <w:pPr>
              <w:ind w:right="978"/>
              <w:jc w:val="right"/>
            </w:pPr>
            <w:r w:rsidRPr="00725326">
              <w:rPr>
                <w:rFonts w:cs="Arial"/>
                <w:color w:val="000000"/>
              </w:rPr>
              <w:t>24,3</w:t>
            </w:r>
          </w:p>
        </w:tc>
        <w:tc>
          <w:tcPr>
            <w:tcW w:w="2686" w:type="dxa"/>
            <w:shd w:val="clear" w:color="auto" w:fill="FFFFFF" w:themeFill="background1"/>
          </w:tcPr>
          <w:p w14:paraId="125DB5B4" w14:textId="331D51D7" w:rsidR="00FF2619" w:rsidRDefault="004F566A" w:rsidP="00725326">
            <w:pPr>
              <w:ind w:right="978"/>
              <w:jc w:val="right"/>
            </w:pPr>
            <w:r w:rsidRPr="00725326">
              <w:rPr>
                <w:rFonts w:cs="Arial"/>
                <w:color w:val="000000"/>
              </w:rPr>
              <w:t>14,3</w:t>
            </w:r>
          </w:p>
        </w:tc>
      </w:tr>
      <w:tr w:rsidR="00EC4378" w14:paraId="7DD53940" w14:textId="77777777" w:rsidTr="00E9039B">
        <w:tc>
          <w:tcPr>
            <w:tcW w:w="3681" w:type="dxa"/>
            <w:shd w:val="clear" w:color="auto" w:fill="FFFFFF" w:themeFill="background1"/>
          </w:tcPr>
          <w:p w14:paraId="7E919B7B" w14:textId="06D98578" w:rsidR="00FF2619" w:rsidRDefault="004F566A" w:rsidP="00CE6C71">
            <w:r w:rsidRPr="00725326">
              <w:rPr>
                <w:rFonts w:cs="Arial"/>
                <w:color w:val="000000"/>
              </w:rPr>
              <w:t>Zgradarstvo – energetska obnova zgrada</w:t>
            </w:r>
          </w:p>
        </w:tc>
        <w:tc>
          <w:tcPr>
            <w:tcW w:w="2693" w:type="dxa"/>
            <w:shd w:val="clear" w:color="auto" w:fill="FFFFFF" w:themeFill="background1"/>
          </w:tcPr>
          <w:p w14:paraId="3306B6D8" w14:textId="61E1F055" w:rsidR="00FF2619" w:rsidRDefault="004F566A" w:rsidP="00725326">
            <w:pPr>
              <w:ind w:right="978"/>
              <w:jc w:val="right"/>
            </w:pPr>
            <w:r w:rsidRPr="00725326">
              <w:rPr>
                <w:rFonts w:cs="Arial"/>
                <w:color w:val="000000"/>
              </w:rPr>
              <w:t>13,06</w:t>
            </w:r>
          </w:p>
        </w:tc>
        <w:tc>
          <w:tcPr>
            <w:tcW w:w="2686" w:type="dxa"/>
            <w:shd w:val="clear" w:color="auto" w:fill="FFFFFF" w:themeFill="background1"/>
          </w:tcPr>
          <w:p w14:paraId="23A14B5F" w14:textId="33CDDF5F" w:rsidR="00FF2619" w:rsidRDefault="004F566A" w:rsidP="00725326">
            <w:pPr>
              <w:ind w:right="978"/>
              <w:jc w:val="right"/>
            </w:pPr>
            <w:r w:rsidRPr="00725326">
              <w:rPr>
                <w:rFonts w:cs="Arial"/>
                <w:color w:val="000000"/>
              </w:rPr>
              <w:t>27,91</w:t>
            </w:r>
          </w:p>
        </w:tc>
      </w:tr>
      <w:tr w:rsidR="00EC4378" w14:paraId="73D7BFE6" w14:textId="77777777" w:rsidTr="00E9039B">
        <w:tc>
          <w:tcPr>
            <w:tcW w:w="3681" w:type="dxa"/>
            <w:shd w:val="clear" w:color="auto" w:fill="FFFFFF" w:themeFill="background1"/>
          </w:tcPr>
          <w:p w14:paraId="31C40190" w14:textId="7BFF07F7" w:rsidR="00FF2619" w:rsidRDefault="004F566A" w:rsidP="00CE6C71">
            <w:r w:rsidRPr="00725326">
              <w:rPr>
                <w:rFonts w:cs="Arial"/>
                <w:color w:val="000000"/>
              </w:rPr>
              <w:t>Zgradarstvo – nZEB novogradnja</w:t>
            </w:r>
          </w:p>
        </w:tc>
        <w:tc>
          <w:tcPr>
            <w:tcW w:w="2693" w:type="dxa"/>
            <w:shd w:val="clear" w:color="auto" w:fill="FFFFFF" w:themeFill="background1"/>
          </w:tcPr>
          <w:p w14:paraId="477CC981" w14:textId="01E18160" w:rsidR="00FF2619" w:rsidRDefault="004F566A" w:rsidP="00725326">
            <w:pPr>
              <w:ind w:right="978"/>
              <w:jc w:val="right"/>
            </w:pPr>
            <w:r w:rsidRPr="00725326">
              <w:rPr>
                <w:rFonts w:cs="Arial"/>
                <w:color w:val="000000"/>
              </w:rPr>
              <w:t>38,26</w:t>
            </w:r>
          </w:p>
        </w:tc>
        <w:tc>
          <w:tcPr>
            <w:tcW w:w="2686" w:type="dxa"/>
            <w:shd w:val="clear" w:color="auto" w:fill="FFFFFF" w:themeFill="background1"/>
          </w:tcPr>
          <w:p w14:paraId="194B2BB0" w14:textId="432CF00E" w:rsidR="00FF2619" w:rsidRDefault="004F566A" w:rsidP="00725326">
            <w:pPr>
              <w:ind w:right="978"/>
              <w:jc w:val="right"/>
            </w:pPr>
            <w:r w:rsidRPr="00725326">
              <w:rPr>
                <w:rFonts w:cs="Arial"/>
                <w:color w:val="000000"/>
              </w:rPr>
              <w:t>104,42</w:t>
            </w:r>
          </w:p>
        </w:tc>
      </w:tr>
      <w:tr w:rsidR="00EC4378" w14:paraId="5FCBEBD5" w14:textId="77777777" w:rsidTr="00E9039B">
        <w:tc>
          <w:tcPr>
            <w:tcW w:w="3681" w:type="dxa"/>
            <w:shd w:val="clear" w:color="auto" w:fill="FFFFFF" w:themeFill="background1"/>
          </w:tcPr>
          <w:p w14:paraId="7419DF6F" w14:textId="22A9A182" w:rsidR="00FF2619" w:rsidRDefault="00CD638D" w:rsidP="00CE6C71">
            <w:r w:rsidRPr="00725326">
              <w:rPr>
                <w:rFonts w:cs="Arial"/>
                <w:color w:val="000000"/>
              </w:rPr>
              <w:t>Infrastruktura alternativnih oblika energije u prometu</w:t>
            </w:r>
          </w:p>
        </w:tc>
        <w:tc>
          <w:tcPr>
            <w:tcW w:w="2693" w:type="dxa"/>
            <w:shd w:val="clear" w:color="auto" w:fill="FFFFFF" w:themeFill="background1"/>
          </w:tcPr>
          <w:p w14:paraId="1F9DA4C8" w14:textId="60A5C075" w:rsidR="00FF2619" w:rsidRDefault="00CD638D" w:rsidP="00725326">
            <w:pPr>
              <w:ind w:right="978"/>
              <w:jc w:val="right"/>
            </w:pPr>
            <w:r w:rsidRPr="00725326">
              <w:rPr>
                <w:rFonts w:cs="Arial"/>
                <w:color w:val="000000"/>
              </w:rPr>
              <w:t>0,57</w:t>
            </w:r>
          </w:p>
        </w:tc>
        <w:tc>
          <w:tcPr>
            <w:tcW w:w="2686" w:type="dxa"/>
            <w:shd w:val="clear" w:color="auto" w:fill="FFFFFF" w:themeFill="background1"/>
          </w:tcPr>
          <w:p w14:paraId="7DC73F14" w14:textId="51D5263D" w:rsidR="00FF2619" w:rsidRDefault="00CD638D" w:rsidP="00725326">
            <w:pPr>
              <w:ind w:right="978"/>
              <w:jc w:val="right"/>
            </w:pPr>
            <w:r w:rsidRPr="00725326">
              <w:rPr>
                <w:rFonts w:cs="Arial"/>
                <w:color w:val="000000"/>
              </w:rPr>
              <w:t>3,34</w:t>
            </w:r>
          </w:p>
        </w:tc>
      </w:tr>
      <w:tr w:rsidR="00EC4378" w14:paraId="3B3438A3" w14:textId="77777777" w:rsidTr="00E9039B">
        <w:tc>
          <w:tcPr>
            <w:tcW w:w="3681" w:type="dxa"/>
            <w:shd w:val="clear" w:color="auto" w:fill="FFFFFF" w:themeFill="background1"/>
          </w:tcPr>
          <w:p w14:paraId="656FA3CA" w14:textId="7928D4EA" w:rsidR="00FF2619" w:rsidRDefault="00CD638D" w:rsidP="00CE6C71">
            <w:r w:rsidRPr="00725326">
              <w:rPr>
                <w:rFonts w:cs="Arial"/>
                <w:color w:val="000000"/>
              </w:rPr>
              <w:t>Proizvodnja naprednih biogoriva</w:t>
            </w:r>
          </w:p>
        </w:tc>
        <w:tc>
          <w:tcPr>
            <w:tcW w:w="2693" w:type="dxa"/>
            <w:shd w:val="clear" w:color="auto" w:fill="FFFFFF" w:themeFill="background1"/>
          </w:tcPr>
          <w:p w14:paraId="06EB6968" w14:textId="2E7CFE49" w:rsidR="00FF2619" w:rsidRDefault="00CD638D" w:rsidP="00725326">
            <w:pPr>
              <w:ind w:right="978"/>
              <w:jc w:val="right"/>
            </w:pPr>
            <w:r w:rsidRPr="00725326">
              <w:rPr>
                <w:rFonts w:cs="Arial"/>
                <w:color w:val="000000"/>
              </w:rPr>
              <w:t>3,73</w:t>
            </w:r>
          </w:p>
        </w:tc>
        <w:tc>
          <w:tcPr>
            <w:tcW w:w="2686" w:type="dxa"/>
            <w:shd w:val="clear" w:color="auto" w:fill="FFFFFF" w:themeFill="background1"/>
          </w:tcPr>
          <w:p w14:paraId="10377946" w14:textId="0C33F1F1" w:rsidR="00FF2619" w:rsidRDefault="00CD638D" w:rsidP="00725326">
            <w:pPr>
              <w:ind w:right="978"/>
              <w:jc w:val="right"/>
            </w:pPr>
            <w:r w:rsidRPr="00725326">
              <w:rPr>
                <w:rFonts w:cs="Arial"/>
                <w:color w:val="000000"/>
              </w:rPr>
              <w:t>0,72</w:t>
            </w:r>
          </w:p>
        </w:tc>
      </w:tr>
      <w:tr w:rsidR="00EC4378" w14:paraId="3638C037" w14:textId="77777777" w:rsidTr="00E9039B">
        <w:tc>
          <w:tcPr>
            <w:tcW w:w="3681" w:type="dxa"/>
            <w:shd w:val="clear" w:color="auto" w:fill="FFFFFF" w:themeFill="background1"/>
          </w:tcPr>
          <w:p w14:paraId="5B39EB5A" w14:textId="76B3F18B" w:rsidR="00FF2619" w:rsidRPr="00725326" w:rsidRDefault="00CD638D" w:rsidP="00CE6C71">
            <w:pPr>
              <w:rPr>
                <w:b/>
              </w:rPr>
            </w:pPr>
            <w:r w:rsidRPr="00725326">
              <w:rPr>
                <w:b/>
              </w:rPr>
              <w:t>Ukupno</w:t>
            </w:r>
          </w:p>
        </w:tc>
        <w:tc>
          <w:tcPr>
            <w:tcW w:w="2693" w:type="dxa"/>
            <w:shd w:val="clear" w:color="auto" w:fill="FFFFFF" w:themeFill="background1"/>
          </w:tcPr>
          <w:p w14:paraId="5806C365" w14:textId="0CD8A42B" w:rsidR="00FF2619" w:rsidRPr="0001578B" w:rsidRDefault="00CD638D" w:rsidP="00725326">
            <w:pPr>
              <w:ind w:right="978"/>
              <w:jc w:val="right"/>
            </w:pPr>
            <w:r w:rsidRPr="00725326">
              <w:rPr>
                <w:rFonts w:cs="Arial"/>
                <w:b/>
                <w:color w:val="000000"/>
              </w:rPr>
              <w:t>141,47</w:t>
            </w:r>
          </w:p>
        </w:tc>
        <w:tc>
          <w:tcPr>
            <w:tcW w:w="2686" w:type="dxa"/>
            <w:shd w:val="clear" w:color="auto" w:fill="FFFFFF" w:themeFill="background1"/>
          </w:tcPr>
          <w:p w14:paraId="1682E285" w14:textId="6E1ECD53" w:rsidR="00FF2619" w:rsidRPr="0001578B" w:rsidRDefault="00CD638D" w:rsidP="00725326">
            <w:pPr>
              <w:ind w:right="978"/>
              <w:jc w:val="right"/>
            </w:pPr>
            <w:r w:rsidRPr="00725326">
              <w:rPr>
                <w:rFonts w:cs="Arial"/>
                <w:b/>
                <w:color w:val="000000"/>
              </w:rPr>
              <w:t>237,43</w:t>
            </w:r>
          </w:p>
        </w:tc>
      </w:tr>
    </w:tbl>
    <w:p w14:paraId="3C2DC005" w14:textId="76F2ABB8" w:rsidR="00FF2619" w:rsidRPr="00A56A7B" w:rsidRDefault="0001578B" w:rsidP="00CE6C71">
      <w:r>
        <w:t>Najve</w:t>
      </w:r>
      <w:r w:rsidR="00CB4D3B">
        <w:t xml:space="preserve">ća ulaganja očekuju se u postrojenja za proizvodnju električne energije (glavnina od čega će biti ulaganja u postrojenja koja koriste obnovljive izvore energije) te </w:t>
      </w:r>
      <w:r w:rsidR="00835F80">
        <w:t xml:space="preserve">u zgradarstvo, i to izgradnju zgrada i kuća gotovo nulte potrošnje energije. </w:t>
      </w:r>
      <w:r w:rsidR="00701CF4">
        <w:t xml:space="preserve">U pogledu neophodnih poticaja, najveće će potrebe biti </w:t>
      </w:r>
      <w:r w:rsidR="00812A8D">
        <w:t>u</w:t>
      </w:r>
      <w:r w:rsidR="00701CF4">
        <w:t xml:space="preserve"> energetsk</w:t>
      </w:r>
      <w:r w:rsidR="00812A8D">
        <w:t>oj</w:t>
      </w:r>
      <w:r w:rsidR="00701CF4">
        <w:t xml:space="preserve"> obnov</w:t>
      </w:r>
      <w:r w:rsidR="00812A8D">
        <w:t>i</w:t>
      </w:r>
      <w:r w:rsidR="00701CF4">
        <w:t xml:space="preserve"> postojećeg fonda zgrada</w:t>
      </w:r>
      <w:r w:rsidR="00812A8D">
        <w:t>.</w:t>
      </w:r>
    </w:p>
    <w:p w14:paraId="61B300AE" w14:textId="77777777" w:rsidR="0001578B" w:rsidRPr="00A56A7B" w:rsidRDefault="0001578B" w:rsidP="00CE6C71"/>
    <w:p w14:paraId="4C4DD929" w14:textId="77777777" w:rsidR="00E26CE1" w:rsidRPr="00BE1ECD" w:rsidRDefault="00E26CE1" w:rsidP="00840E2E">
      <w:pPr>
        <w:pStyle w:val="Heading3"/>
        <w:numPr>
          <w:ilvl w:val="0"/>
          <w:numId w:val="88"/>
        </w:numPr>
      </w:pPr>
      <w:r w:rsidRPr="00BE1ECD">
        <w:t>Čimbenici rizika sektora ili tržišta ili prepreke u nacionalnom ili regionalnom kontekstu;</w:t>
      </w:r>
    </w:p>
    <w:p w14:paraId="5C1DC148" w14:textId="7770E1EF" w:rsidR="00A64E78" w:rsidRDefault="003B7C6B" w:rsidP="00A64E78">
      <w:pPr>
        <w:shd w:val="clear" w:color="auto" w:fill="FFFFFF" w:themeFill="background1"/>
      </w:pPr>
      <w:r>
        <w:t xml:space="preserve">Najvažniji rizici su povezani s kašnjenjem u provedbi regulatornih mjera </w:t>
      </w:r>
      <w:r w:rsidR="0080799F">
        <w:t xml:space="preserve">i nedostatna sredstva za provedbu </w:t>
      </w:r>
      <w:r w:rsidR="00E570CD">
        <w:t>financijskih mjera.</w:t>
      </w:r>
    </w:p>
    <w:p w14:paraId="31DBA19A" w14:textId="40B92154" w:rsidR="00A64E78" w:rsidRPr="00A64E78" w:rsidRDefault="008426CA" w:rsidP="00A64E78">
      <w:pPr>
        <w:shd w:val="clear" w:color="auto" w:fill="FFFFFF" w:themeFill="background1"/>
      </w:pPr>
      <w:r>
        <w:t xml:space="preserve">Navedeni će se rizici umanjiti </w:t>
      </w:r>
      <w:r w:rsidR="0087465C">
        <w:t>kontinuiranim praćenjem provedbe mjera i</w:t>
      </w:r>
      <w:r w:rsidR="00DB4F00">
        <w:t>, po potrebi,</w:t>
      </w:r>
      <w:r w:rsidR="0087465C">
        <w:t xml:space="preserve"> </w:t>
      </w:r>
      <w:r w:rsidR="00DB4F00">
        <w:t>poduzimanjem korektivnih mjera.</w:t>
      </w:r>
    </w:p>
    <w:p w14:paraId="1940700E" w14:textId="77777777" w:rsidR="005D620B" w:rsidRPr="00A64E78" w:rsidRDefault="005D620B" w:rsidP="00725326">
      <w:pPr>
        <w:shd w:val="clear" w:color="auto" w:fill="FFFFFF" w:themeFill="background1"/>
      </w:pPr>
    </w:p>
    <w:p w14:paraId="20FA5ED6" w14:textId="77777777" w:rsidR="00660614" w:rsidRPr="00BE1ECD" w:rsidRDefault="00660614" w:rsidP="00840E2E">
      <w:pPr>
        <w:pStyle w:val="Heading3"/>
        <w:numPr>
          <w:ilvl w:val="0"/>
          <w:numId w:val="88"/>
        </w:numPr>
      </w:pPr>
      <w:r w:rsidRPr="00BE1ECD">
        <w:t>Analiza dodatne potpore javnih financija ili izvora za popunjavanje nedostataka utvrđenih u okviru podtočke ii.</w:t>
      </w:r>
    </w:p>
    <w:p w14:paraId="44AADEDE" w14:textId="16537CA2" w:rsidR="00146766" w:rsidRDefault="00146766" w:rsidP="00725326">
      <w:pPr>
        <w:shd w:val="clear" w:color="auto" w:fill="FFFFFF" w:themeFill="background1"/>
        <w:tabs>
          <w:tab w:val="left" w:pos="709"/>
        </w:tabs>
      </w:pPr>
      <w:r>
        <w:t>Očekuje se kako će najznačajni</w:t>
      </w:r>
      <w:r w:rsidR="00DF660A">
        <w:t>ji</w:t>
      </w:r>
      <w:r>
        <w:t xml:space="preserve"> dio potrebnih sredstava biti osigurani iz </w:t>
      </w:r>
      <w:r w:rsidR="00EB061B">
        <w:t>E</w:t>
      </w:r>
      <w:r w:rsidR="00D12C07">
        <w:t>uropskih strukturnih i investicijskih fondova</w:t>
      </w:r>
      <w:r w:rsidR="00EB061B">
        <w:t xml:space="preserve"> (ESIF)</w:t>
      </w:r>
      <w:r w:rsidR="00D12C07">
        <w:t xml:space="preserve">, </w:t>
      </w:r>
      <w:r w:rsidR="00EB061B" w:rsidRPr="00EB061B">
        <w:t>Europsk</w:t>
      </w:r>
      <w:r w:rsidR="00EB061B">
        <w:t>og</w:t>
      </w:r>
      <w:r w:rsidR="00EB061B" w:rsidRPr="00EB061B">
        <w:t xml:space="preserve"> fond</w:t>
      </w:r>
      <w:r w:rsidR="00EB061B">
        <w:t>a</w:t>
      </w:r>
      <w:r w:rsidR="00EB061B" w:rsidRPr="00EB061B">
        <w:t xml:space="preserve"> za strateška ulaganja (EFSU), </w:t>
      </w:r>
      <w:r w:rsidR="000411EA">
        <w:t>M</w:t>
      </w:r>
      <w:r w:rsidR="00EB2569">
        <w:t>odernizacij</w:t>
      </w:r>
      <w:r w:rsidR="000411EA">
        <w:t>skog fonda</w:t>
      </w:r>
      <w:r w:rsidR="00EB2569">
        <w:t xml:space="preserve">, Inovacijskog fonda, </w:t>
      </w:r>
      <w:r w:rsidR="00DA15B5">
        <w:t xml:space="preserve">financijskim sredstvima </w:t>
      </w:r>
      <w:r w:rsidR="00D12C07">
        <w:t xml:space="preserve">od </w:t>
      </w:r>
      <w:r w:rsidR="009A2C00">
        <w:t xml:space="preserve">dražbi </w:t>
      </w:r>
      <w:r w:rsidR="00CA2E98">
        <w:t>emisijski</w:t>
      </w:r>
      <w:r w:rsidR="009A2C00">
        <w:t>h</w:t>
      </w:r>
      <w:r w:rsidR="00CA2E98">
        <w:t xml:space="preserve"> jedinica</w:t>
      </w:r>
      <w:r w:rsidR="002A7A72">
        <w:t xml:space="preserve">, </w:t>
      </w:r>
      <w:r w:rsidR="008163C0">
        <w:t xml:space="preserve">iz </w:t>
      </w:r>
      <w:r w:rsidR="002A7A72">
        <w:t xml:space="preserve">europskih programa za istraživanje, razvoj i </w:t>
      </w:r>
      <w:r w:rsidR="00AB3871">
        <w:t>konkurentnost</w:t>
      </w:r>
      <w:r w:rsidR="00CA2E98">
        <w:t xml:space="preserve"> te iz nacionalnih izvora</w:t>
      </w:r>
      <w:r w:rsidR="00AB3871">
        <w:t>.</w:t>
      </w:r>
      <w:r w:rsidR="00CA2E98">
        <w:t xml:space="preserve"> </w:t>
      </w:r>
      <w:r w:rsidR="0041535B">
        <w:t xml:space="preserve">Očekuje se financiranje </w:t>
      </w:r>
      <w:r w:rsidR="0041535B" w:rsidRPr="00EB061B">
        <w:t>Europske investicijske banke (EIB) i Europske banke za obnovu i razvoj (EBRD</w:t>
      </w:r>
      <w:r w:rsidR="0041535B">
        <w:t>).</w:t>
      </w:r>
    </w:p>
    <w:p w14:paraId="78D20A75" w14:textId="4265AC93" w:rsidR="00C21988" w:rsidRDefault="00D839FC" w:rsidP="00C21988">
      <w:pPr>
        <w:pStyle w:val="Heading2"/>
      </w:pPr>
      <w:bookmarkStart w:id="628" w:name="_Toc27396126"/>
      <w:r>
        <w:t>5.4</w:t>
      </w:r>
      <w:r>
        <w:tab/>
      </w:r>
      <w:r w:rsidR="00C21988">
        <w:t>Učinci planiranih politika i mjera opisanih u odjeljku 3. na druge države članice i na regionalnu suradnju barem do posljednje godine razdoblja obuhvaćenog planom, uključujući usporedbu s projekcijama nastalim na temelju postojećih politika i mjera</w:t>
      </w:r>
      <w:bookmarkEnd w:id="623"/>
      <w:bookmarkEnd w:id="624"/>
      <w:bookmarkEnd w:id="625"/>
      <w:bookmarkEnd w:id="628"/>
    </w:p>
    <w:p w14:paraId="13F757AD" w14:textId="77777777" w:rsidR="00715ECB" w:rsidRPr="00BE1ECD" w:rsidRDefault="00715ECB" w:rsidP="00840E2E">
      <w:pPr>
        <w:pStyle w:val="Heading3"/>
        <w:numPr>
          <w:ilvl w:val="0"/>
          <w:numId w:val="89"/>
        </w:numPr>
      </w:pPr>
      <w:r w:rsidRPr="00BE1ECD">
        <w:t>U mjeri u kojoj je to moguće, učinci na energetski sustav susjednih država i drugih država članica u regiji</w:t>
      </w:r>
    </w:p>
    <w:p w14:paraId="36C8E10B" w14:textId="0E5CCDF4" w:rsidR="006817E1" w:rsidRDefault="004E72DB" w:rsidP="00AA2661">
      <w:r>
        <w:t>Očekuje se kako će prekogranično i regionalno povezivanje energetskih tržišta dovesti do smanjenja cijena energije i energenata.</w:t>
      </w:r>
      <w:r w:rsidR="001A714C">
        <w:t xml:space="preserve"> Istovremeno, </w:t>
      </w:r>
      <w:r w:rsidR="006E62C8">
        <w:t>v</w:t>
      </w:r>
      <w:r w:rsidR="006E62C8" w:rsidRPr="006E62C8">
        <w:t xml:space="preserve">eća integracija varijabilnih obnovljivih izvora energije u nacionalne elektroenergetske sustave uzrokovat će povećanu varijabilnost prekograničnih tokova električne energije koja će zahtijevati izgradnju robusnijih prijenosnih mreža i eventualno izgradnju novih interkonektivnih dalekovoda, </w:t>
      </w:r>
      <w:r w:rsidR="008A593F">
        <w:t xml:space="preserve">što </w:t>
      </w:r>
      <w:r w:rsidR="006E62C8" w:rsidRPr="006E62C8">
        <w:t>može umanjiti kvalitetu električne energije isporučene kupcima, te potencijalno ugroziti stabilnost pogona sustava radi očekivano niže inercije i većih brzina promjena frekvencije.</w:t>
      </w:r>
      <w:r w:rsidR="006817E1">
        <w:t xml:space="preserve"> </w:t>
      </w:r>
      <w:r w:rsidR="006817E1" w:rsidRPr="006817E1">
        <w:t>Očekuje se kako će se problemi s kvalitetom i smanjenom inercijom sustava rješavati na europskoj razini.</w:t>
      </w:r>
    </w:p>
    <w:p w14:paraId="0DB6F8D5" w14:textId="77777777" w:rsidR="000D62C0" w:rsidRPr="00BE1ECD" w:rsidRDefault="000D62C0" w:rsidP="00840E2E">
      <w:pPr>
        <w:pStyle w:val="Heading3"/>
        <w:numPr>
          <w:ilvl w:val="0"/>
          <w:numId w:val="89"/>
        </w:numPr>
      </w:pPr>
      <w:r w:rsidRPr="00BE1ECD">
        <w:t>Učinci na cijene energije, komunalne usluge i integraciju energetskog tržišta</w:t>
      </w:r>
    </w:p>
    <w:p w14:paraId="76CD3598" w14:textId="74015714" w:rsidR="00D175B2" w:rsidRDefault="00D175B2" w:rsidP="00AA2661">
      <w:r>
        <w:t xml:space="preserve">Promjene koje se očekuju u </w:t>
      </w:r>
      <w:r w:rsidRPr="00F25771">
        <w:t>energetsko</w:t>
      </w:r>
      <w:r>
        <w:t>m</w:t>
      </w:r>
      <w:r w:rsidRPr="00F25771">
        <w:t xml:space="preserve"> sektor</w:t>
      </w:r>
      <w:r>
        <w:t xml:space="preserve">u su </w:t>
      </w:r>
      <w:r w:rsidRPr="00F25771">
        <w:t>ekonomski održiv</w:t>
      </w:r>
      <w:r>
        <w:t>e</w:t>
      </w:r>
      <w:r w:rsidRPr="00F25771">
        <w:t xml:space="preserve"> i u konačnici neće izazvati veće troškove. </w:t>
      </w:r>
      <w:r w:rsidR="005B5184">
        <w:t>Pri tome će se mijenjati</w:t>
      </w:r>
      <w:r w:rsidRPr="00F25771">
        <w:t xml:space="preserve"> karakter troškova </w:t>
      </w:r>
      <w:r w:rsidR="005B5184">
        <w:t xml:space="preserve">– </w:t>
      </w:r>
      <w:r w:rsidRPr="00F25771">
        <w:t>povećava</w:t>
      </w:r>
      <w:r w:rsidR="000A7DEF">
        <w:t>t će</w:t>
      </w:r>
      <w:r w:rsidRPr="00F25771">
        <w:t xml:space="preserve"> se investicijski troškovi, a smanj</w:t>
      </w:r>
      <w:r w:rsidR="000A7DEF">
        <w:t>ivati</w:t>
      </w:r>
      <w:r w:rsidRPr="00F25771">
        <w:t xml:space="preserve"> operativni troškovi</w:t>
      </w:r>
      <w:r>
        <w:t xml:space="preserve"> i troškovi za energiju</w:t>
      </w:r>
      <w:r w:rsidRPr="00F25771">
        <w:t>.</w:t>
      </w:r>
    </w:p>
    <w:p w14:paraId="33359E0D" w14:textId="36D1C45B" w:rsidR="001142BA" w:rsidRDefault="001142BA" w:rsidP="00AA2661">
      <w:pPr>
        <w:rPr>
          <w:highlight w:val="yellow"/>
        </w:rPr>
      </w:pPr>
      <w:r>
        <w:t>Energetska tržišta će se u konačnici potpuno integrirati</w:t>
      </w:r>
      <w:r w:rsidR="00890B29">
        <w:t>,</w:t>
      </w:r>
      <w:r>
        <w:t xml:space="preserve"> kako geografski</w:t>
      </w:r>
      <w:r w:rsidR="00890B29">
        <w:t xml:space="preserve"> – na razini Europske unije i susjednih zemalja</w:t>
      </w:r>
      <w:r>
        <w:t xml:space="preserve">, tako </w:t>
      </w:r>
      <w:r w:rsidR="00890B29">
        <w:t>i</w:t>
      </w:r>
      <w:r>
        <w:t xml:space="preserve"> sektorski</w:t>
      </w:r>
      <w:r w:rsidR="00890B29">
        <w:t xml:space="preserve"> – </w:t>
      </w:r>
      <w:r w:rsidR="001773E5">
        <w:t>doći će do povezivanja</w:t>
      </w:r>
      <w:r w:rsidR="00890B29">
        <w:t xml:space="preserve"> elektroenergetsk</w:t>
      </w:r>
      <w:r w:rsidR="001773E5">
        <w:t>og</w:t>
      </w:r>
      <w:r w:rsidR="00890B29">
        <w:t xml:space="preserve">, </w:t>
      </w:r>
      <w:r w:rsidR="001773E5">
        <w:t>toplinskog, plinskog i prometnog sektora.</w:t>
      </w:r>
    </w:p>
    <w:p w14:paraId="3FDA9DC1" w14:textId="77777777" w:rsidR="00822414" w:rsidRPr="00BE1ECD" w:rsidRDefault="00822414" w:rsidP="00840E2E">
      <w:pPr>
        <w:pStyle w:val="Heading3"/>
        <w:numPr>
          <w:ilvl w:val="0"/>
          <w:numId w:val="89"/>
        </w:numPr>
      </w:pPr>
      <w:r w:rsidRPr="00BE1ECD">
        <w:t>Ako je relevantno, učinci na regionalnu suradnju</w:t>
      </w:r>
    </w:p>
    <w:p w14:paraId="064B8FF2" w14:textId="5F744163" w:rsidR="0063194E" w:rsidRDefault="009D13CB" w:rsidP="0063194E">
      <w:pPr>
        <w:rPr>
          <w:highlight w:val="yellow"/>
        </w:rPr>
      </w:pPr>
      <w:r>
        <w:t>Bit će neophodno</w:t>
      </w:r>
      <w:r w:rsidR="00932FF8">
        <w:t xml:space="preserve"> dodatno</w:t>
      </w:r>
      <w:r>
        <w:t xml:space="preserve"> ojačati prekograničnu i regionalnu suradnju</w:t>
      </w:r>
      <w:r w:rsidR="00932FF8">
        <w:t xml:space="preserve"> </w:t>
      </w:r>
      <w:r w:rsidR="006817E1">
        <w:t>u svim dimenzijama energetske unije</w:t>
      </w:r>
      <w:r>
        <w:t>.</w:t>
      </w:r>
    </w:p>
    <w:bookmarkEnd w:id="2"/>
    <w:p w14:paraId="05474AAA" w14:textId="6A36EA50" w:rsidR="005965DD" w:rsidRDefault="005965DD">
      <w:pPr>
        <w:suppressAutoHyphens w:val="0"/>
        <w:spacing w:before="0" w:after="0" w:line="240" w:lineRule="auto"/>
        <w:jc w:val="left"/>
      </w:pPr>
      <w:r>
        <w:br w:type="page"/>
      </w:r>
    </w:p>
    <w:p w14:paraId="392BA1EE" w14:textId="69639D36" w:rsidR="00D444FC" w:rsidRDefault="00D444FC" w:rsidP="00840E2E">
      <w:pPr>
        <w:pStyle w:val="Heading1"/>
        <w:numPr>
          <w:ilvl w:val="0"/>
          <w:numId w:val="42"/>
        </w:numPr>
      </w:pPr>
      <w:bookmarkStart w:id="629" w:name="_Toc27396127"/>
      <w:bookmarkStart w:id="630" w:name="_Toc531935274"/>
      <w:bookmarkStart w:id="631" w:name="_Toc531945136"/>
      <w:bookmarkStart w:id="632" w:name="_Toc6302394"/>
      <w:r>
        <w:t>REFERENCE</w:t>
      </w:r>
      <w:bookmarkEnd w:id="629"/>
    </w:p>
    <w:p w14:paraId="73D402CF" w14:textId="0C5C4B96" w:rsidR="006F4072" w:rsidRDefault="00B93224" w:rsidP="00840E2E">
      <w:pPr>
        <w:pStyle w:val="ListParagraph"/>
        <w:numPr>
          <w:ilvl w:val="0"/>
          <w:numId w:val="17"/>
        </w:numPr>
      </w:pPr>
      <w:bookmarkStart w:id="633" w:name="_Ref531604343"/>
      <w:bookmarkStart w:id="634" w:name="_Ref5879053"/>
      <w:bookmarkStart w:id="635" w:name="_Ref531599550"/>
      <w:r w:rsidRPr="00E00C7D">
        <w:t>Sedmo nacionalno izvješće i treće dvogodišnje izvješće Republike Hrvatske prema Okvirnoj konvenciji Ujedinjenih Naroda o promjeni klime</w:t>
      </w:r>
      <w:r>
        <w:t>, MZOE, 2018</w:t>
      </w:r>
      <w:bookmarkEnd w:id="633"/>
      <w:r w:rsidRPr="00976062">
        <w:t>.</w:t>
      </w:r>
      <w:bookmarkEnd w:id="634"/>
      <w:bookmarkEnd w:id="635"/>
    </w:p>
    <w:p w14:paraId="549A78FC" w14:textId="0FD542C1" w:rsidR="005965DD" w:rsidRDefault="005965DD" w:rsidP="00840E2E">
      <w:pPr>
        <w:pStyle w:val="ListParagraph"/>
        <w:numPr>
          <w:ilvl w:val="0"/>
          <w:numId w:val="17"/>
        </w:numPr>
      </w:pPr>
      <w:bookmarkStart w:id="636" w:name="_Ref531599476"/>
      <w:bookmarkStart w:id="637" w:name="_Ref19885351"/>
      <w:bookmarkEnd w:id="630"/>
      <w:bookmarkEnd w:id="631"/>
      <w:bookmarkEnd w:id="632"/>
      <w:r w:rsidRPr="005965DD">
        <w:t>Analize i podloge za izradu energetske strategije Republike Hrvatske</w:t>
      </w:r>
      <w:bookmarkEnd w:id="636"/>
      <w:r w:rsidR="0068666D">
        <w:t xml:space="preserve"> – Zelena knjiga</w:t>
      </w:r>
      <w:r w:rsidR="006B7F17">
        <w:t>, MZOE 2018.</w:t>
      </w:r>
      <w:bookmarkEnd w:id="637"/>
    </w:p>
    <w:p w14:paraId="387AE781" w14:textId="73D81142" w:rsidR="00090325" w:rsidRDefault="00090325" w:rsidP="00840E2E">
      <w:pPr>
        <w:pStyle w:val="ListParagraph"/>
        <w:numPr>
          <w:ilvl w:val="0"/>
          <w:numId w:val="17"/>
        </w:numPr>
      </w:pPr>
      <w:bookmarkStart w:id="638" w:name="_Ref19783836"/>
      <w:r>
        <w:t>Prijedlog nacrta Strategije energetskog razvoja RH do 2030., s pogledom na 2050., MZOE, 2019.</w:t>
      </w:r>
      <w:bookmarkEnd w:id="638"/>
    </w:p>
    <w:p w14:paraId="345B8D7E" w14:textId="3BC8B71A" w:rsidR="00A26178" w:rsidRDefault="0068666D" w:rsidP="00840E2E">
      <w:pPr>
        <w:pStyle w:val="ListParagraph"/>
        <w:numPr>
          <w:ilvl w:val="0"/>
          <w:numId w:val="17"/>
        </w:numPr>
      </w:pPr>
      <w:bookmarkStart w:id="639" w:name="_Ref19784013"/>
      <w:r w:rsidRPr="005965DD">
        <w:t>Analize i podloge za izradu energetske strategije Republike Hrvatske</w:t>
      </w:r>
      <w:r>
        <w:t xml:space="preserve"> – Bijela knjiga, MZOE 2018.</w:t>
      </w:r>
      <w:bookmarkEnd w:id="639"/>
    </w:p>
    <w:p w14:paraId="786DC52A" w14:textId="236C91FF" w:rsidR="000C30F2" w:rsidRDefault="000C30F2" w:rsidP="00840E2E">
      <w:pPr>
        <w:pStyle w:val="ListParagraph"/>
        <w:numPr>
          <w:ilvl w:val="0"/>
          <w:numId w:val="17"/>
        </w:numPr>
      </w:pPr>
      <w:bookmarkStart w:id="640" w:name="_Ref531599957"/>
      <w:r>
        <w:t xml:space="preserve">Prijedlog Niskougljične strategije Republike Hrvatske – za javno savjetovanje, </w:t>
      </w:r>
      <w:r w:rsidR="0064126D">
        <w:t xml:space="preserve">MZOE, </w:t>
      </w:r>
      <w:r>
        <w:t>2018.</w:t>
      </w:r>
      <w:bookmarkEnd w:id="640"/>
    </w:p>
    <w:p w14:paraId="58C9A5E7" w14:textId="417BABBB" w:rsidR="00FA7B58" w:rsidRDefault="009A468B" w:rsidP="00840E2E">
      <w:pPr>
        <w:pStyle w:val="ListParagraph"/>
        <w:numPr>
          <w:ilvl w:val="0"/>
          <w:numId w:val="17"/>
        </w:numPr>
      </w:pPr>
      <w:bookmarkStart w:id="641" w:name="_Ref531802168"/>
      <w:r>
        <w:t xml:space="preserve">Nacrt Strategije prilagodbe klimatskim promjenama u Republici Hrvatskoj za razdoblje do 2040. godine s pogledom na 2070. godinu, </w:t>
      </w:r>
      <w:r w:rsidR="006B7F17">
        <w:t>MZOE</w:t>
      </w:r>
      <w:r w:rsidR="00482B33">
        <w:t>,</w:t>
      </w:r>
      <w:r w:rsidR="006B7F17">
        <w:t xml:space="preserve"> 2017.</w:t>
      </w:r>
    </w:p>
    <w:p w14:paraId="7FAA6A9D" w14:textId="7A7E25FC" w:rsidR="00791A49" w:rsidRDefault="001C7B89" w:rsidP="00840E2E">
      <w:pPr>
        <w:pStyle w:val="ListParagraph"/>
        <w:numPr>
          <w:ilvl w:val="0"/>
          <w:numId w:val="17"/>
        </w:numPr>
      </w:pPr>
      <w:bookmarkStart w:id="642" w:name="_Ref533752217"/>
      <w:r w:rsidRPr="001C7B89">
        <w:t>Strategija obrazovanja, znanosti i tehnologije</w:t>
      </w:r>
      <w:r>
        <w:t>, Ministarstvo znanosti, obrazovanja i sporta, 2014.</w:t>
      </w:r>
      <w:bookmarkEnd w:id="642"/>
    </w:p>
    <w:p w14:paraId="1A57D51B" w14:textId="1710149F" w:rsidR="00455DE5" w:rsidRDefault="00455DE5" w:rsidP="00840E2E">
      <w:pPr>
        <w:pStyle w:val="ListParagraph"/>
        <w:numPr>
          <w:ilvl w:val="0"/>
          <w:numId w:val="17"/>
        </w:numPr>
      </w:pPr>
      <w:bookmarkStart w:id="643" w:name="_Ref531600731"/>
      <w:bookmarkStart w:id="644" w:name="_Ref5968872"/>
      <w:bookmarkEnd w:id="641"/>
      <w:r>
        <w:t>Strategija pametne specijalizacije Republike Hrvatske za razdoblje od 2016. do 2020. godine,</w:t>
      </w:r>
      <w:bookmarkEnd w:id="643"/>
      <w:r>
        <w:t xml:space="preserve"> </w:t>
      </w:r>
      <w:r w:rsidR="00C4617A">
        <w:t>Ministarstvo gospodarstva, 2016</w:t>
      </w:r>
      <w:r w:rsidR="00C31025" w:rsidRPr="00223709">
        <w:t>.</w:t>
      </w:r>
      <w:bookmarkEnd w:id="644"/>
    </w:p>
    <w:p w14:paraId="2F85C29F" w14:textId="4109BB58" w:rsidR="00455DE5" w:rsidRDefault="0090031F" w:rsidP="00840E2E">
      <w:pPr>
        <w:pStyle w:val="ListParagraph"/>
        <w:numPr>
          <w:ilvl w:val="0"/>
          <w:numId w:val="17"/>
        </w:numPr>
      </w:pPr>
      <w:bookmarkStart w:id="645" w:name="_Ref531600795"/>
      <w:r>
        <w:t>Strategija poticanja inovacija Republike Hrvatske 2014. -2020.</w:t>
      </w:r>
      <w:bookmarkEnd w:id="645"/>
      <w:r w:rsidR="006B2E89">
        <w:t>, MINGO, 2014,</w:t>
      </w:r>
      <w:r w:rsidR="00C5739A" w:rsidRPr="00B01FEC">
        <w:rPr>
          <w:lang w:val="en-GB"/>
        </w:rPr>
        <w:t>.</w:t>
      </w:r>
    </w:p>
    <w:p w14:paraId="23B283F4" w14:textId="67C34A04" w:rsidR="0090031F" w:rsidRDefault="0090031F" w:rsidP="00840E2E">
      <w:pPr>
        <w:pStyle w:val="ListParagraph"/>
        <w:numPr>
          <w:ilvl w:val="0"/>
          <w:numId w:val="17"/>
        </w:numPr>
      </w:pPr>
      <w:bookmarkStart w:id="646" w:name="_Ref531601146"/>
      <w:r>
        <w:t>Energija u Hrvatskoj 201</w:t>
      </w:r>
      <w:r w:rsidR="00090325">
        <w:t>7</w:t>
      </w:r>
      <w:bookmarkEnd w:id="646"/>
      <w:r w:rsidR="0064126D">
        <w:t>, MZOE, 201</w:t>
      </w:r>
      <w:r w:rsidR="00090325">
        <w:t>8</w:t>
      </w:r>
      <w:r w:rsidR="0064126D">
        <w:t>.</w:t>
      </w:r>
    </w:p>
    <w:p w14:paraId="5D037CA1" w14:textId="196F38A2" w:rsidR="00E00C7D" w:rsidRDefault="00E00C7D" w:rsidP="00840E2E">
      <w:pPr>
        <w:pStyle w:val="ListParagraph"/>
        <w:numPr>
          <w:ilvl w:val="0"/>
          <w:numId w:val="17"/>
        </w:numPr>
      </w:pPr>
      <w:bookmarkStart w:id="647" w:name="_Ref531604458"/>
      <w:r>
        <w:t>Izvješće o inventaru stakleničkih plinova na području Republike Hrvatske za razdoblje 1990. - 201</w:t>
      </w:r>
      <w:r w:rsidR="00AC6136">
        <w:t>7</w:t>
      </w:r>
      <w:r>
        <w:t>. (NIR 201</w:t>
      </w:r>
      <w:r w:rsidR="00AC6136">
        <w:t>9</w:t>
      </w:r>
      <w:r>
        <w:t xml:space="preserve">), </w:t>
      </w:r>
      <w:r w:rsidR="00BB66E6">
        <w:t xml:space="preserve">MZOE, </w:t>
      </w:r>
      <w:r>
        <w:t>201</w:t>
      </w:r>
      <w:bookmarkEnd w:id="647"/>
      <w:r w:rsidR="00AC6136">
        <w:t>9</w:t>
      </w:r>
      <w:r w:rsidR="00E23C10" w:rsidRPr="00B01FEC">
        <w:rPr>
          <w:lang w:val="en-GB"/>
        </w:rPr>
        <w:t>.</w:t>
      </w:r>
    </w:p>
    <w:p w14:paraId="703F21A4" w14:textId="74C5B403" w:rsidR="005E3C10" w:rsidRDefault="005E3C10" w:rsidP="00840E2E">
      <w:pPr>
        <w:pStyle w:val="ListParagraph"/>
        <w:numPr>
          <w:ilvl w:val="0"/>
          <w:numId w:val="17"/>
        </w:numPr>
      </w:pPr>
      <w:bookmarkStart w:id="648" w:name="_Ref531607463"/>
      <w:r>
        <w:t>Program ruralnog razvoja Republike Hrvatske u razdoblju od 2014. do 2020. godine</w:t>
      </w:r>
      <w:bookmarkEnd w:id="648"/>
      <w:r w:rsidR="0038037A">
        <w:t xml:space="preserve">, </w:t>
      </w:r>
      <w:r w:rsidR="004D0E2B">
        <w:t>Ministarstvo poljoprivrede</w:t>
      </w:r>
      <w:r w:rsidR="007E254D">
        <w:rPr>
          <w:lang w:val="en-GB"/>
        </w:rPr>
        <w:t>, 2015.</w:t>
      </w:r>
    </w:p>
    <w:p w14:paraId="578990E6" w14:textId="58EFA5F9" w:rsidR="005E3C10" w:rsidRDefault="005E3C10" w:rsidP="00840E2E">
      <w:pPr>
        <w:pStyle w:val="ListParagraph"/>
        <w:numPr>
          <w:ilvl w:val="0"/>
          <w:numId w:val="17"/>
        </w:numPr>
      </w:pPr>
      <w:bookmarkStart w:id="649" w:name="_Ref531607925"/>
      <w:r w:rsidRPr="005E3C10">
        <w:t>Nacionalni akcijski plan za obnovljive izvore energije do 2020. godine</w:t>
      </w:r>
      <w:r>
        <w:t>, MZOE, 2013.</w:t>
      </w:r>
      <w:bookmarkEnd w:id="649"/>
    </w:p>
    <w:p w14:paraId="4056C8E3" w14:textId="67ADFA1E" w:rsidR="00B21A16" w:rsidRDefault="00B21A16" w:rsidP="00840E2E">
      <w:pPr>
        <w:pStyle w:val="ListParagraph"/>
        <w:numPr>
          <w:ilvl w:val="0"/>
          <w:numId w:val="17"/>
        </w:numPr>
      </w:pPr>
      <w:bookmarkStart w:id="650" w:name="_Ref531608078"/>
      <w:r>
        <w:t xml:space="preserve">3. </w:t>
      </w:r>
      <w:r w:rsidRPr="00B21A16">
        <w:t>Nacionalni akcijski plan za energetsku učinkovitost za razdoblje od 2014. do 2016. godine</w:t>
      </w:r>
      <w:r>
        <w:t xml:space="preserve">, MZOE, </w:t>
      </w:r>
      <w:r w:rsidRPr="00B21A16">
        <w:t>2014</w:t>
      </w:r>
      <w:bookmarkEnd w:id="650"/>
    </w:p>
    <w:p w14:paraId="3B1723D0" w14:textId="2742462B" w:rsidR="001749F6" w:rsidRDefault="001749F6" w:rsidP="00840E2E">
      <w:pPr>
        <w:pStyle w:val="ListParagraph"/>
        <w:numPr>
          <w:ilvl w:val="0"/>
          <w:numId w:val="17"/>
        </w:numPr>
      </w:pPr>
      <w:bookmarkStart w:id="651" w:name="_Ref531609660"/>
      <w:r w:rsidRPr="001749F6">
        <w:t xml:space="preserve">4. </w:t>
      </w:r>
      <w:r w:rsidR="0028378C" w:rsidRPr="001749F6">
        <w:t>nacionaln</w:t>
      </w:r>
      <w:r w:rsidR="0028378C">
        <w:t>i</w:t>
      </w:r>
      <w:r w:rsidR="0028378C" w:rsidRPr="001749F6">
        <w:t xml:space="preserve"> </w:t>
      </w:r>
      <w:r w:rsidRPr="001749F6">
        <w:t>plan energetske učinkovitosti</w:t>
      </w:r>
      <w:r w:rsidR="005C4154">
        <w:t xml:space="preserve"> </w:t>
      </w:r>
      <w:r w:rsidR="005C4154" w:rsidRPr="00B21A16">
        <w:t xml:space="preserve">za razdoblje do </w:t>
      </w:r>
      <w:r w:rsidR="0028378C">
        <w:t>kraja</w:t>
      </w:r>
      <w:r w:rsidR="005C4154" w:rsidRPr="00B21A16">
        <w:t xml:space="preserve"> 201</w:t>
      </w:r>
      <w:r w:rsidR="001136B1">
        <w:t>9</w:t>
      </w:r>
      <w:r w:rsidR="005C4154" w:rsidRPr="00B21A16">
        <w:t>. godine</w:t>
      </w:r>
      <w:r w:rsidRPr="001749F6">
        <w:t xml:space="preserve">, MZOE, </w:t>
      </w:r>
      <w:bookmarkEnd w:id="651"/>
      <w:r w:rsidR="0028378C">
        <w:t>2019</w:t>
      </w:r>
    </w:p>
    <w:p w14:paraId="1AF7C936" w14:textId="0EC4848C" w:rsidR="00326C95" w:rsidRDefault="005F0328" w:rsidP="00840E2E">
      <w:pPr>
        <w:pStyle w:val="ListParagraph"/>
        <w:numPr>
          <w:ilvl w:val="0"/>
          <w:numId w:val="17"/>
        </w:numPr>
      </w:pPr>
      <w:bookmarkStart w:id="652" w:name="_Ref11674383"/>
      <w:r w:rsidRPr="005F0328">
        <w:t xml:space="preserve">World Competitiveness </w:t>
      </w:r>
      <w:r w:rsidR="00563BF4">
        <w:t>R</w:t>
      </w:r>
      <w:r w:rsidRPr="005F0328">
        <w:t>anking 2019</w:t>
      </w:r>
      <w:r>
        <w:t xml:space="preserve">, </w:t>
      </w:r>
      <w:r w:rsidR="00660883" w:rsidRPr="00660883">
        <w:t>Institute for Management Development</w:t>
      </w:r>
      <w:bookmarkEnd w:id="652"/>
      <w:r w:rsidR="00AC2A1C">
        <w:t>, 2019.</w:t>
      </w:r>
    </w:p>
    <w:p w14:paraId="79213375" w14:textId="6F66EF86" w:rsidR="00F20918" w:rsidRDefault="009927C2" w:rsidP="00840E2E">
      <w:pPr>
        <w:pStyle w:val="ListParagraph"/>
        <w:numPr>
          <w:ilvl w:val="0"/>
          <w:numId w:val="17"/>
        </w:numPr>
      </w:pPr>
      <w:bookmarkStart w:id="653" w:name="_Ref531872061"/>
      <w:r w:rsidRPr="009927C2">
        <w:t>Procjena potencijala za povećanje energetske učinkovitosti infrastrukture za električnu energiju</w:t>
      </w:r>
      <w:r>
        <w:t>, EIHP, 2016.</w:t>
      </w:r>
      <w:bookmarkEnd w:id="653"/>
    </w:p>
    <w:p w14:paraId="421E9FA2" w14:textId="2A680C11" w:rsidR="00240E85" w:rsidRPr="0071225B" w:rsidRDefault="00B01FEC" w:rsidP="00840E2E">
      <w:pPr>
        <w:pStyle w:val="ListParagraph"/>
        <w:numPr>
          <w:ilvl w:val="0"/>
          <w:numId w:val="17"/>
        </w:numPr>
      </w:pPr>
      <w:bookmarkStart w:id="654" w:name="_Ref531628971"/>
      <w:bookmarkStart w:id="655" w:name="_Ref11839960"/>
      <w:r w:rsidRPr="00976062">
        <w:t>Dugoročn</w:t>
      </w:r>
      <w:r w:rsidR="006A222F">
        <w:t>a</w:t>
      </w:r>
      <w:r w:rsidRPr="00976062">
        <w:t xml:space="preserve"> </w:t>
      </w:r>
      <w:r w:rsidR="006A222F" w:rsidRPr="00976062">
        <w:t>strategij</w:t>
      </w:r>
      <w:r w:rsidR="006A222F">
        <w:t>a</w:t>
      </w:r>
      <w:r w:rsidR="006A222F" w:rsidRPr="00976062">
        <w:t xml:space="preserve"> </w:t>
      </w:r>
      <w:r w:rsidRPr="00976062">
        <w:t>za poticanje ulaganja u obnovu nacionalnog fonda zgrada Republike Hrvatske, MGIPU, 2017</w:t>
      </w:r>
      <w:r w:rsidR="00177508" w:rsidRPr="00976062">
        <w:t>.</w:t>
      </w:r>
      <w:bookmarkEnd w:id="654"/>
      <w:bookmarkEnd w:id="655"/>
    </w:p>
    <w:p w14:paraId="7B9B6D2E" w14:textId="1CBC994F" w:rsidR="0071225B" w:rsidRPr="00CF2D4C" w:rsidRDefault="001E78AC" w:rsidP="00840E2E">
      <w:pPr>
        <w:pStyle w:val="ListParagraph"/>
        <w:numPr>
          <w:ilvl w:val="0"/>
          <w:numId w:val="17"/>
        </w:numPr>
      </w:pPr>
      <w:bookmarkStart w:id="656" w:name="_Ref531867919"/>
      <w:r w:rsidRPr="001E78AC">
        <w:t>Akrap</w:t>
      </w:r>
      <w:r>
        <w:t>, A.;</w:t>
      </w:r>
      <w:r w:rsidRPr="001E78AC">
        <w:t xml:space="preserve"> Ivanda</w:t>
      </w:r>
      <w:r>
        <w:t>, K.</w:t>
      </w:r>
      <w:r w:rsidRPr="001E78AC">
        <w:t xml:space="preserve">: Projekcije stanovništva Republike Hrvatske, </w:t>
      </w:r>
      <w:r>
        <w:t>2018.</w:t>
      </w:r>
      <w:bookmarkEnd w:id="656"/>
    </w:p>
    <w:p w14:paraId="34FDCA4C" w14:textId="7E514839" w:rsidR="00184F37" w:rsidRDefault="00184F37" w:rsidP="00840E2E">
      <w:pPr>
        <w:pStyle w:val="ListParagraph"/>
        <w:numPr>
          <w:ilvl w:val="0"/>
          <w:numId w:val="17"/>
        </w:numPr>
      </w:pPr>
      <w:bookmarkStart w:id="657" w:name="_Ref531862952"/>
      <w:bookmarkStart w:id="658" w:name="_Ref5966480"/>
      <w:r>
        <w:t>World Energy Outlook 2018</w:t>
      </w:r>
      <w:bookmarkEnd w:id="657"/>
      <w:r w:rsidR="00D47AA4">
        <w:t xml:space="preserve">, International Energy Agency, </w:t>
      </w:r>
      <w:r w:rsidR="005C61F7">
        <w:t>2018.</w:t>
      </w:r>
      <w:bookmarkEnd w:id="658"/>
    </w:p>
    <w:p w14:paraId="0F4CA7F9" w14:textId="31F964AE" w:rsidR="0003667A" w:rsidRDefault="00406F65" w:rsidP="00840E2E">
      <w:pPr>
        <w:pStyle w:val="ListParagraph"/>
        <w:numPr>
          <w:ilvl w:val="0"/>
          <w:numId w:val="17"/>
        </w:numPr>
      </w:pPr>
      <w:bookmarkStart w:id="659" w:name="_Ref5967109"/>
      <w:r>
        <w:t xml:space="preserve">Current and Future Cost of Photovoltaics; Long-term Scenarios for Market Development, System Prices and LCOE of Utility-Scale PV Systems, </w:t>
      </w:r>
      <w:r w:rsidRPr="00406F65">
        <w:t>Fraunhofer-Institute for Solar Energy Systems</w:t>
      </w:r>
      <w:r>
        <w:t>, 2015</w:t>
      </w:r>
      <w:bookmarkEnd w:id="659"/>
    </w:p>
    <w:p w14:paraId="574924B1" w14:textId="5DA55685" w:rsidR="00AF7557" w:rsidRDefault="00667A60" w:rsidP="00840E2E">
      <w:pPr>
        <w:pStyle w:val="ListParagraph"/>
        <w:numPr>
          <w:ilvl w:val="0"/>
          <w:numId w:val="17"/>
        </w:numPr>
      </w:pPr>
      <w:bookmarkStart w:id="660" w:name="_Ref20491285"/>
      <w:r>
        <w:t xml:space="preserve">Državni zavod za statistiku: Istraživanje i razvoj u 2017., </w:t>
      </w:r>
      <w:r w:rsidR="00B94CF0">
        <w:t>Zagreb 2019, statistička izvješća, ISSN 1337-8247</w:t>
      </w:r>
    </w:p>
    <w:p w14:paraId="13867A19" w14:textId="1596B239" w:rsidR="00AC4E17" w:rsidRDefault="00AC4E17" w:rsidP="00840E2E">
      <w:pPr>
        <w:pStyle w:val="ListParagraph"/>
        <w:numPr>
          <w:ilvl w:val="0"/>
          <w:numId w:val="17"/>
        </w:numPr>
      </w:pPr>
      <w:bookmarkStart w:id="661" w:name="_Ref20492870"/>
      <w:r>
        <w:t>Državni zavod za statistiku</w:t>
      </w:r>
      <w:bookmarkEnd w:id="661"/>
      <w:r w:rsidR="000B67F2">
        <w:t>: Patenti u 2018.</w:t>
      </w:r>
      <w:r w:rsidR="00497BF6">
        <w:t>, Zagreb 2019, priopćenje, ISSN 1330-0350</w:t>
      </w:r>
    </w:p>
    <w:bookmarkEnd w:id="660"/>
    <w:p w14:paraId="0E9E52D8" w14:textId="2F01CDE9" w:rsidR="00DE41C8" w:rsidRDefault="00DE41C8" w:rsidP="00DE41C8"/>
    <w:p w14:paraId="0663C9F8" w14:textId="2EFB04E7" w:rsidR="00BD3EBC" w:rsidRDefault="00210967" w:rsidP="00840E2E">
      <w:pPr>
        <w:pStyle w:val="Heading1"/>
        <w:numPr>
          <w:ilvl w:val="0"/>
          <w:numId w:val="42"/>
        </w:numPr>
      </w:pPr>
      <w:bookmarkStart w:id="662" w:name="_Toc27396128"/>
      <w:bookmarkStart w:id="663" w:name="_Toc531935275"/>
      <w:bookmarkStart w:id="664" w:name="_Toc531945137"/>
      <w:bookmarkStart w:id="665" w:name="_Toc6302395"/>
      <w:r>
        <w:t>POPIS SLIKA</w:t>
      </w:r>
      <w:bookmarkEnd w:id="662"/>
    </w:p>
    <w:bookmarkEnd w:id="663"/>
    <w:bookmarkEnd w:id="664"/>
    <w:bookmarkEnd w:id="665"/>
    <w:p w14:paraId="3D1FC99D" w14:textId="0DE088A2" w:rsidR="00154150" w:rsidRDefault="00A87274">
      <w:pPr>
        <w:pStyle w:val="TableofFigures"/>
        <w:rPr>
          <w:rFonts w:asciiTheme="minorHAnsi" w:eastAsiaTheme="minorEastAsia" w:hAnsiTheme="minorHAnsi" w:cstheme="minorBidi"/>
          <w:noProof/>
        </w:rPr>
      </w:pPr>
      <w:r>
        <w:fldChar w:fldCharType="begin"/>
      </w:r>
      <w:r>
        <w:instrText xml:space="preserve"> TOC \h \z \c "Slika" </w:instrText>
      </w:r>
      <w:r>
        <w:fldChar w:fldCharType="separate"/>
      </w:r>
      <w:hyperlink w:anchor="_Toc27396137" w:history="1">
        <w:r w:rsidR="00154150" w:rsidRPr="00A27C24">
          <w:rPr>
            <w:rStyle w:val="Hyperlink"/>
          </w:rPr>
          <w:t>Slika 1</w:t>
        </w:r>
        <w:r w:rsidR="00154150" w:rsidRPr="00A27C24">
          <w:rPr>
            <w:rStyle w:val="Hyperlink"/>
          </w:rPr>
          <w:noBreakHyphen/>
          <w:t>1. Osnovni pokazatelji razvoja potrošnje energije i ekonomski pokazatelji u RH u razdoblju 2013.-2017. godine</w:t>
        </w:r>
        <w:r w:rsidR="00154150">
          <w:rPr>
            <w:noProof/>
            <w:webHidden/>
          </w:rPr>
          <w:tab/>
        </w:r>
        <w:r w:rsidR="00154150">
          <w:rPr>
            <w:noProof/>
            <w:webHidden/>
          </w:rPr>
          <w:fldChar w:fldCharType="begin"/>
        </w:r>
        <w:r w:rsidR="00154150">
          <w:rPr>
            <w:noProof/>
            <w:webHidden/>
          </w:rPr>
          <w:instrText xml:space="preserve"> PAGEREF _Toc27396137 \h </w:instrText>
        </w:r>
        <w:r w:rsidR="00154150">
          <w:rPr>
            <w:noProof/>
            <w:webHidden/>
          </w:rPr>
        </w:r>
        <w:r w:rsidR="00154150">
          <w:rPr>
            <w:noProof/>
            <w:webHidden/>
          </w:rPr>
          <w:fldChar w:fldCharType="separate"/>
        </w:r>
        <w:r w:rsidR="00154150">
          <w:rPr>
            <w:noProof/>
            <w:webHidden/>
          </w:rPr>
          <w:t>15</w:t>
        </w:r>
        <w:r w:rsidR="00154150">
          <w:rPr>
            <w:noProof/>
            <w:webHidden/>
          </w:rPr>
          <w:fldChar w:fldCharType="end"/>
        </w:r>
      </w:hyperlink>
    </w:p>
    <w:p w14:paraId="07867038" w14:textId="77C60887" w:rsidR="00154150" w:rsidRDefault="00ED1E5D">
      <w:pPr>
        <w:pStyle w:val="TableofFigures"/>
        <w:rPr>
          <w:rFonts w:asciiTheme="minorHAnsi" w:eastAsiaTheme="minorEastAsia" w:hAnsiTheme="minorHAnsi" w:cstheme="minorBidi"/>
          <w:noProof/>
        </w:rPr>
      </w:pPr>
      <w:hyperlink w:anchor="_Toc27396138" w:history="1">
        <w:r w:rsidR="00154150" w:rsidRPr="00A27C24">
          <w:rPr>
            <w:rStyle w:val="Hyperlink"/>
          </w:rPr>
          <w:t>Slika 1</w:t>
        </w:r>
        <w:r w:rsidR="00154150" w:rsidRPr="00A27C24">
          <w:rPr>
            <w:rStyle w:val="Hyperlink"/>
          </w:rPr>
          <w:noBreakHyphen/>
          <w:t>2. Proizvodnja primarne energije</w:t>
        </w:r>
        <w:r w:rsidR="00154150">
          <w:rPr>
            <w:noProof/>
            <w:webHidden/>
          </w:rPr>
          <w:tab/>
        </w:r>
        <w:r w:rsidR="00154150">
          <w:rPr>
            <w:noProof/>
            <w:webHidden/>
          </w:rPr>
          <w:fldChar w:fldCharType="begin"/>
        </w:r>
        <w:r w:rsidR="00154150">
          <w:rPr>
            <w:noProof/>
            <w:webHidden/>
          </w:rPr>
          <w:instrText xml:space="preserve"> PAGEREF _Toc27396138 \h </w:instrText>
        </w:r>
        <w:r w:rsidR="00154150">
          <w:rPr>
            <w:noProof/>
            <w:webHidden/>
          </w:rPr>
        </w:r>
        <w:r w:rsidR="00154150">
          <w:rPr>
            <w:noProof/>
            <w:webHidden/>
          </w:rPr>
          <w:fldChar w:fldCharType="separate"/>
        </w:r>
        <w:r w:rsidR="00154150">
          <w:rPr>
            <w:noProof/>
            <w:webHidden/>
          </w:rPr>
          <w:t>16</w:t>
        </w:r>
        <w:r w:rsidR="00154150">
          <w:rPr>
            <w:noProof/>
            <w:webHidden/>
          </w:rPr>
          <w:fldChar w:fldCharType="end"/>
        </w:r>
      </w:hyperlink>
    </w:p>
    <w:p w14:paraId="4B8BC233" w14:textId="6E9346E7" w:rsidR="00154150" w:rsidRDefault="00ED1E5D">
      <w:pPr>
        <w:pStyle w:val="TableofFigures"/>
        <w:rPr>
          <w:rFonts w:asciiTheme="minorHAnsi" w:eastAsiaTheme="minorEastAsia" w:hAnsiTheme="minorHAnsi" w:cstheme="minorBidi"/>
          <w:noProof/>
        </w:rPr>
      </w:pPr>
      <w:hyperlink w:anchor="_Toc27396139" w:history="1">
        <w:r w:rsidR="00154150" w:rsidRPr="00A27C24">
          <w:rPr>
            <w:rStyle w:val="Hyperlink"/>
          </w:rPr>
          <w:t>Slika 1</w:t>
        </w:r>
        <w:r w:rsidR="00154150" w:rsidRPr="00A27C24">
          <w:rPr>
            <w:rStyle w:val="Hyperlink"/>
          </w:rPr>
          <w:noBreakHyphen/>
          <w:t>3. Uvoz energije u Hrvatsku</w:t>
        </w:r>
        <w:r w:rsidR="00154150">
          <w:rPr>
            <w:noProof/>
            <w:webHidden/>
          </w:rPr>
          <w:tab/>
        </w:r>
        <w:r w:rsidR="00154150">
          <w:rPr>
            <w:noProof/>
            <w:webHidden/>
          </w:rPr>
          <w:fldChar w:fldCharType="begin"/>
        </w:r>
        <w:r w:rsidR="00154150">
          <w:rPr>
            <w:noProof/>
            <w:webHidden/>
          </w:rPr>
          <w:instrText xml:space="preserve"> PAGEREF _Toc27396139 \h </w:instrText>
        </w:r>
        <w:r w:rsidR="00154150">
          <w:rPr>
            <w:noProof/>
            <w:webHidden/>
          </w:rPr>
        </w:r>
        <w:r w:rsidR="00154150">
          <w:rPr>
            <w:noProof/>
            <w:webHidden/>
          </w:rPr>
          <w:fldChar w:fldCharType="separate"/>
        </w:r>
        <w:r w:rsidR="00154150">
          <w:rPr>
            <w:noProof/>
            <w:webHidden/>
          </w:rPr>
          <w:t>17</w:t>
        </w:r>
        <w:r w:rsidR="00154150">
          <w:rPr>
            <w:noProof/>
            <w:webHidden/>
          </w:rPr>
          <w:fldChar w:fldCharType="end"/>
        </w:r>
      </w:hyperlink>
    </w:p>
    <w:p w14:paraId="4BA5FEA9" w14:textId="3E88BF54" w:rsidR="00154150" w:rsidRDefault="00ED1E5D">
      <w:pPr>
        <w:pStyle w:val="TableofFigures"/>
        <w:rPr>
          <w:rFonts w:asciiTheme="minorHAnsi" w:eastAsiaTheme="minorEastAsia" w:hAnsiTheme="minorHAnsi" w:cstheme="minorBidi"/>
          <w:noProof/>
        </w:rPr>
      </w:pPr>
      <w:hyperlink w:anchor="_Toc27396140" w:history="1">
        <w:r w:rsidR="00154150" w:rsidRPr="00A27C24">
          <w:rPr>
            <w:rStyle w:val="Hyperlink"/>
          </w:rPr>
          <w:t>Slika 1</w:t>
        </w:r>
        <w:r w:rsidR="00154150" w:rsidRPr="00A27C24">
          <w:rPr>
            <w:rStyle w:val="Hyperlink"/>
          </w:rPr>
          <w:noBreakHyphen/>
          <w:t>4. Okvirni nacionalni ciljevi energetske učinkovitosti u 2020. godini</w:t>
        </w:r>
        <w:r w:rsidR="00154150">
          <w:rPr>
            <w:noProof/>
            <w:webHidden/>
          </w:rPr>
          <w:tab/>
        </w:r>
        <w:r w:rsidR="00154150">
          <w:rPr>
            <w:noProof/>
            <w:webHidden/>
          </w:rPr>
          <w:fldChar w:fldCharType="begin"/>
        </w:r>
        <w:r w:rsidR="00154150">
          <w:rPr>
            <w:noProof/>
            <w:webHidden/>
          </w:rPr>
          <w:instrText xml:space="preserve"> PAGEREF _Toc27396140 \h </w:instrText>
        </w:r>
        <w:r w:rsidR="00154150">
          <w:rPr>
            <w:noProof/>
            <w:webHidden/>
          </w:rPr>
        </w:r>
        <w:r w:rsidR="00154150">
          <w:rPr>
            <w:noProof/>
            <w:webHidden/>
          </w:rPr>
          <w:fldChar w:fldCharType="separate"/>
        </w:r>
        <w:r w:rsidR="00154150">
          <w:rPr>
            <w:noProof/>
            <w:webHidden/>
          </w:rPr>
          <w:t>30</w:t>
        </w:r>
        <w:r w:rsidR="00154150">
          <w:rPr>
            <w:noProof/>
            <w:webHidden/>
          </w:rPr>
          <w:fldChar w:fldCharType="end"/>
        </w:r>
      </w:hyperlink>
    </w:p>
    <w:p w14:paraId="3A2774F5" w14:textId="5176680C" w:rsidR="00154150" w:rsidRDefault="00ED1E5D">
      <w:pPr>
        <w:pStyle w:val="TableofFigures"/>
        <w:rPr>
          <w:rFonts w:asciiTheme="minorHAnsi" w:eastAsiaTheme="minorEastAsia" w:hAnsiTheme="minorHAnsi" w:cstheme="minorBidi"/>
          <w:noProof/>
        </w:rPr>
      </w:pPr>
      <w:hyperlink w:anchor="_Toc27396141" w:history="1">
        <w:r w:rsidR="00154150" w:rsidRPr="00A27C24">
          <w:rPr>
            <w:rStyle w:val="Hyperlink"/>
          </w:rPr>
          <w:t>Slika 2</w:t>
        </w:r>
        <w:r w:rsidR="00154150" w:rsidRPr="00A27C24">
          <w:rPr>
            <w:rStyle w:val="Hyperlink"/>
          </w:rPr>
          <w:noBreakHyphen/>
          <w:t>1. Indikativna putanja udjela OIE u bruto neposrednoj potrošnji energije</w:t>
        </w:r>
        <w:r w:rsidR="00154150">
          <w:rPr>
            <w:noProof/>
            <w:webHidden/>
          </w:rPr>
          <w:tab/>
        </w:r>
        <w:r w:rsidR="00154150">
          <w:rPr>
            <w:noProof/>
            <w:webHidden/>
          </w:rPr>
          <w:fldChar w:fldCharType="begin"/>
        </w:r>
        <w:r w:rsidR="00154150">
          <w:rPr>
            <w:noProof/>
            <w:webHidden/>
          </w:rPr>
          <w:instrText xml:space="preserve"> PAGEREF _Toc27396141 \h </w:instrText>
        </w:r>
        <w:r w:rsidR="00154150">
          <w:rPr>
            <w:noProof/>
            <w:webHidden/>
          </w:rPr>
        </w:r>
        <w:r w:rsidR="00154150">
          <w:rPr>
            <w:noProof/>
            <w:webHidden/>
          </w:rPr>
          <w:fldChar w:fldCharType="separate"/>
        </w:r>
        <w:r w:rsidR="00154150">
          <w:rPr>
            <w:noProof/>
            <w:webHidden/>
          </w:rPr>
          <w:t>53</w:t>
        </w:r>
        <w:r w:rsidR="00154150">
          <w:rPr>
            <w:noProof/>
            <w:webHidden/>
          </w:rPr>
          <w:fldChar w:fldCharType="end"/>
        </w:r>
      </w:hyperlink>
    </w:p>
    <w:p w14:paraId="16BEB37F" w14:textId="13AFFC71" w:rsidR="00154150" w:rsidRDefault="00ED1E5D">
      <w:pPr>
        <w:pStyle w:val="TableofFigures"/>
        <w:rPr>
          <w:rFonts w:asciiTheme="minorHAnsi" w:eastAsiaTheme="minorEastAsia" w:hAnsiTheme="minorHAnsi" w:cstheme="minorBidi"/>
          <w:noProof/>
        </w:rPr>
      </w:pPr>
      <w:hyperlink w:anchor="_Toc27396142" w:history="1">
        <w:r w:rsidR="00154150" w:rsidRPr="00A27C24">
          <w:rPr>
            <w:rStyle w:val="Hyperlink"/>
          </w:rPr>
          <w:t>Slika 2</w:t>
        </w:r>
        <w:r w:rsidR="00154150" w:rsidRPr="00A27C24">
          <w:rPr>
            <w:rStyle w:val="Hyperlink"/>
          </w:rPr>
          <w:noBreakHyphen/>
          <w:t>2. Indikativne putanje udjela OIE u električnoj energiji</w:t>
        </w:r>
        <w:r w:rsidR="00154150">
          <w:rPr>
            <w:noProof/>
            <w:webHidden/>
          </w:rPr>
          <w:tab/>
        </w:r>
        <w:r w:rsidR="00154150">
          <w:rPr>
            <w:noProof/>
            <w:webHidden/>
          </w:rPr>
          <w:fldChar w:fldCharType="begin"/>
        </w:r>
        <w:r w:rsidR="00154150">
          <w:rPr>
            <w:noProof/>
            <w:webHidden/>
          </w:rPr>
          <w:instrText xml:space="preserve"> PAGEREF _Toc27396142 \h </w:instrText>
        </w:r>
        <w:r w:rsidR="00154150">
          <w:rPr>
            <w:noProof/>
            <w:webHidden/>
          </w:rPr>
        </w:r>
        <w:r w:rsidR="00154150">
          <w:rPr>
            <w:noProof/>
            <w:webHidden/>
          </w:rPr>
          <w:fldChar w:fldCharType="separate"/>
        </w:r>
        <w:r w:rsidR="00154150">
          <w:rPr>
            <w:noProof/>
            <w:webHidden/>
          </w:rPr>
          <w:t>54</w:t>
        </w:r>
        <w:r w:rsidR="00154150">
          <w:rPr>
            <w:noProof/>
            <w:webHidden/>
          </w:rPr>
          <w:fldChar w:fldCharType="end"/>
        </w:r>
      </w:hyperlink>
    </w:p>
    <w:p w14:paraId="2CF8D678" w14:textId="07A197AE" w:rsidR="00154150" w:rsidRDefault="00ED1E5D">
      <w:pPr>
        <w:pStyle w:val="TableofFigures"/>
        <w:rPr>
          <w:rFonts w:asciiTheme="minorHAnsi" w:eastAsiaTheme="minorEastAsia" w:hAnsiTheme="minorHAnsi" w:cstheme="minorBidi"/>
          <w:noProof/>
        </w:rPr>
      </w:pPr>
      <w:hyperlink w:anchor="_Toc27396143" w:history="1">
        <w:r w:rsidR="00154150" w:rsidRPr="00A27C24">
          <w:rPr>
            <w:rStyle w:val="Hyperlink"/>
          </w:rPr>
          <w:t>Slika 2</w:t>
        </w:r>
        <w:r w:rsidR="00154150" w:rsidRPr="00A27C24">
          <w:rPr>
            <w:rStyle w:val="Hyperlink"/>
          </w:rPr>
          <w:noBreakHyphen/>
          <w:t>3. Indikativne putanje udjela OIE u grijanju i hlađenju</w:t>
        </w:r>
        <w:r w:rsidR="00154150">
          <w:rPr>
            <w:noProof/>
            <w:webHidden/>
          </w:rPr>
          <w:tab/>
        </w:r>
        <w:r w:rsidR="00154150">
          <w:rPr>
            <w:noProof/>
            <w:webHidden/>
          </w:rPr>
          <w:fldChar w:fldCharType="begin"/>
        </w:r>
        <w:r w:rsidR="00154150">
          <w:rPr>
            <w:noProof/>
            <w:webHidden/>
          </w:rPr>
          <w:instrText xml:space="preserve"> PAGEREF _Toc27396143 \h </w:instrText>
        </w:r>
        <w:r w:rsidR="00154150">
          <w:rPr>
            <w:noProof/>
            <w:webHidden/>
          </w:rPr>
        </w:r>
        <w:r w:rsidR="00154150">
          <w:rPr>
            <w:noProof/>
            <w:webHidden/>
          </w:rPr>
          <w:fldChar w:fldCharType="separate"/>
        </w:r>
        <w:r w:rsidR="00154150">
          <w:rPr>
            <w:noProof/>
            <w:webHidden/>
          </w:rPr>
          <w:t>55</w:t>
        </w:r>
        <w:r w:rsidR="00154150">
          <w:rPr>
            <w:noProof/>
            <w:webHidden/>
          </w:rPr>
          <w:fldChar w:fldCharType="end"/>
        </w:r>
      </w:hyperlink>
    </w:p>
    <w:p w14:paraId="6148906F" w14:textId="09BF0FAE" w:rsidR="00154150" w:rsidRDefault="00ED1E5D">
      <w:pPr>
        <w:pStyle w:val="TableofFigures"/>
        <w:rPr>
          <w:rFonts w:asciiTheme="minorHAnsi" w:eastAsiaTheme="minorEastAsia" w:hAnsiTheme="minorHAnsi" w:cstheme="minorBidi"/>
          <w:noProof/>
        </w:rPr>
      </w:pPr>
      <w:hyperlink w:anchor="_Toc27396144" w:history="1">
        <w:r w:rsidR="00154150" w:rsidRPr="00A27C24">
          <w:rPr>
            <w:rStyle w:val="Hyperlink"/>
          </w:rPr>
          <w:t>Slika 2</w:t>
        </w:r>
        <w:r w:rsidR="00154150" w:rsidRPr="00A27C24">
          <w:rPr>
            <w:rStyle w:val="Hyperlink"/>
          </w:rPr>
          <w:noBreakHyphen/>
          <w:t>4. Indikativne putanje udjela OIE u prometu</w:t>
        </w:r>
        <w:r w:rsidR="00154150">
          <w:rPr>
            <w:noProof/>
            <w:webHidden/>
          </w:rPr>
          <w:tab/>
        </w:r>
        <w:r w:rsidR="00154150">
          <w:rPr>
            <w:noProof/>
            <w:webHidden/>
          </w:rPr>
          <w:fldChar w:fldCharType="begin"/>
        </w:r>
        <w:r w:rsidR="00154150">
          <w:rPr>
            <w:noProof/>
            <w:webHidden/>
          </w:rPr>
          <w:instrText xml:space="preserve"> PAGEREF _Toc27396144 \h </w:instrText>
        </w:r>
        <w:r w:rsidR="00154150">
          <w:rPr>
            <w:noProof/>
            <w:webHidden/>
          </w:rPr>
        </w:r>
        <w:r w:rsidR="00154150">
          <w:rPr>
            <w:noProof/>
            <w:webHidden/>
          </w:rPr>
          <w:fldChar w:fldCharType="separate"/>
        </w:r>
        <w:r w:rsidR="00154150">
          <w:rPr>
            <w:noProof/>
            <w:webHidden/>
          </w:rPr>
          <w:t>55</w:t>
        </w:r>
        <w:r w:rsidR="00154150">
          <w:rPr>
            <w:noProof/>
            <w:webHidden/>
          </w:rPr>
          <w:fldChar w:fldCharType="end"/>
        </w:r>
      </w:hyperlink>
    </w:p>
    <w:p w14:paraId="37D9E02B" w14:textId="5AFC4611" w:rsidR="00154150" w:rsidRDefault="00ED1E5D">
      <w:pPr>
        <w:pStyle w:val="TableofFigures"/>
        <w:rPr>
          <w:rFonts w:asciiTheme="minorHAnsi" w:eastAsiaTheme="minorEastAsia" w:hAnsiTheme="minorHAnsi" w:cstheme="minorBidi"/>
          <w:noProof/>
        </w:rPr>
      </w:pPr>
      <w:hyperlink w:anchor="_Toc27396145" w:history="1">
        <w:r w:rsidR="00154150" w:rsidRPr="00A27C24">
          <w:rPr>
            <w:rStyle w:val="Hyperlink"/>
          </w:rPr>
          <w:t>Slika 2</w:t>
        </w:r>
        <w:r w:rsidR="00154150" w:rsidRPr="00A27C24">
          <w:rPr>
            <w:rStyle w:val="Hyperlink"/>
          </w:rPr>
          <w:noBreakHyphen/>
          <w:t>5. Ocijenjeni doprinosi OIE tehnologija po sektorima</w:t>
        </w:r>
        <w:r w:rsidR="00154150">
          <w:rPr>
            <w:noProof/>
            <w:webHidden/>
          </w:rPr>
          <w:tab/>
        </w:r>
        <w:r w:rsidR="00154150">
          <w:rPr>
            <w:noProof/>
            <w:webHidden/>
          </w:rPr>
          <w:fldChar w:fldCharType="begin"/>
        </w:r>
        <w:r w:rsidR="00154150">
          <w:rPr>
            <w:noProof/>
            <w:webHidden/>
          </w:rPr>
          <w:instrText xml:space="preserve"> PAGEREF _Toc27396145 \h </w:instrText>
        </w:r>
        <w:r w:rsidR="00154150">
          <w:rPr>
            <w:noProof/>
            <w:webHidden/>
          </w:rPr>
        </w:r>
        <w:r w:rsidR="00154150">
          <w:rPr>
            <w:noProof/>
            <w:webHidden/>
          </w:rPr>
          <w:fldChar w:fldCharType="separate"/>
        </w:r>
        <w:r w:rsidR="00154150">
          <w:rPr>
            <w:noProof/>
            <w:webHidden/>
          </w:rPr>
          <w:t>57</w:t>
        </w:r>
        <w:r w:rsidR="00154150">
          <w:rPr>
            <w:noProof/>
            <w:webHidden/>
          </w:rPr>
          <w:fldChar w:fldCharType="end"/>
        </w:r>
      </w:hyperlink>
    </w:p>
    <w:p w14:paraId="3C79B666" w14:textId="71E2B52E" w:rsidR="00154150" w:rsidRDefault="00ED1E5D">
      <w:pPr>
        <w:pStyle w:val="TableofFigures"/>
        <w:rPr>
          <w:rFonts w:asciiTheme="minorHAnsi" w:eastAsiaTheme="minorEastAsia" w:hAnsiTheme="minorHAnsi" w:cstheme="minorBidi"/>
          <w:noProof/>
        </w:rPr>
      </w:pPr>
      <w:hyperlink w:anchor="_Toc27396146" w:history="1">
        <w:r w:rsidR="00154150" w:rsidRPr="00A27C24">
          <w:rPr>
            <w:rStyle w:val="Hyperlink"/>
          </w:rPr>
          <w:t>Slika 2</w:t>
        </w:r>
        <w:r w:rsidR="00154150" w:rsidRPr="00A27C24">
          <w:rPr>
            <w:rStyle w:val="Hyperlink"/>
          </w:rPr>
          <w:noBreakHyphen/>
          <w:t>6 Očekivana snaga elektrana</w:t>
        </w:r>
        <w:r w:rsidR="00154150">
          <w:rPr>
            <w:noProof/>
            <w:webHidden/>
          </w:rPr>
          <w:tab/>
        </w:r>
        <w:r w:rsidR="00154150">
          <w:rPr>
            <w:noProof/>
            <w:webHidden/>
          </w:rPr>
          <w:fldChar w:fldCharType="begin"/>
        </w:r>
        <w:r w:rsidR="00154150">
          <w:rPr>
            <w:noProof/>
            <w:webHidden/>
          </w:rPr>
          <w:instrText xml:space="preserve"> PAGEREF _Toc27396146 \h </w:instrText>
        </w:r>
        <w:r w:rsidR="00154150">
          <w:rPr>
            <w:noProof/>
            <w:webHidden/>
          </w:rPr>
        </w:r>
        <w:r w:rsidR="00154150">
          <w:rPr>
            <w:noProof/>
            <w:webHidden/>
          </w:rPr>
          <w:fldChar w:fldCharType="separate"/>
        </w:r>
        <w:r w:rsidR="00154150">
          <w:rPr>
            <w:noProof/>
            <w:webHidden/>
          </w:rPr>
          <w:t>58</w:t>
        </w:r>
        <w:r w:rsidR="00154150">
          <w:rPr>
            <w:noProof/>
            <w:webHidden/>
          </w:rPr>
          <w:fldChar w:fldCharType="end"/>
        </w:r>
      </w:hyperlink>
    </w:p>
    <w:p w14:paraId="24574CA9" w14:textId="722E9AA6" w:rsidR="00154150" w:rsidRDefault="00ED1E5D">
      <w:pPr>
        <w:pStyle w:val="TableofFigures"/>
        <w:rPr>
          <w:rFonts w:asciiTheme="minorHAnsi" w:eastAsiaTheme="minorEastAsia" w:hAnsiTheme="minorHAnsi" w:cstheme="minorBidi"/>
          <w:noProof/>
        </w:rPr>
      </w:pPr>
      <w:hyperlink w:anchor="_Toc27396147" w:history="1">
        <w:r w:rsidR="00154150" w:rsidRPr="00A27C24">
          <w:rPr>
            <w:rStyle w:val="Hyperlink"/>
          </w:rPr>
          <w:t>Slika 2</w:t>
        </w:r>
        <w:r w:rsidR="00154150" w:rsidRPr="00A27C24">
          <w:rPr>
            <w:rStyle w:val="Hyperlink"/>
          </w:rPr>
          <w:noBreakHyphen/>
          <w:t>7 Procijenjena putanja potražnje za energijom biomase</w:t>
        </w:r>
        <w:r w:rsidR="00154150">
          <w:rPr>
            <w:noProof/>
            <w:webHidden/>
          </w:rPr>
          <w:tab/>
        </w:r>
        <w:r w:rsidR="00154150">
          <w:rPr>
            <w:noProof/>
            <w:webHidden/>
          </w:rPr>
          <w:fldChar w:fldCharType="begin"/>
        </w:r>
        <w:r w:rsidR="00154150">
          <w:rPr>
            <w:noProof/>
            <w:webHidden/>
          </w:rPr>
          <w:instrText xml:space="preserve"> PAGEREF _Toc27396147 \h </w:instrText>
        </w:r>
        <w:r w:rsidR="00154150">
          <w:rPr>
            <w:noProof/>
            <w:webHidden/>
          </w:rPr>
        </w:r>
        <w:r w:rsidR="00154150">
          <w:rPr>
            <w:noProof/>
            <w:webHidden/>
          </w:rPr>
          <w:fldChar w:fldCharType="separate"/>
        </w:r>
        <w:r w:rsidR="00154150">
          <w:rPr>
            <w:noProof/>
            <w:webHidden/>
          </w:rPr>
          <w:t>59</w:t>
        </w:r>
        <w:r w:rsidR="00154150">
          <w:rPr>
            <w:noProof/>
            <w:webHidden/>
          </w:rPr>
          <w:fldChar w:fldCharType="end"/>
        </w:r>
      </w:hyperlink>
    </w:p>
    <w:p w14:paraId="4424AE8F" w14:textId="0CB210E8" w:rsidR="00154150" w:rsidRDefault="00ED1E5D">
      <w:pPr>
        <w:pStyle w:val="TableofFigures"/>
        <w:rPr>
          <w:rFonts w:asciiTheme="minorHAnsi" w:eastAsiaTheme="minorEastAsia" w:hAnsiTheme="minorHAnsi" w:cstheme="minorBidi"/>
          <w:noProof/>
        </w:rPr>
      </w:pPr>
      <w:hyperlink w:anchor="_Toc27396148" w:history="1">
        <w:r w:rsidR="00154150" w:rsidRPr="00A27C24">
          <w:rPr>
            <w:rStyle w:val="Hyperlink"/>
          </w:rPr>
          <w:t>Slika 2</w:t>
        </w:r>
        <w:r w:rsidR="00154150" w:rsidRPr="00A27C24">
          <w:rPr>
            <w:rStyle w:val="Hyperlink"/>
          </w:rPr>
          <w:noBreakHyphen/>
          <w:t>8. Kretanje potrošnje energije u razdoblju od 2020. do 2030. godine</w:t>
        </w:r>
        <w:r w:rsidR="00154150">
          <w:rPr>
            <w:noProof/>
            <w:webHidden/>
          </w:rPr>
          <w:tab/>
        </w:r>
        <w:r w:rsidR="00154150">
          <w:rPr>
            <w:noProof/>
            <w:webHidden/>
          </w:rPr>
          <w:fldChar w:fldCharType="begin"/>
        </w:r>
        <w:r w:rsidR="00154150">
          <w:rPr>
            <w:noProof/>
            <w:webHidden/>
          </w:rPr>
          <w:instrText xml:space="preserve"> PAGEREF _Toc27396148 \h </w:instrText>
        </w:r>
        <w:r w:rsidR="00154150">
          <w:rPr>
            <w:noProof/>
            <w:webHidden/>
          </w:rPr>
        </w:r>
        <w:r w:rsidR="00154150">
          <w:rPr>
            <w:noProof/>
            <w:webHidden/>
          </w:rPr>
          <w:fldChar w:fldCharType="separate"/>
        </w:r>
        <w:r w:rsidR="00154150">
          <w:rPr>
            <w:noProof/>
            <w:webHidden/>
          </w:rPr>
          <w:t>61</w:t>
        </w:r>
        <w:r w:rsidR="00154150">
          <w:rPr>
            <w:noProof/>
            <w:webHidden/>
          </w:rPr>
          <w:fldChar w:fldCharType="end"/>
        </w:r>
      </w:hyperlink>
    </w:p>
    <w:p w14:paraId="4E498282" w14:textId="7D93028B" w:rsidR="00154150" w:rsidRDefault="00ED1E5D">
      <w:pPr>
        <w:pStyle w:val="TableofFigures"/>
        <w:rPr>
          <w:rFonts w:asciiTheme="minorHAnsi" w:eastAsiaTheme="minorEastAsia" w:hAnsiTheme="minorHAnsi" w:cstheme="minorBidi"/>
          <w:noProof/>
        </w:rPr>
      </w:pPr>
      <w:hyperlink w:anchor="_Toc27396149" w:history="1">
        <w:r w:rsidR="00154150" w:rsidRPr="00A27C24">
          <w:rPr>
            <w:rStyle w:val="Hyperlink"/>
          </w:rPr>
          <w:t>Slika 2</w:t>
        </w:r>
        <w:r w:rsidR="00154150" w:rsidRPr="00A27C24">
          <w:rPr>
            <w:rStyle w:val="Hyperlink"/>
          </w:rPr>
          <w:noBreakHyphen/>
          <w:t>9. Projekcija potrošnje energije u sektoru prometa</w:t>
        </w:r>
        <w:r w:rsidR="00154150">
          <w:rPr>
            <w:noProof/>
            <w:webHidden/>
          </w:rPr>
          <w:tab/>
        </w:r>
        <w:r w:rsidR="00154150">
          <w:rPr>
            <w:noProof/>
            <w:webHidden/>
          </w:rPr>
          <w:fldChar w:fldCharType="begin"/>
        </w:r>
        <w:r w:rsidR="00154150">
          <w:rPr>
            <w:noProof/>
            <w:webHidden/>
          </w:rPr>
          <w:instrText xml:space="preserve"> PAGEREF _Toc27396149 \h </w:instrText>
        </w:r>
        <w:r w:rsidR="00154150">
          <w:rPr>
            <w:noProof/>
            <w:webHidden/>
          </w:rPr>
        </w:r>
        <w:r w:rsidR="00154150">
          <w:rPr>
            <w:noProof/>
            <w:webHidden/>
          </w:rPr>
          <w:fldChar w:fldCharType="separate"/>
        </w:r>
        <w:r w:rsidR="00154150">
          <w:rPr>
            <w:noProof/>
            <w:webHidden/>
          </w:rPr>
          <w:t>64</w:t>
        </w:r>
        <w:r w:rsidR="00154150">
          <w:rPr>
            <w:noProof/>
            <w:webHidden/>
          </w:rPr>
          <w:fldChar w:fldCharType="end"/>
        </w:r>
      </w:hyperlink>
    </w:p>
    <w:p w14:paraId="752097E7" w14:textId="4FD17380" w:rsidR="00154150" w:rsidRDefault="00ED1E5D">
      <w:pPr>
        <w:pStyle w:val="TableofFigures"/>
        <w:rPr>
          <w:rFonts w:asciiTheme="minorHAnsi" w:eastAsiaTheme="minorEastAsia" w:hAnsiTheme="minorHAnsi" w:cstheme="minorBidi"/>
          <w:noProof/>
        </w:rPr>
      </w:pPr>
      <w:hyperlink w:anchor="_Toc27396150" w:history="1">
        <w:r w:rsidR="00154150" w:rsidRPr="00A27C24">
          <w:rPr>
            <w:rStyle w:val="Hyperlink"/>
          </w:rPr>
          <w:t>Slika 2</w:t>
        </w:r>
        <w:r w:rsidR="00154150" w:rsidRPr="00A27C24">
          <w:rPr>
            <w:rStyle w:val="Hyperlink"/>
          </w:rPr>
          <w:noBreakHyphen/>
          <w:t>10. Ukupna potrošnja energije i vlastita opskrbljenost</w:t>
        </w:r>
        <w:r w:rsidR="00154150">
          <w:rPr>
            <w:noProof/>
            <w:webHidden/>
          </w:rPr>
          <w:tab/>
        </w:r>
        <w:r w:rsidR="00154150">
          <w:rPr>
            <w:noProof/>
            <w:webHidden/>
          </w:rPr>
          <w:fldChar w:fldCharType="begin"/>
        </w:r>
        <w:r w:rsidR="00154150">
          <w:rPr>
            <w:noProof/>
            <w:webHidden/>
          </w:rPr>
          <w:instrText xml:space="preserve"> PAGEREF _Toc27396150 \h </w:instrText>
        </w:r>
        <w:r w:rsidR="00154150">
          <w:rPr>
            <w:noProof/>
            <w:webHidden/>
          </w:rPr>
        </w:r>
        <w:r w:rsidR="00154150">
          <w:rPr>
            <w:noProof/>
            <w:webHidden/>
          </w:rPr>
          <w:fldChar w:fldCharType="separate"/>
        </w:r>
        <w:r w:rsidR="00154150">
          <w:rPr>
            <w:noProof/>
            <w:webHidden/>
          </w:rPr>
          <w:t>69</w:t>
        </w:r>
        <w:r w:rsidR="00154150">
          <w:rPr>
            <w:noProof/>
            <w:webHidden/>
          </w:rPr>
          <w:fldChar w:fldCharType="end"/>
        </w:r>
      </w:hyperlink>
    </w:p>
    <w:p w14:paraId="7E708195" w14:textId="7C841FD1" w:rsidR="00154150" w:rsidRDefault="00ED1E5D">
      <w:pPr>
        <w:pStyle w:val="TableofFigures"/>
        <w:rPr>
          <w:rFonts w:asciiTheme="minorHAnsi" w:eastAsiaTheme="minorEastAsia" w:hAnsiTheme="minorHAnsi" w:cstheme="minorBidi"/>
          <w:noProof/>
        </w:rPr>
      </w:pPr>
      <w:hyperlink w:anchor="_Toc27396151" w:history="1">
        <w:r w:rsidR="00154150" w:rsidRPr="00A27C24">
          <w:rPr>
            <w:rStyle w:val="Hyperlink"/>
          </w:rPr>
          <w:t>Slika 2</w:t>
        </w:r>
        <w:r w:rsidR="00154150" w:rsidRPr="00A27C24">
          <w:rPr>
            <w:rStyle w:val="Hyperlink"/>
          </w:rPr>
          <w:noBreakHyphen/>
          <w:t>11. Projekcija proizvodnje nafte i kondenzata do 2050. godine</w:t>
        </w:r>
        <w:r w:rsidR="00154150">
          <w:rPr>
            <w:noProof/>
            <w:webHidden/>
          </w:rPr>
          <w:tab/>
        </w:r>
        <w:r w:rsidR="00154150">
          <w:rPr>
            <w:noProof/>
            <w:webHidden/>
          </w:rPr>
          <w:fldChar w:fldCharType="begin"/>
        </w:r>
        <w:r w:rsidR="00154150">
          <w:rPr>
            <w:noProof/>
            <w:webHidden/>
          </w:rPr>
          <w:instrText xml:space="preserve"> PAGEREF _Toc27396151 \h </w:instrText>
        </w:r>
        <w:r w:rsidR="00154150">
          <w:rPr>
            <w:noProof/>
            <w:webHidden/>
          </w:rPr>
        </w:r>
        <w:r w:rsidR="00154150">
          <w:rPr>
            <w:noProof/>
            <w:webHidden/>
          </w:rPr>
          <w:fldChar w:fldCharType="separate"/>
        </w:r>
        <w:r w:rsidR="00154150">
          <w:rPr>
            <w:noProof/>
            <w:webHidden/>
          </w:rPr>
          <w:t>70</w:t>
        </w:r>
        <w:r w:rsidR="00154150">
          <w:rPr>
            <w:noProof/>
            <w:webHidden/>
          </w:rPr>
          <w:fldChar w:fldCharType="end"/>
        </w:r>
      </w:hyperlink>
    </w:p>
    <w:p w14:paraId="3D283D52" w14:textId="7D3DE3E1" w:rsidR="00154150" w:rsidRDefault="00ED1E5D">
      <w:pPr>
        <w:pStyle w:val="TableofFigures"/>
        <w:rPr>
          <w:rFonts w:asciiTheme="minorHAnsi" w:eastAsiaTheme="minorEastAsia" w:hAnsiTheme="minorHAnsi" w:cstheme="minorBidi"/>
          <w:noProof/>
        </w:rPr>
      </w:pPr>
      <w:hyperlink w:anchor="_Toc27396152" w:history="1">
        <w:r w:rsidR="00154150" w:rsidRPr="00A27C24">
          <w:rPr>
            <w:rStyle w:val="Hyperlink"/>
          </w:rPr>
          <w:t>Slika 2</w:t>
        </w:r>
        <w:r w:rsidR="00154150" w:rsidRPr="00A27C24">
          <w:rPr>
            <w:rStyle w:val="Hyperlink"/>
          </w:rPr>
          <w:noBreakHyphen/>
          <w:t>12. Projekcija proizvodnje prirodnog plina do 2050. godine</w:t>
        </w:r>
        <w:r w:rsidR="00154150">
          <w:rPr>
            <w:noProof/>
            <w:webHidden/>
          </w:rPr>
          <w:tab/>
        </w:r>
        <w:r w:rsidR="00154150">
          <w:rPr>
            <w:noProof/>
            <w:webHidden/>
          </w:rPr>
          <w:fldChar w:fldCharType="begin"/>
        </w:r>
        <w:r w:rsidR="00154150">
          <w:rPr>
            <w:noProof/>
            <w:webHidden/>
          </w:rPr>
          <w:instrText xml:space="preserve"> PAGEREF _Toc27396152 \h </w:instrText>
        </w:r>
        <w:r w:rsidR="00154150">
          <w:rPr>
            <w:noProof/>
            <w:webHidden/>
          </w:rPr>
        </w:r>
        <w:r w:rsidR="00154150">
          <w:rPr>
            <w:noProof/>
            <w:webHidden/>
          </w:rPr>
          <w:fldChar w:fldCharType="separate"/>
        </w:r>
        <w:r w:rsidR="00154150">
          <w:rPr>
            <w:noProof/>
            <w:webHidden/>
          </w:rPr>
          <w:t>70</w:t>
        </w:r>
        <w:r w:rsidR="00154150">
          <w:rPr>
            <w:noProof/>
            <w:webHidden/>
          </w:rPr>
          <w:fldChar w:fldCharType="end"/>
        </w:r>
      </w:hyperlink>
    </w:p>
    <w:p w14:paraId="4BC546EF" w14:textId="512439EA" w:rsidR="00154150" w:rsidRDefault="00ED1E5D">
      <w:pPr>
        <w:pStyle w:val="TableofFigures"/>
        <w:rPr>
          <w:rFonts w:asciiTheme="minorHAnsi" w:eastAsiaTheme="minorEastAsia" w:hAnsiTheme="minorHAnsi" w:cstheme="minorBidi"/>
          <w:noProof/>
        </w:rPr>
      </w:pPr>
      <w:hyperlink w:anchor="_Toc27396153" w:history="1">
        <w:r w:rsidR="00154150" w:rsidRPr="00A27C24">
          <w:rPr>
            <w:rStyle w:val="Hyperlink"/>
          </w:rPr>
          <w:t>Slika 4</w:t>
        </w:r>
        <w:r w:rsidR="00154150" w:rsidRPr="00A27C24">
          <w:rPr>
            <w:rStyle w:val="Hyperlink"/>
          </w:rPr>
          <w:noBreakHyphen/>
          <w:t>1. Projekcija BDP-a na temelju srednjih demografskih projekcija (za baznu i rastuću produktivnost)</w:t>
        </w:r>
        <w:r w:rsidR="00154150">
          <w:rPr>
            <w:noProof/>
            <w:webHidden/>
          </w:rPr>
          <w:tab/>
        </w:r>
        <w:r w:rsidR="00154150">
          <w:rPr>
            <w:noProof/>
            <w:webHidden/>
          </w:rPr>
          <w:fldChar w:fldCharType="begin"/>
        </w:r>
        <w:r w:rsidR="00154150">
          <w:rPr>
            <w:noProof/>
            <w:webHidden/>
          </w:rPr>
          <w:instrText xml:space="preserve"> PAGEREF _Toc27396153 \h </w:instrText>
        </w:r>
        <w:r w:rsidR="00154150">
          <w:rPr>
            <w:noProof/>
            <w:webHidden/>
          </w:rPr>
        </w:r>
        <w:r w:rsidR="00154150">
          <w:rPr>
            <w:noProof/>
            <w:webHidden/>
          </w:rPr>
          <w:fldChar w:fldCharType="separate"/>
        </w:r>
        <w:r w:rsidR="00154150">
          <w:rPr>
            <w:noProof/>
            <w:webHidden/>
          </w:rPr>
          <w:t>176</w:t>
        </w:r>
        <w:r w:rsidR="00154150">
          <w:rPr>
            <w:noProof/>
            <w:webHidden/>
          </w:rPr>
          <w:fldChar w:fldCharType="end"/>
        </w:r>
      </w:hyperlink>
    </w:p>
    <w:p w14:paraId="6A3F17FD" w14:textId="6BC0A532" w:rsidR="00154150" w:rsidRDefault="00ED1E5D">
      <w:pPr>
        <w:pStyle w:val="TableofFigures"/>
        <w:rPr>
          <w:rFonts w:asciiTheme="minorHAnsi" w:eastAsiaTheme="minorEastAsia" w:hAnsiTheme="minorHAnsi" w:cstheme="minorBidi"/>
          <w:noProof/>
        </w:rPr>
      </w:pPr>
      <w:hyperlink w:anchor="_Toc27396154" w:history="1">
        <w:r w:rsidR="00154150" w:rsidRPr="00A27C24">
          <w:rPr>
            <w:rStyle w:val="Hyperlink"/>
          </w:rPr>
          <w:t>Slika 4</w:t>
        </w:r>
        <w:r w:rsidR="00154150" w:rsidRPr="00A27C24">
          <w:rPr>
            <w:rStyle w:val="Hyperlink"/>
          </w:rPr>
          <w:noBreakHyphen/>
          <w:t>2. Cijene fosilnih goriva do 2050. godine</w:t>
        </w:r>
        <w:r w:rsidR="00154150">
          <w:rPr>
            <w:noProof/>
            <w:webHidden/>
          </w:rPr>
          <w:tab/>
        </w:r>
        <w:r w:rsidR="00154150">
          <w:rPr>
            <w:noProof/>
            <w:webHidden/>
          </w:rPr>
          <w:fldChar w:fldCharType="begin"/>
        </w:r>
        <w:r w:rsidR="00154150">
          <w:rPr>
            <w:noProof/>
            <w:webHidden/>
          </w:rPr>
          <w:instrText xml:space="preserve"> PAGEREF _Toc27396154 \h </w:instrText>
        </w:r>
        <w:r w:rsidR="00154150">
          <w:rPr>
            <w:noProof/>
            <w:webHidden/>
          </w:rPr>
        </w:r>
        <w:r w:rsidR="00154150">
          <w:rPr>
            <w:noProof/>
            <w:webHidden/>
          </w:rPr>
          <w:fldChar w:fldCharType="separate"/>
        </w:r>
        <w:r w:rsidR="00154150">
          <w:rPr>
            <w:noProof/>
            <w:webHidden/>
          </w:rPr>
          <w:t>180</w:t>
        </w:r>
        <w:r w:rsidR="00154150">
          <w:rPr>
            <w:noProof/>
            <w:webHidden/>
          </w:rPr>
          <w:fldChar w:fldCharType="end"/>
        </w:r>
      </w:hyperlink>
    </w:p>
    <w:p w14:paraId="11882499" w14:textId="000638D1" w:rsidR="00154150" w:rsidRDefault="00ED1E5D">
      <w:pPr>
        <w:pStyle w:val="TableofFigures"/>
        <w:rPr>
          <w:rFonts w:asciiTheme="minorHAnsi" w:eastAsiaTheme="minorEastAsia" w:hAnsiTheme="minorHAnsi" w:cstheme="minorBidi"/>
          <w:noProof/>
        </w:rPr>
      </w:pPr>
      <w:hyperlink w:anchor="_Toc27396155" w:history="1">
        <w:r w:rsidR="00154150" w:rsidRPr="00A27C24">
          <w:rPr>
            <w:rStyle w:val="Hyperlink"/>
          </w:rPr>
          <w:t>Slika 4</w:t>
        </w:r>
        <w:r w:rsidR="00154150" w:rsidRPr="00A27C24">
          <w:rPr>
            <w:rStyle w:val="Hyperlink"/>
          </w:rPr>
          <w:noBreakHyphen/>
          <w:t>3. Očekivana cijena emisijskih jedinica do 2050. godine</w:t>
        </w:r>
        <w:r w:rsidR="00154150">
          <w:rPr>
            <w:noProof/>
            <w:webHidden/>
          </w:rPr>
          <w:tab/>
        </w:r>
        <w:r w:rsidR="00154150">
          <w:rPr>
            <w:noProof/>
            <w:webHidden/>
          </w:rPr>
          <w:fldChar w:fldCharType="begin"/>
        </w:r>
        <w:r w:rsidR="00154150">
          <w:rPr>
            <w:noProof/>
            <w:webHidden/>
          </w:rPr>
          <w:instrText xml:space="preserve"> PAGEREF _Toc27396155 \h </w:instrText>
        </w:r>
        <w:r w:rsidR="00154150">
          <w:rPr>
            <w:noProof/>
            <w:webHidden/>
          </w:rPr>
        </w:r>
        <w:r w:rsidR="00154150">
          <w:rPr>
            <w:noProof/>
            <w:webHidden/>
          </w:rPr>
          <w:fldChar w:fldCharType="separate"/>
        </w:r>
        <w:r w:rsidR="00154150">
          <w:rPr>
            <w:noProof/>
            <w:webHidden/>
          </w:rPr>
          <w:t>181</w:t>
        </w:r>
        <w:r w:rsidR="00154150">
          <w:rPr>
            <w:noProof/>
            <w:webHidden/>
          </w:rPr>
          <w:fldChar w:fldCharType="end"/>
        </w:r>
      </w:hyperlink>
    </w:p>
    <w:p w14:paraId="2EF0B356" w14:textId="1CB164CC" w:rsidR="00154150" w:rsidRDefault="00ED1E5D">
      <w:pPr>
        <w:pStyle w:val="TableofFigures"/>
        <w:rPr>
          <w:rFonts w:asciiTheme="minorHAnsi" w:eastAsiaTheme="minorEastAsia" w:hAnsiTheme="minorHAnsi" w:cstheme="minorBidi"/>
          <w:noProof/>
        </w:rPr>
      </w:pPr>
      <w:hyperlink w:anchor="_Toc27396156" w:history="1">
        <w:r w:rsidR="00154150" w:rsidRPr="00A27C24">
          <w:rPr>
            <w:rStyle w:val="Hyperlink"/>
          </w:rPr>
          <w:t>Slika 4</w:t>
        </w:r>
        <w:r w:rsidR="00154150" w:rsidRPr="00A27C24">
          <w:rPr>
            <w:rStyle w:val="Hyperlink"/>
          </w:rPr>
          <w:noBreakHyphen/>
          <w:t>4. Specifična investicija u OIE tehnologije</w:t>
        </w:r>
        <w:r w:rsidR="00154150">
          <w:rPr>
            <w:noProof/>
            <w:webHidden/>
          </w:rPr>
          <w:tab/>
        </w:r>
        <w:r w:rsidR="00154150">
          <w:rPr>
            <w:noProof/>
            <w:webHidden/>
          </w:rPr>
          <w:fldChar w:fldCharType="begin"/>
        </w:r>
        <w:r w:rsidR="00154150">
          <w:rPr>
            <w:noProof/>
            <w:webHidden/>
          </w:rPr>
          <w:instrText xml:space="preserve"> PAGEREF _Toc27396156 \h </w:instrText>
        </w:r>
        <w:r w:rsidR="00154150">
          <w:rPr>
            <w:noProof/>
            <w:webHidden/>
          </w:rPr>
        </w:r>
        <w:r w:rsidR="00154150">
          <w:rPr>
            <w:noProof/>
            <w:webHidden/>
          </w:rPr>
          <w:fldChar w:fldCharType="separate"/>
        </w:r>
        <w:r w:rsidR="00154150">
          <w:rPr>
            <w:noProof/>
            <w:webHidden/>
          </w:rPr>
          <w:t>181</w:t>
        </w:r>
        <w:r w:rsidR="00154150">
          <w:rPr>
            <w:noProof/>
            <w:webHidden/>
          </w:rPr>
          <w:fldChar w:fldCharType="end"/>
        </w:r>
      </w:hyperlink>
    </w:p>
    <w:p w14:paraId="631CB518" w14:textId="156BA992" w:rsidR="00154150" w:rsidRDefault="00ED1E5D">
      <w:pPr>
        <w:pStyle w:val="TableofFigures"/>
        <w:rPr>
          <w:rFonts w:asciiTheme="minorHAnsi" w:eastAsiaTheme="minorEastAsia" w:hAnsiTheme="minorHAnsi" w:cstheme="minorBidi"/>
          <w:noProof/>
        </w:rPr>
      </w:pPr>
      <w:hyperlink w:anchor="_Toc27396157" w:history="1">
        <w:r w:rsidR="00154150" w:rsidRPr="00A27C24">
          <w:rPr>
            <w:rStyle w:val="Hyperlink"/>
          </w:rPr>
          <w:t>Slika 4</w:t>
        </w:r>
        <w:r w:rsidR="00154150" w:rsidRPr="00A27C24">
          <w:rPr>
            <w:rStyle w:val="Hyperlink"/>
          </w:rPr>
          <w:noBreakHyphen/>
          <w:t>5. Specifična investicija u elektrane na fosilna goriva i nuklearne elektrane</w:t>
        </w:r>
        <w:r w:rsidR="00154150">
          <w:rPr>
            <w:noProof/>
            <w:webHidden/>
          </w:rPr>
          <w:tab/>
        </w:r>
        <w:r w:rsidR="00154150">
          <w:rPr>
            <w:noProof/>
            <w:webHidden/>
          </w:rPr>
          <w:fldChar w:fldCharType="begin"/>
        </w:r>
        <w:r w:rsidR="00154150">
          <w:rPr>
            <w:noProof/>
            <w:webHidden/>
          </w:rPr>
          <w:instrText xml:space="preserve"> PAGEREF _Toc27396157 \h </w:instrText>
        </w:r>
        <w:r w:rsidR="00154150">
          <w:rPr>
            <w:noProof/>
            <w:webHidden/>
          </w:rPr>
        </w:r>
        <w:r w:rsidR="00154150">
          <w:rPr>
            <w:noProof/>
            <w:webHidden/>
          </w:rPr>
          <w:fldChar w:fldCharType="separate"/>
        </w:r>
        <w:r w:rsidR="00154150">
          <w:rPr>
            <w:noProof/>
            <w:webHidden/>
          </w:rPr>
          <w:t>182</w:t>
        </w:r>
        <w:r w:rsidR="00154150">
          <w:rPr>
            <w:noProof/>
            <w:webHidden/>
          </w:rPr>
          <w:fldChar w:fldCharType="end"/>
        </w:r>
      </w:hyperlink>
    </w:p>
    <w:p w14:paraId="5F5C452A" w14:textId="2569B248" w:rsidR="00154150" w:rsidRDefault="00ED1E5D">
      <w:pPr>
        <w:pStyle w:val="TableofFigures"/>
        <w:rPr>
          <w:rFonts w:asciiTheme="minorHAnsi" w:eastAsiaTheme="minorEastAsia" w:hAnsiTheme="minorHAnsi" w:cstheme="minorBidi"/>
          <w:noProof/>
        </w:rPr>
      </w:pPr>
      <w:hyperlink w:anchor="_Toc27396158" w:history="1">
        <w:r w:rsidR="00154150" w:rsidRPr="00A27C24">
          <w:rPr>
            <w:rStyle w:val="Hyperlink"/>
          </w:rPr>
          <w:t>Slika 4</w:t>
        </w:r>
        <w:r w:rsidR="00154150" w:rsidRPr="00A27C24">
          <w:rPr>
            <w:rStyle w:val="Hyperlink"/>
          </w:rPr>
          <w:noBreakHyphen/>
          <w:t>6. Trend emisija stakleničkih plinova u Republici Hrvatskoj</w:t>
        </w:r>
        <w:r w:rsidR="00154150">
          <w:rPr>
            <w:noProof/>
            <w:webHidden/>
          </w:rPr>
          <w:tab/>
        </w:r>
        <w:r w:rsidR="00154150">
          <w:rPr>
            <w:noProof/>
            <w:webHidden/>
          </w:rPr>
          <w:fldChar w:fldCharType="begin"/>
        </w:r>
        <w:r w:rsidR="00154150">
          <w:rPr>
            <w:noProof/>
            <w:webHidden/>
          </w:rPr>
          <w:instrText xml:space="preserve"> PAGEREF _Toc27396158 \h </w:instrText>
        </w:r>
        <w:r w:rsidR="00154150">
          <w:rPr>
            <w:noProof/>
            <w:webHidden/>
          </w:rPr>
        </w:r>
        <w:r w:rsidR="00154150">
          <w:rPr>
            <w:noProof/>
            <w:webHidden/>
          </w:rPr>
          <w:fldChar w:fldCharType="separate"/>
        </w:r>
        <w:r w:rsidR="00154150">
          <w:rPr>
            <w:noProof/>
            <w:webHidden/>
          </w:rPr>
          <w:t>183</w:t>
        </w:r>
        <w:r w:rsidR="00154150">
          <w:rPr>
            <w:noProof/>
            <w:webHidden/>
          </w:rPr>
          <w:fldChar w:fldCharType="end"/>
        </w:r>
      </w:hyperlink>
    </w:p>
    <w:p w14:paraId="71D6483A" w14:textId="5A575E4F" w:rsidR="00154150" w:rsidRDefault="00ED1E5D">
      <w:pPr>
        <w:pStyle w:val="TableofFigures"/>
        <w:rPr>
          <w:rFonts w:asciiTheme="minorHAnsi" w:eastAsiaTheme="minorEastAsia" w:hAnsiTheme="minorHAnsi" w:cstheme="minorBidi"/>
          <w:noProof/>
        </w:rPr>
      </w:pPr>
      <w:hyperlink w:anchor="_Toc27396159" w:history="1">
        <w:r w:rsidR="00154150" w:rsidRPr="00A27C24">
          <w:rPr>
            <w:rStyle w:val="Hyperlink"/>
          </w:rPr>
          <w:t>Slika 4</w:t>
        </w:r>
        <w:r w:rsidR="00154150" w:rsidRPr="00A27C24">
          <w:rPr>
            <w:rStyle w:val="Hyperlink"/>
          </w:rPr>
          <w:noBreakHyphen/>
          <w:t>7. Trend emisija stakleničkih plinova iz ETS sektora i sektora izvan ETS-a u Republici Hrvatskoj</w:t>
        </w:r>
        <w:r w:rsidR="00154150">
          <w:rPr>
            <w:noProof/>
            <w:webHidden/>
          </w:rPr>
          <w:tab/>
        </w:r>
        <w:r w:rsidR="00154150">
          <w:rPr>
            <w:noProof/>
            <w:webHidden/>
          </w:rPr>
          <w:fldChar w:fldCharType="begin"/>
        </w:r>
        <w:r w:rsidR="00154150">
          <w:rPr>
            <w:noProof/>
            <w:webHidden/>
          </w:rPr>
          <w:instrText xml:space="preserve"> PAGEREF _Toc27396159 \h </w:instrText>
        </w:r>
        <w:r w:rsidR="00154150">
          <w:rPr>
            <w:noProof/>
            <w:webHidden/>
          </w:rPr>
        </w:r>
        <w:r w:rsidR="00154150">
          <w:rPr>
            <w:noProof/>
            <w:webHidden/>
          </w:rPr>
          <w:fldChar w:fldCharType="separate"/>
        </w:r>
        <w:r w:rsidR="00154150">
          <w:rPr>
            <w:noProof/>
            <w:webHidden/>
          </w:rPr>
          <w:t>183</w:t>
        </w:r>
        <w:r w:rsidR="00154150">
          <w:rPr>
            <w:noProof/>
            <w:webHidden/>
          </w:rPr>
          <w:fldChar w:fldCharType="end"/>
        </w:r>
      </w:hyperlink>
    </w:p>
    <w:p w14:paraId="449DCF75" w14:textId="279F9628" w:rsidR="00154150" w:rsidRDefault="00ED1E5D">
      <w:pPr>
        <w:pStyle w:val="TableofFigures"/>
        <w:rPr>
          <w:rFonts w:asciiTheme="minorHAnsi" w:eastAsiaTheme="minorEastAsia" w:hAnsiTheme="minorHAnsi" w:cstheme="minorBidi"/>
          <w:noProof/>
        </w:rPr>
      </w:pPr>
      <w:hyperlink w:anchor="_Toc27396160" w:history="1">
        <w:r w:rsidR="00154150" w:rsidRPr="00A27C24">
          <w:rPr>
            <w:rStyle w:val="Hyperlink"/>
          </w:rPr>
          <w:t>Slika 4</w:t>
        </w:r>
        <w:r w:rsidR="00154150" w:rsidRPr="00A27C24">
          <w:rPr>
            <w:rStyle w:val="Hyperlink"/>
          </w:rPr>
          <w:noBreakHyphen/>
          <w:t>8. Projekcija emisija stakleničkih plinova, uz postojeće mjere</w:t>
        </w:r>
        <w:r w:rsidR="00154150">
          <w:rPr>
            <w:noProof/>
            <w:webHidden/>
          </w:rPr>
          <w:tab/>
        </w:r>
        <w:r w:rsidR="00154150">
          <w:rPr>
            <w:noProof/>
            <w:webHidden/>
          </w:rPr>
          <w:fldChar w:fldCharType="begin"/>
        </w:r>
        <w:r w:rsidR="00154150">
          <w:rPr>
            <w:noProof/>
            <w:webHidden/>
          </w:rPr>
          <w:instrText xml:space="preserve"> PAGEREF _Toc27396160 \h </w:instrText>
        </w:r>
        <w:r w:rsidR="00154150">
          <w:rPr>
            <w:noProof/>
            <w:webHidden/>
          </w:rPr>
        </w:r>
        <w:r w:rsidR="00154150">
          <w:rPr>
            <w:noProof/>
            <w:webHidden/>
          </w:rPr>
          <w:fldChar w:fldCharType="separate"/>
        </w:r>
        <w:r w:rsidR="00154150">
          <w:rPr>
            <w:noProof/>
            <w:webHidden/>
          </w:rPr>
          <w:t>184</w:t>
        </w:r>
        <w:r w:rsidR="00154150">
          <w:rPr>
            <w:noProof/>
            <w:webHidden/>
          </w:rPr>
          <w:fldChar w:fldCharType="end"/>
        </w:r>
      </w:hyperlink>
    </w:p>
    <w:p w14:paraId="752C950A" w14:textId="2BC4802D" w:rsidR="00154150" w:rsidRDefault="00ED1E5D">
      <w:pPr>
        <w:pStyle w:val="TableofFigures"/>
        <w:rPr>
          <w:rFonts w:asciiTheme="minorHAnsi" w:eastAsiaTheme="minorEastAsia" w:hAnsiTheme="minorHAnsi" w:cstheme="minorBidi"/>
          <w:noProof/>
        </w:rPr>
      </w:pPr>
      <w:hyperlink w:anchor="_Toc27396161" w:history="1">
        <w:r w:rsidR="00154150" w:rsidRPr="00A27C24">
          <w:rPr>
            <w:rStyle w:val="Hyperlink"/>
          </w:rPr>
          <w:t>Slika 4</w:t>
        </w:r>
        <w:r w:rsidR="00154150" w:rsidRPr="00A27C24">
          <w:rPr>
            <w:rStyle w:val="Hyperlink"/>
          </w:rPr>
          <w:noBreakHyphen/>
          <w:t>9. Indikativna putanja udjela OIE u bruto neposrednoj potrošnji energije za scenarij s postojećim mjerama</w:t>
        </w:r>
        <w:r w:rsidR="00154150">
          <w:rPr>
            <w:noProof/>
            <w:webHidden/>
          </w:rPr>
          <w:tab/>
        </w:r>
        <w:r w:rsidR="00154150">
          <w:rPr>
            <w:noProof/>
            <w:webHidden/>
          </w:rPr>
          <w:fldChar w:fldCharType="begin"/>
        </w:r>
        <w:r w:rsidR="00154150">
          <w:rPr>
            <w:noProof/>
            <w:webHidden/>
          </w:rPr>
          <w:instrText xml:space="preserve"> PAGEREF _Toc27396161 \h </w:instrText>
        </w:r>
        <w:r w:rsidR="00154150">
          <w:rPr>
            <w:noProof/>
            <w:webHidden/>
          </w:rPr>
        </w:r>
        <w:r w:rsidR="00154150">
          <w:rPr>
            <w:noProof/>
            <w:webHidden/>
          </w:rPr>
          <w:fldChar w:fldCharType="separate"/>
        </w:r>
        <w:r w:rsidR="00154150">
          <w:rPr>
            <w:noProof/>
            <w:webHidden/>
          </w:rPr>
          <w:t>185</w:t>
        </w:r>
        <w:r w:rsidR="00154150">
          <w:rPr>
            <w:noProof/>
            <w:webHidden/>
          </w:rPr>
          <w:fldChar w:fldCharType="end"/>
        </w:r>
      </w:hyperlink>
    </w:p>
    <w:p w14:paraId="4A5EA328" w14:textId="0E5568DE" w:rsidR="00154150" w:rsidRDefault="00ED1E5D">
      <w:pPr>
        <w:pStyle w:val="TableofFigures"/>
        <w:rPr>
          <w:rFonts w:asciiTheme="minorHAnsi" w:eastAsiaTheme="minorEastAsia" w:hAnsiTheme="minorHAnsi" w:cstheme="minorBidi"/>
          <w:noProof/>
        </w:rPr>
      </w:pPr>
      <w:hyperlink w:anchor="_Toc27396162" w:history="1">
        <w:r w:rsidR="00154150" w:rsidRPr="00A27C24">
          <w:rPr>
            <w:rStyle w:val="Hyperlink"/>
          </w:rPr>
          <w:t>Slika 4</w:t>
        </w:r>
        <w:r w:rsidR="00154150" w:rsidRPr="00A27C24">
          <w:rPr>
            <w:rStyle w:val="Hyperlink"/>
          </w:rPr>
          <w:noBreakHyphen/>
          <w:t>10. Indikativna putanja udjela OIE u električnoj energiji za scenarij s postojećim mjerama</w:t>
        </w:r>
        <w:r w:rsidR="00154150">
          <w:rPr>
            <w:noProof/>
            <w:webHidden/>
          </w:rPr>
          <w:tab/>
        </w:r>
        <w:r w:rsidR="00154150">
          <w:rPr>
            <w:noProof/>
            <w:webHidden/>
          </w:rPr>
          <w:fldChar w:fldCharType="begin"/>
        </w:r>
        <w:r w:rsidR="00154150">
          <w:rPr>
            <w:noProof/>
            <w:webHidden/>
          </w:rPr>
          <w:instrText xml:space="preserve"> PAGEREF _Toc27396162 \h </w:instrText>
        </w:r>
        <w:r w:rsidR="00154150">
          <w:rPr>
            <w:noProof/>
            <w:webHidden/>
          </w:rPr>
        </w:r>
        <w:r w:rsidR="00154150">
          <w:rPr>
            <w:noProof/>
            <w:webHidden/>
          </w:rPr>
          <w:fldChar w:fldCharType="separate"/>
        </w:r>
        <w:r w:rsidR="00154150">
          <w:rPr>
            <w:noProof/>
            <w:webHidden/>
          </w:rPr>
          <w:t>186</w:t>
        </w:r>
        <w:r w:rsidR="00154150">
          <w:rPr>
            <w:noProof/>
            <w:webHidden/>
          </w:rPr>
          <w:fldChar w:fldCharType="end"/>
        </w:r>
      </w:hyperlink>
    </w:p>
    <w:p w14:paraId="2BA61F8E" w14:textId="17E6D537" w:rsidR="00154150" w:rsidRDefault="00ED1E5D">
      <w:pPr>
        <w:pStyle w:val="TableofFigures"/>
        <w:rPr>
          <w:rFonts w:asciiTheme="minorHAnsi" w:eastAsiaTheme="minorEastAsia" w:hAnsiTheme="minorHAnsi" w:cstheme="minorBidi"/>
          <w:noProof/>
        </w:rPr>
      </w:pPr>
      <w:hyperlink w:anchor="_Toc27396163" w:history="1">
        <w:r w:rsidR="00154150" w:rsidRPr="00A27C24">
          <w:rPr>
            <w:rStyle w:val="Hyperlink"/>
          </w:rPr>
          <w:t>Slika 4</w:t>
        </w:r>
        <w:r w:rsidR="00154150" w:rsidRPr="00A27C24">
          <w:rPr>
            <w:rStyle w:val="Hyperlink"/>
          </w:rPr>
          <w:noBreakHyphen/>
          <w:t>11. Indikativna putanja udjela OIE u grijanju i hlađenju za scenarij s postojećim mjerama</w:t>
        </w:r>
        <w:r w:rsidR="00154150">
          <w:rPr>
            <w:noProof/>
            <w:webHidden/>
          </w:rPr>
          <w:tab/>
        </w:r>
        <w:r w:rsidR="00154150">
          <w:rPr>
            <w:noProof/>
            <w:webHidden/>
          </w:rPr>
          <w:fldChar w:fldCharType="begin"/>
        </w:r>
        <w:r w:rsidR="00154150">
          <w:rPr>
            <w:noProof/>
            <w:webHidden/>
          </w:rPr>
          <w:instrText xml:space="preserve"> PAGEREF _Toc27396163 \h </w:instrText>
        </w:r>
        <w:r w:rsidR="00154150">
          <w:rPr>
            <w:noProof/>
            <w:webHidden/>
          </w:rPr>
        </w:r>
        <w:r w:rsidR="00154150">
          <w:rPr>
            <w:noProof/>
            <w:webHidden/>
          </w:rPr>
          <w:fldChar w:fldCharType="separate"/>
        </w:r>
        <w:r w:rsidR="00154150">
          <w:rPr>
            <w:noProof/>
            <w:webHidden/>
          </w:rPr>
          <w:t>186</w:t>
        </w:r>
        <w:r w:rsidR="00154150">
          <w:rPr>
            <w:noProof/>
            <w:webHidden/>
          </w:rPr>
          <w:fldChar w:fldCharType="end"/>
        </w:r>
      </w:hyperlink>
    </w:p>
    <w:p w14:paraId="1F156540" w14:textId="3F2CBFAE" w:rsidR="00154150" w:rsidRDefault="00ED1E5D">
      <w:pPr>
        <w:pStyle w:val="TableofFigures"/>
        <w:rPr>
          <w:rFonts w:asciiTheme="minorHAnsi" w:eastAsiaTheme="minorEastAsia" w:hAnsiTheme="minorHAnsi" w:cstheme="minorBidi"/>
          <w:noProof/>
        </w:rPr>
      </w:pPr>
      <w:hyperlink w:anchor="_Toc27396164" w:history="1">
        <w:r w:rsidR="00154150" w:rsidRPr="00A27C24">
          <w:rPr>
            <w:rStyle w:val="Hyperlink"/>
          </w:rPr>
          <w:t>Slika 4</w:t>
        </w:r>
        <w:r w:rsidR="00154150" w:rsidRPr="00A27C24">
          <w:rPr>
            <w:rStyle w:val="Hyperlink"/>
          </w:rPr>
          <w:noBreakHyphen/>
          <w:t>12. Indikativna putanja udjela OIE u prometu za scenarij s postojećim mjerama</w:t>
        </w:r>
        <w:r w:rsidR="00154150">
          <w:rPr>
            <w:noProof/>
            <w:webHidden/>
          </w:rPr>
          <w:tab/>
        </w:r>
        <w:r w:rsidR="00154150">
          <w:rPr>
            <w:noProof/>
            <w:webHidden/>
          </w:rPr>
          <w:fldChar w:fldCharType="begin"/>
        </w:r>
        <w:r w:rsidR="00154150">
          <w:rPr>
            <w:noProof/>
            <w:webHidden/>
          </w:rPr>
          <w:instrText xml:space="preserve"> PAGEREF _Toc27396164 \h </w:instrText>
        </w:r>
        <w:r w:rsidR="00154150">
          <w:rPr>
            <w:noProof/>
            <w:webHidden/>
          </w:rPr>
        </w:r>
        <w:r w:rsidR="00154150">
          <w:rPr>
            <w:noProof/>
            <w:webHidden/>
          </w:rPr>
          <w:fldChar w:fldCharType="separate"/>
        </w:r>
        <w:r w:rsidR="00154150">
          <w:rPr>
            <w:noProof/>
            <w:webHidden/>
          </w:rPr>
          <w:t>187</w:t>
        </w:r>
        <w:r w:rsidR="00154150">
          <w:rPr>
            <w:noProof/>
            <w:webHidden/>
          </w:rPr>
          <w:fldChar w:fldCharType="end"/>
        </w:r>
      </w:hyperlink>
    </w:p>
    <w:p w14:paraId="12DA19DA" w14:textId="67972C9B" w:rsidR="00154150" w:rsidRDefault="00ED1E5D">
      <w:pPr>
        <w:pStyle w:val="TableofFigures"/>
        <w:rPr>
          <w:rFonts w:asciiTheme="minorHAnsi" w:eastAsiaTheme="minorEastAsia" w:hAnsiTheme="minorHAnsi" w:cstheme="minorBidi"/>
          <w:noProof/>
        </w:rPr>
      </w:pPr>
      <w:hyperlink w:anchor="_Toc27396165" w:history="1">
        <w:r w:rsidR="00154150" w:rsidRPr="00A27C24">
          <w:rPr>
            <w:rStyle w:val="Hyperlink"/>
          </w:rPr>
          <w:t>Slika 4</w:t>
        </w:r>
        <w:r w:rsidR="00154150" w:rsidRPr="00A27C24">
          <w:rPr>
            <w:rStyle w:val="Hyperlink"/>
          </w:rPr>
          <w:noBreakHyphen/>
          <w:t>13. Ocijenjeni doprinosi OIE tehnologija po sektorima – Scenarij s postojećim mjerama</w:t>
        </w:r>
        <w:r w:rsidR="00154150">
          <w:rPr>
            <w:noProof/>
            <w:webHidden/>
          </w:rPr>
          <w:tab/>
        </w:r>
        <w:r w:rsidR="00154150">
          <w:rPr>
            <w:noProof/>
            <w:webHidden/>
          </w:rPr>
          <w:fldChar w:fldCharType="begin"/>
        </w:r>
        <w:r w:rsidR="00154150">
          <w:rPr>
            <w:noProof/>
            <w:webHidden/>
          </w:rPr>
          <w:instrText xml:space="preserve"> PAGEREF _Toc27396165 \h </w:instrText>
        </w:r>
        <w:r w:rsidR="00154150">
          <w:rPr>
            <w:noProof/>
            <w:webHidden/>
          </w:rPr>
        </w:r>
        <w:r w:rsidR="00154150">
          <w:rPr>
            <w:noProof/>
            <w:webHidden/>
          </w:rPr>
          <w:fldChar w:fldCharType="separate"/>
        </w:r>
        <w:r w:rsidR="00154150">
          <w:rPr>
            <w:noProof/>
            <w:webHidden/>
          </w:rPr>
          <w:t>189</w:t>
        </w:r>
        <w:r w:rsidR="00154150">
          <w:rPr>
            <w:noProof/>
            <w:webHidden/>
          </w:rPr>
          <w:fldChar w:fldCharType="end"/>
        </w:r>
      </w:hyperlink>
    </w:p>
    <w:p w14:paraId="541E6C41" w14:textId="7B0273B3" w:rsidR="00154150" w:rsidRDefault="00ED1E5D">
      <w:pPr>
        <w:pStyle w:val="TableofFigures"/>
        <w:rPr>
          <w:rFonts w:asciiTheme="minorHAnsi" w:eastAsiaTheme="minorEastAsia" w:hAnsiTheme="minorHAnsi" w:cstheme="minorBidi"/>
          <w:noProof/>
        </w:rPr>
      </w:pPr>
      <w:hyperlink w:anchor="_Toc27396166" w:history="1">
        <w:r w:rsidR="00154150" w:rsidRPr="00A27C24">
          <w:rPr>
            <w:rStyle w:val="Hyperlink"/>
          </w:rPr>
          <w:t>Slika 4</w:t>
        </w:r>
        <w:r w:rsidR="00154150" w:rsidRPr="00A27C24">
          <w:rPr>
            <w:rStyle w:val="Hyperlink"/>
          </w:rPr>
          <w:noBreakHyphen/>
          <w:t>14. Očekivana snaga elektrana u Scenariju s postojećim mjerama (S0)</w:t>
        </w:r>
        <w:r w:rsidR="00154150">
          <w:rPr>
            <w:noProof/>
            <w:webHidden/>
          </w:rPr>
          <w:tab/>
        </w:r>
        <w:r w:rsidR="00154150">
          <w:rPr>
            <w:noProof/>
            <w:webHidden/>
          </w:rPr>
          <w:fldChar w:fldCharType="begin"/>
        </w:r>
        <w:r w:rsidR="00154150">
          <w:rPr>
            <w:noProof/>
            <w:webHidden/>
          </w:rPr>
          <w:instrText xml:space="preserve"> PAGEREF _Toc27396166 \h </w:instrText>
        </w:r>
        <w:r w:rsidR="00154150">
          <w:rPr>
            <w:noProof/>
            <w:webHidden/>
          </w:rPr>
        </w:r>
        <w:r w:rsidR="00154150">
          <w:rPr>
            <w:noProof/>
            <w:webHidden/>
          </w:rPr>
          <w:fldChar w:fldCharType="separate"/>
        </w:r>
        <w:r w:rsidR="00154150">
          <w:rPr>
            <w:noProof/>
            <w:webHidden/>
          </w:rPr>
          <w:t>190</w:t>
        </w:r>
        <w:r w:rsidR="00154150">
          <w:rPr>
            <w:noProof/>
            <w:webHidden/>
          </w:rPr>
          <w:fldChar w:fldCharType="end"/>
        </w:r>
      </w:hyperlink>
    </w:p>
    <w:p w14:paraId="2E2BCBF6" w14:textId="7DAEC75F" w:rsidR="00154150" w:rsidRDefault="00ED1E5D">
      <w:pPr>
        <w:pStyle w:val="TableofFigures"/>
        <w:rPr>
          <w:rFonts w:asciiTheme="minorHAnsi" w:eastAsiaTheme="minorEastAsia" w:hAnsiTheme="minorHAnsi" w:cstheme="minorBidi"/>
          <w:noProof/>
        </w:rPr>
      </w:pPr>
      <w:hyperlink w:anchor="_Toc27396167" w:history="1">
        <w:r w:rsidR="00154150" w:rsidRPr="00A27C24">
          <w:rPr>
            <w:rStyle w:val="Hyperlink"/>
          </w:rPr>
          <w:t>Slika 4</w:t>
        </w:r>
        <w:r w:rsidR="00154150" w:rsidRPr="00A27C24">
          <w:rPr>
            <w:rStyle w:val="Hyperlink"/>
          </w:rPr>
          <w:noBreakHyphen/>
          <w:t>15. Projekcija potrošnje energije do 2040. godine uz postojeće politike, mjere i programe energetske učinkovitosti</w:t>
        </w:r>
        <w:r w:rsidR="00154150">
          <w:rPr>
            <w:noProof/>
            <w:webHidden/>
          </w:rPr>
          <w:tab/>
        </w:r>
        <w:r w:rsidR="00154150">
          <w:rPr>
            <w:noProof/>
            <w:webHidden/>
          </w:rPr>
          <w:fldChar w:fldCharType="begin"/>
        </w:r>
        <w:r w:rsidR="00154150">
          <w:rPr>
            <w:noProof/>
            <w:webHidden/>
          </w:rPr>
          <w:instrText xml:space="preserve"> PAGEREF _Toc27396167 \h </w:instrText>
        </w:r>
        <w:r w:rsidR="00154150">
          <w:rPr>
            <w:noProof/>
            <w:webHidden/>
          </w:rPr>
        </w:r>
        <w:r w:rsidR="00154150">
          <w:rPr>
            <w:noProof/>
            <w:webHidden/>
          </w:rPr>
          <w:fldChar w:fldCharType="separate"/>
        </w:r>
        <w:r w:rsidR="00154150">
          <w:rPr>
            <w:noProof/>
            <w:webHidden/>
          </w:rPr>
          <w:t>192</w:t>
        </w:r>
        <w:r w:rsidR="00154150">
          <w:rPr>
            <w:noProof/>
            <w:webHidden/>
          </w:rPr>
          <w:fldChar w:fldCharType="end"/>
        </w:r>
      </w:hyperlink>
    </w:p>
    <w:p w14:paraId="613C67BE" w14:textId="2BA744A5" w:rsidR="00154150" w:rsidRDefault="00ED1E5D">
      <w:pPr>
        <w:pStyle w:val="TableofFigures"/>
        <w:rPr>
          <w:rFonts w:asciiTheme="minorHAnsi" w:eastAsiaTheme="minorEastAsia" w:hAnsiTheme="minorHAnsi" w:cstheme="minorBidi"/>
          <w:noProof/>
        </w:rPr>
      </w:pPr>
      <w:hyperlink w:anchor="_Toc27396168" w:history="1">
        <w:r w:rsidR="00154150" w:rsidRPr="00A27C24">
          <w:rPr>
            <w:rStyle w:val="Hyperlink"/>
          </w:rPr>
          <w:t>Slika 4</w:t>
        </w:r>
        <w:r w:rsidR="00154150" w:rsidRPr="00A27C24">
          <w:rPr>
            <w:rStyle w:val="Hyperlink"/>
          </w:rPr>
          <w:noBreakHyphen/>
          <w:t>16. Očekivana proizvodnja primarne energije – Scenarij s postojećim mjerama</w:t>
        </w:r>
        <w:r w:rsidR="00154150">
          <w:rPr>
            <w:noProof/>
            <w:webHidden/>
          </w:rPr>
          <w:tab/>
        </w:r>
        <w:r w:rsidR="00154150">
          <w:rPr>
            <w:noProof/>
            <w:webHidden/>
          </w:rPr>
          <w:fldChar w:fldCharType="begin"/>
        </w:r>
        <w:r w:rsidR="00154150">
          <w:rPr>
            <w:noProof/>
            <w:webHidden/>
          </w:rPr>
          <w:instrText xml:space="preserve"> PAGEREF _Toc27396168 \h </w:instrText>
        </w:r>
        <w:r w:rsidR="00154150">
          <w:rPr>
            <w:noProof/>
            <w:webHidden/>
          </w:rPr>
        </w:r>
        <w:r w:rsidR="00154150">
          <w:rPr>
            <w:noProof/>
            <w:webHidden/>
          </w:rPr>
          <w:fldChar w:fldCharType="separate"/>
        </w:r>
        <w:r w:rsidR="00154150">
          <w:rPr>
            <w:noProof/>
            <w:webHidden/>
          </w:rPr>
          <w:t>195</w:t>
        </w:r>
        <w:r w:rsidR="00154150">
          <w:rPr>
            <w:noProof/>
            <w:webHidden/>
          </w:rPr>
          <w:fldChar w:fldCharType="end"/>
        </w:r>
      </w:hyperlink>
    </w:p>
    <w:p w14:paraId="6564D9E2" w14:textId="12525446" w:rsidR="00154150" w:rsidRDefault="00ED1E5D">
      <w:pPr>
        <w:pStyle w:val="TableofFigures"/>
        <w:rPr>
          <w:rFonts w:asciiTheme="minorHAnsi" w:eastAsiaTheme="minorEastAsia" w:hAnsiTheme="minorHAnsi" w:cstheme="minorBidi"/>
          <w:noProof/>
        </w:rPr>
      </w:pPr>
      <w:hyperlink w:anchor="_Toc27396169" w:history="1">
        <w:r w:rsidR="00154150" w:rsidRPr="00A27C24">
          <w:rPr>
            <w:rStyle w:val="Hyperlink"/>
          </w:rPr>
          <w:t>Slika 4</w:t>
        </w:r>
        <w:r w:rsidR="00154150" w:rsidRPr="00A27C24">
          <w:rPr>
            <w:rStyle w:val="Hyperlink"/>
          </w:rPr>
          <w:noBreakHyphen/>
          <w:t>17. Očekivana ukupna potrošnja energije – Scenarij s postojećim mjerama</w:t>
        </w:r>
        <w:r w:rsidR="00154150">
          <w:rPr>
            <w:noProof/>
            <w:webHidden/>
          </w:rPr>
          <w:tab/>
        </w:r>
        <w:r w:rsidR="00154150">
          <w:rPr>
            <w:noProof/>
            <w:webHidden/>
          </w:rPr>
          <w:fldChar w:fldCharType="begin"/>
        </w:r>
        <w:r w:rsidR="00154150">
          <w:rPr>
            <w:noProof/>
            <w:webHidden/>
          </w:rPr>
          <w:instrText xml:space="preserve"> PAGEREF _Toc27396169 \h </w:instrText>
        </w:r>
        <w:r w:rsidR="00154150">
          <w:rPr>
            <w:noProof/>
            <w:webHidden/>
          </w:rPr>
        </w:r>
        <w:r w:rsidR="00154150">
          <w:rPr>
            <w:noProof/>
            <w:webHidden/>
          </w:rPr>
          <w:fldChar w:fldCharType="separate"/>
        </w:r>
        <w:r w:rsidR="00154150">
          <w:rPr>
            <w:noProof/>
            <w:webHidden/>
          </w:rPr>
          <w:t>196</w:t>
        </w:r>
        <w:r w:rsidR="00154150">
          <w:rPr>
            <w:noProof/>
            <w:webHidden/>
          </w:rPr>
          <w:fldChar w:fldCharType="end"/>
        </w:r>
      </w:hyperlink>
    </w:p>
    <w:p w14:paraId="6907A896" w14:textId="74E61C77" w:rsidR="00154150" w:rsidRDefault="00ED1E5D">
      <w:pPr>
        <w:pStyle w:val="TableofFigures"/>
        <w:rPr>
          <w:rFonts w:asciiTheme="minorHAnsi" w:eastAsiaTheme="minorEastAsia" w:hAnsiTheme="minorHAnsi" w:cstheme="minorBidi"/>
          <w:noProof/>
        </w:rPr>
      </w:pPr>
      <w:hyperlink w:anchor="_Toc27396170" w:history="1">
        <w:r w:rsidR="00154150" w:rsidRPr="00A27C24">
          <w:rPr>
            <w:rStyle w:val="Hyperlink"/>
          </w:rPr>
          <w:t>Slika 4</w:t>
        </w:r>
        <w:r w:rsidR="00154150" w:rsidRPr="00A27C24">
          <w:rPr>
            <w:rStyle w:val="Hyperlink"/>
          </w:rPr>
          <w:noBreakHyphen/>
          <w:t>18. Ukupna potrošnja energije i vlastita opskrbljenost (Scenarij s postojećim mjerama)</w:t>
        </w:r>
        <w:r w:rsidR="00154150">
          <w:rPr>
            <w:noProof/>
            <w:webHidden/>
          </w:rPr>
          <w:tab/>
        </w:r>
        <w:r w:rsidR="00154150">
          <w:rPr>
            <w:noProof/>
            <w:webHidden/>
          </w:rPr>
          <w:fldChar w:fldCharType="begin"/>
        </w:r>
        <w:r w:rsidR="00154150">
          <w:rPr>
            <w:noProof/>
            <w:webHidden/>
          </w:rPr>
          <w:instrText xml:space="preserve"> PAGEREF _Toc27396170 \h </w:instrText>
        </w:r>
        <w:r w:rsidR="00154150">
          <w:rPr>
            <w:noProof/>
            <w:webHidden/>
          </w:rPr>
        </w:r>
        <w:r w:rsidR="00154150">
          <w:rPr>
            <w:noProof/>
            <w:webHidden/>
          </w:rPr>
          <w:fldChar w:fldCharType="separate"/>
        </w:r>
        <w:r w:rsidR="00154150">
          <w:rPr>
            <w:noProof/>
            <w:webHidden/>
          </w:rPr>
          <w:t>197</w:t>
        </w:r>
        <w:r w:rsidR="00154150">
          <w:rPr>
            <w:noProof/>
            <w:webHidden/>
          </w:rPr>
          <w:fldChar w:fldCharType="end"/>
        </w:r>
      </w:hyperlink>
    </w:p>
    <w:p w14:paraId="65DB7B80" w14:textId="7DB85E18" w:rsidR="00154150" w:rsidRDefault="00ED1E5D">
      <w:pPr>
        <w:pStyle w:val="TableofFigures"/>
        <w:rPr>
          <w:rFonts w:asciiTheme="minorHAnsi" w:eastAsiaTheme="minorEastAsia" w:hAnsiTheme="minorHAnsi" w:cstheme="minorBidi"/>
          <w:noProof/>
        </w:rPr>
      </w:pPr>
      <w:hyperlink w:anchor="_Toc27396171" w:history="1">
        <w:r w:rsidR="00154150" w:rsidRPr="00A27C24">
          <w:rPr>
            <w:rStyle w:val="Hyperlink"/>
          </w:rPr>
          <w:t>Slika 4</w:t>
        </w:r>
        <w:r w:rsidR="00154150" w:rsidRPr="00A27C24">
          <w:rPr>
            <w:rStyle w:val="Hyperlink"/>
          </w:rPr>
          <w:noBreakHyphen/>
          <w:t>19. Razmjena električne energije sa susjednim državama, 2016., 2017. i 2018. godine</w:t>
        </w:r>
        <w:r w:rsidR="00154150">
          <w:rPr>
            <w:noProof/>
            <w:webHidden/>
          </w:rPr>
          <w:tab/>
        </w:r>
        <w:r w:rsidR="00154150">
          <w:rPr>
            <w:noProof/>
            <w:webHidden/>
          </w:rPr>
          <w:fldChar w:fldCharType="begin"/>
        </w:r>
        <w:r w:rsidR="00154150">
          <w:rPr>
            <w:noProof/>
            <w:webHidden/>
          </w:rPr>
          <w:instrText xml:space="preserve"> PAGEREF _Toc27396171 \h </w:instrText>
        </w:r>
        <w:r w:rsidR="00154150">
          <w:rPr>
            <w:noProof/>
            <w:webHidden/>
          </w:rPr>
        </w:r>
        <w:r w:rsidR="00154150">
          <w:rPr>
            <w:noProof/>
            <w:webHidden/>
          </w:rPr>
          <w:fldChar w:fldCharType="separate"/>
        </w:r>
        <w:r w:rsidR="00154150">
          <w:rPr>
            <w:noProof/>
            <w:webHidden/>
          </w:rPr>
          <w:t>199</w:t>
        </w:r>
        <w:r w:rsidR="00154150">
          <w:rPr>
            <w:noProof/>
            <w:webHidden/>
          </w:rPr>
          <w:fldChar w:fldCharType="end"/>
        </w:r>
      </w:hyperlink>
    </w:p>
    <w:p w14:paraId="301DC4C1" w14:textId="191AD4AB" w:rsidR="00154150" w:rsidRDefault="00ED1E5D">
      <w:pPr>
        <w:pStyle w:val="TableofFigures"/>
        <w:rPr>
          <w:rFonts w:asciiTheme="minorHAnsi" w:eastAsiaTheme="minorEastAsia" w:hAnsiTheme="minorHAnsi" w:cstheme="minorBidi"/>
          <w:noProof/>
        </w:rPr>
      </w:pPr>
      <w:hyperlink w:anchor="_Toc27396172" w:history="1">
        <w:r w:rsidR="00154150" w:rsidRPr="00A27C24">
          <w:rPr>
            <w:rStyle w:val="Hyperlink"/>
          </w:rPr>
          <w:t>Slika 4</w:t>
        </w:r>
        <w:r w:rsidR="00154150" w:rsidRPr="00A27C24">
          <w:rPr>
            <w:rStyle w:val="Hyperlink"/>
          </w:rPr>
          <w:noBreakHyphen/>
          <w:t>20. Hrvatska prijenosna elektroenergetska mreža</w:t>
        </w:r>
        <w:r w:rsidR="00154150">
          <w:rPr>
            <w:noProof/>
            <w:webHidden/>
          </w:rPr>
          <w:tab/>
        </w:r>
        <w:r w:rsidR="00154150">
          <w:rPr>
            <w:noProof/>
            <w:webHidden/>
          </w:rPr>
          <w:fldChar w:fldCharType="begin"/>
        </w:r>
        <w:r w:rsidR="00154150">
          <w:rPr>
            <w:noProof/>
            <w:webHidden/>
          </w:rPr>
          <w:instrText xml:space="preserve"> PAGEREF _Toc27396172 \h </w:instrText>
        </w:r>
        <w:r w:rsidR="00154150">
          <w:rPr>
            <w:noProof/>
            <w:webHidden/>
          </w:rPr>
        </w:r>
        <w:r w:rsidR="00154150">
          <w:rPr>
            <w:noProof/>
            <w:webHidden/>
          </w:rPr>
          <w:fldChar w:fldCharType="separate"/>
        </w:r>
        <w:r w:rsidR="00154150">
          <w:rPr>
            <w:noProof/>
            <w:webHidden/>
          </w:rPr>
          <w:t>200</w:t>
        </w:r>
        <w:r w:rsidR="00154150">
          <w:rPr>
            <w:noProof/>
            <w:webHidden/>
          </w:rPr>
          <w:fldChar w:fldCharType="end"/>
        </w:r>
      </w:hyperlink>
    </w:p>
    <w:p w14:paraId="0111DF22" w14:textId="7DFE00A2" w:rsidR="00154150" w:rsidRDefault="00ED1E5D">
      <w:pPr>
        <w:pStyle w:val="TableofFigures"/>
        <w:rPr>
          <w:rFonts w:asciiTheme="minorHAnsi" w:eastAsiaTheme="minorEastAsia" w:hAnsiTheme="minorHAnsi" w:cstheme="minorBidi"/>
          <w:noProof/>
        </w:rPr>
      </w:pPr>
      <w:hyperlink w:anchor="_Toc27396173" w:history="1">
        <w:r w:rsidR="00154150" w:rsidRPr="00A27C24">
          <w:rPr>
            <w:rStyle w:val="Hyperlink"/>
          </w:rPr>
          <w:t>Slika 4</w:t>
        </w:r>
        <w:r w:rsidR="00154150" w:rsidRPr="00A27C24">
          <w:rPr>
            <w:rStyle w:val="Hyperlink"/>
          </w:rPr>
          <w:noBreakHyphen/>
          <w:t>21. Instalirana snaga interkonektivnih vodova i instalirana snaga proizvodnje u odnosu na vršno opterećenje u europskim zemljama</w:t>
        </w:r>
        <w:r w:rsidR="00154150">
          <w:rPr>
            <w:noProof/>
            <w:webHidden/>
          </w:rPr>
          <w:tab/>
        </w:r>
        <w:r w:rsidR="00154150">
          <w:rPr>
            <w:noProof/>
            <w:webHidden/>
          </w:rPr>
          <w:fldChar w:fldCharType="begin"/>
        </w:r>
        <w:r w:rsidR="00154150">
          <w:rPr>
            <w:noProof/>
            <w:webHidden/>
          </w:rPr>
          <w:instrText xml:space="preserve"> PAGEREF _Toc27396173 \h </w:instrText>
        </w:r>
        <w:r w:rsidR="00154150">
          <w:rPr>
            <w:noProof/>
            <w:webHidden/>
          </w:rPr>
        </w:r>
        <w:r w:rsidR="00154150">
          <w:rPr>
            <w:noProof/>
            <w:webHidden/>
          </w:rPr>
          <w:fldChar w:fldCharType="separate"/>
        </w:r>
        <w:r w:rsidR="00154150">
          <w:rPr>
            <w:noProof/>
            <w:webHidden/>
          </w:rPr>
          <w:t>201</w:t>
        </w:r>
        <w:r w:rsidR="00154150">
          <w:rPr>
            <w:noProof/>
            <w:webHidden/>
          </w:rPr>
          <w:fldChar w:fldCharType="end"/>
        </w:r>
      </w:hyperlink>
    </w:p>
    <w:p w14:paraId="25A9C59D" w14:textId="7369A15B" w:rsidR="00154150" w:rsidRDefault="00ED1E5D">
      <w:pPr>
        <w:pStyle w:val="TableofFigures"/>
        <w:rPr>
          <w:rFonts w:asciiTheme="minorHAnsi" w:eastAsiaTheme="minorEastAsia" w:hAnsiTheme="minorHAnsi" w:cstheme="minorBidi"/>
          <w:noProof/>
        </w:rPr>
      </w:pPr>
      <w:hyperlink w:anchor="_Toc27396174" w:history="1">
        <w:r w:rsidR="00154150" w:rsidRPr="00A27C24">
          <w:rPr>
            <w:rStyle w:val="Hyperlink"/>
          </w:rPr>
          <w:t>Slika 4</w:t>
        </w:r>
        <w:r w:rsidR="00154150" w:rsidRPr="00A27C24">
          <w:rPr>
            <w:rStyle w:val="Hyperlink"/>
          </w:rPr>
          <w:noBreakHyphen/>
          <w:t>22. Plinski transportni sustav u Republici Hrvatskoj</w:t>
        </w:r>
        <w:r w:rsidR="00154150">
          <w:rPr>
            <w:noProof/>
            <w:webHidden/>
          </w:rPr>
          <w:tab/>
        </w:r>
        <w:r w:rsidR="00154150">
          <w:rPr>
            <w:noProof/>
            <w:webHidden/>
          </w:rPr>
          <w:fldChar w:fldCharType="begin"/>
        </w:r>
        <w:r w:rsidR="00154150">
          <w:rPr>
            <w:noProof/>
            <w:webHidden/>
          </w:rPr>
          <w:instrText xml:space="preserve"> PAGEREF _Toc27396174 \h </w:instrText>
        </w:r>
        <w:r w:rsidR="00154150">
          <w:rPr>
            <w:noProof/>
            <w:webHidden/>
          </w:rPr>
        </w:r>
        <w:r w:rsidR="00154150">
          <w:rPr>
            <w:noProof/>
            <w:webHidden/>
          </w:rPr>
          <w:fldChar w:fldCharType="separate"/>
        </w:r>
        <w:r w:rsidR="00154150">
          <w:rPr>
            <w:noProof/>
            <w:webHidden/>
          </w:rPr>
          <w:t>203</w:t>
        </w:r>
        <w:r w:rsidR="00154150">
          <w:rPr>
            <w:noProof/>
            <w:webHidden/>
          </w:rPr>
          <w:fldChar w:fldCharType="end"/>
        </w:r>
      </w:hyperlink>
    </w:p>
    <w:p w14:paraId="7D0EDC98" w14:textId="2766B601" w:rsidR="00154150" w:rsidRDefault="00ED1E5D">
      <w:pPr>
        <w:pStyle w:val="TableofFigures"/>
        <w:rPr>
          <w:rFonts w:asciiTheme="minorHAnsi" w:eastAsiaTheme="minorEastAsia" w:hAnsiTheme="minorHAnsi" w:cstheme="minorBidi"/>
          <w:noProof/>
        </w:rPr>
      </w:pPr>
      <w:hyperlink w:anchor="_Toc27396175" w:history="1">
        <w:r w:rsidR="00154150" w:rsidRPr="00A27C24">
          <w:rPr>
            <w:rStyle w:val="Hyperlink"/>
          </w:rPr>
          <w:t>Slika 4</w:t>
        </w:r>
        <w:r w:rsidR="00154150" w:rsidRPr="00A27C24">
          <w:rPr>
            <w:rStyle w:val="Hyperlink"/>
          </w:rPr>
          <w:noBreakHyphen/>
          <w:t xml:space="preserve">23. </w:t>
        </w:r>
        <w:r w:rsidR="00154150" w:rsidRPr="00A27C24">
          <w:rPr>
            <w:rStyle w:val="Hyperlink"/>
            <w:rFonts w:cs="Arial"/>
          </w:rPr>
          <w:t>Predvidiva topologija 400 kV i 220 kV mreže na području RH 2030. godine</w:t>
        </w:r>
        <w:r w:rsidR="00154150">
          <w:rPr>
            <w:noProof/>
            <w:webHidden/>
          </w:rPr>
          <w:tab/>
        </w:r>
        <w:r w:rsidR="00154150">
          <w:rPr>
            <w:noProof/>
            <w:webHidden/>
          </w:rPr>
          <w:fldChar w:fldCharType="begin"/>
        </w:r>
        <w:r w:rsidR="00154150">
          <w:rPr>
            <w:noProof/>
            <w:webHidden/>
          </w:rPr>
          <w:instrText xml:space="preserve"> PAGEREF _Toc27396175 \h </w:instrText>
        </w:r>
        <w:r w:rsidR="00154150">
          <w:rPr>
            <w:noProof/>
            <w:webHidden/>
          </w:rPr>
        </w:r>
        <w:r w:rsidR="00154150">
          <w:rPr>
            <w:noProof/>
            <w:webHidden/>
          </w:rPr>
          <w:fldChar w:fldCharType="separate"/>
        </w:r>
        <w:r w:rsidR="00154150">
          <w:rPr>
            <w:noProof/>
            <w:webHidden/>
          </w:rPr>
          <w:t>204</w:t>
        </w:r>
        <w:r w:rsidR="00154150">
          <w:rPr>
            <w:noProof/>
            <w:webHidden/>
          </w:rPr>
          <w:fldChar w:fldCharType="end"/>
        </w:r>
      </w:hyperlink>
    </w:p>
    <w:p w14:paraId="3E31A047" w14:textId="068016C4" w:rsidR="00154150" w:rsidRDefault="00ED1E5D">
      <w:pPr>
        <w:pStyle w:val="TableofFigures"/>
        <w:rPr>
          <w:rFonts w:asciiTheme="minorHAnsi" w:eastAsiaTheme="minorEastAsia" w:hAnsiTheme="minorHAnsi" w:cstheme="minorBidi"/>
          <w:noProof/>
        </w:rPr>
      </w:pPr>
      <w:hyperlink w:anchor="_Toc27396176" w:history="1">
        <w:r w:rsidR="00154150" w:rsidRPr="00A27C24">
          <w:rPr>
            <w:rStyle w:val="Hyperlink"/>
          </w:rPr>
          <w:t>Slika 4</w:t>
        </w:r>
        <w:r w:rsidR="00154150" w:rsidRPr="00A27C24">
          <w:rPr>
            <w:rStyle w:val="Hyperlink"/>
          </w:rPr>
          <w:noBreakHyphen/>
          <w:t>24. Budući razvoj transportnog sustava i projekti u funkciji diversifikacije opskrbe i povećanja učinkovitosti transportnog sustava</w:t>
        </w:r>
        <w:r w:rsidR="00154150">
          <w:rPr>
            <w:noProof/>
            <w:webHidden/>
          </w:rPr>
          <w:tab/>
        </w:r>
        <w:r w:rsidR="00154150">
          <w:rPr>
            <w:noProof/>
            <w:webHidden/>
          </w:rPr>
          <w:fldChar w:fldCharType="begin"/>
        </w:r>
        <w:r w:rsidR="00154150">
          <w:rPr>
            <w:noProof/>
            <w:webHidden/>
          </w:rPr>
          <w:instrText xml:space="preserve"> PAGEREF _Toc27396176 \h </w:instrText>
        </w:r>
        <w:r w:rsidR="00154150">
          <w:rPr>
            <w:noProof/>
            <w:webHidden/>
          </w:rPr>
        </w:r>
        <w:r w:rsidR="00154150">
          <w:rPr>
            <w:noProof/>
            <w:webHidden/>
          </w:rPr>
          <w:fldChar w:fldCharType="separate"/>
        </w:r>
        <w:r w:rsidR="00154150">
          <w:rPr>
            <w:noProof/>
            <w:webHidden/>
          </w:rPr>
          <w:t>207</w:t>
        </w:r>
        <w:r w:rsidR="00154150">
          <w:rPr>
            <w:noProof/>
            <w:webHidden/>
          </w:rPr>
          <w:fldChar w:fldCharType="end"/>
        </w:r>
      </w:hyperlink>
    </w:p>
    <w:p w14:paraId="10DE98FD" w14:textId="12D1C295" w:rsidR="00154150" w:rsidRDefault="00ED1E5D">
      <w:pPr>
        <w:pStyle w:val="TableofFigures"/>
        <w:rPr>
          <w:rFonts w:asciiTheme="minorHAnsi" w:eastAsiaTheme="minorEastAsia" w:hAnsiTheme="minorHAnsi" w:cstheme="minorBidi"/>
          <w:noProof/>
        </w:rPr>
      </w:pPr>
      <w:hyperlink w:anchor="_Toc27396177" w:history="1">
        <w:r w:rsidR="00154150" w:rsidRPr="00A27C24">
          <w:rPr>
            <w:rStyle w:val="Hyperlink"/>
          </w:rPr>
          <w:t>Slika 4</w:t>
        </w:r>
        <w:r w:rsidR="00154150" w:rsidRPr="00A27C24">
          <w:rPr>
            <w:rStyle w:val="Hyperlink"/>
          </w:rPr>
          <w:noBreakHyphen/>
          <w:t>25.: Cijene električne energije za kupce u Hrvatskoj u kategoriji kućanstvo</w:t>
        </w:r>
        <w:r w:rsidR="00154150">
          <w:rPr>
            <w:noProof/>
            <w:webHidden/>
          </w:rPr>
          <w:tab/>
        </w:r>
        <w:r w:rsidR="00154150">
          <w:rPr>
            <w:noProof/>
            <w:webHidden/>
          </w:rPr>
          <w:fldChar w:fldCharType="begin"/>
        </w:r>
        <w:r w:rsidR="00154150">
          <w:rPr>
            <w:noProof/>
            <w:webHidden/>
          </w:rPr>
          <w:instrText xml:space="preserve"> PAGEREF _Toc27396177 \h </w:instrText>
        </w:r>
        <w:r w:rsidR="00154150">
          <w:rPr>
            <w:noProof/>
            <w:webHidden/>
          </w:rPr>
        </w:r>
        <w:r w:rsidR="00154150">
          <w:rPr>
            <w:noProof/>
            <w:webHidden/>
          </w:rPr>
          <w:fldChar w:fldCharType="separate"/>
        </w:r>
        <w:r w:rsidR="00154150">
          <w:rPr>
            <w:noProof/>
            <w:webHidden/>
          </w:rPr>
          <w:t>209</w:t>
        </w:r>
        <w:r w:rsidR="00154150">
          <w:rPr>
            <w:noProof/>
            <w:webHidden/>
          </w:rPr>
          <w:fldChar w:fldCharType="end"/>
        </w:r>
      </w:hyperlink>
    </w:p>
    <w:p w14:paraId="469FE98B" w14:textId="4EE2C544" w:rsidR="00154150" w:rsidRDefault="00ED1E5D">
      <w:pPr>
        <w:pStyle w:val="TableofFigures"/>
        <w:rPr>
          <w:rFonts w:asciiTheme="minorHAnsi" w:eastAsiaTheme="minorEastAsia" w:hAnsiTheme="minorHAnsi" w:cstheme="minorBidi"/>
          <w:noProof/>
        </w:rPr>
      </w:pPr>
      <w:hyperlink w:anchor="_Toc27396178" w:history="1">
        <w:r w:rsidR="00154150" w:rsidRPr="00A27C24">
          <w:rPr>
            <w:rStyle w:val="Hyperlink"/>
          </w:rPr>
          <w:t>Slika 4</w:t>
        </w:r>
        <w:r w:rsidR="00154150" w:rsidRPr="00A27C24">
          <w:rPr>
            <w:rStyle w:val="Hyperlink"/>
          </w:rPr>
          <w:noBreakHyphen/>
          <w:t>26. Cijene električne energije za kupce u Hrvatskoj u kategoriji poduzetništvo</w:t>
        </w:r>
        <w:r w:rsidR="00154150">
          <w:rPr>
            <w:noProof/>
            <w:webHidden/>
          </w:rPr>
          <w:tab/>
        </w:r>
        <w:r w:rsidR="00154150">
          <w:rPr>
            <w:noProof/>
            <w:webHidden/>
          </w:rPr>
          <w:fldChar w:fldCharType="begin"/>
        </w:r>
        <w:r w:rsidR="00154150">
          <w:rPr>
            <w:noProof/>
            <w:webHidden/>
          </w:rPr>
          <w:instrText xml:space="preserve"> PAGEREF _Toc27396178 \h </w:instrText>
        </w:r>
        <w:r w:rsidR="00154150">
          <w:rPr>
            <w:noProof/>
            <w:webHidden/>
          </w:rPr>
        </w:r>
        <w:r w:rsidR="00154150">
          <w:rPr>
            <w:noProof/>
            <w:webHidden/>
          </w:rPr>
          <w:fldChar w:fldCharType="separate"/>
        </w:r>
        <w:r w:rsidR="00154150">
          <w:rPr>
            <w:noProof/>
            <w:webHidden/>
          </w:rPr>
          <w:t>210</w:t>
        </w:r>
        <w:r w:rsidR="00154150">
          <w:rPr>
            <w:noProof/>
            <w:webHidden/>
          </w:rPr>
          <w:fldChar w:fldCharType="end"/>
        </w:r>
      </w:hyperlink>
    </w:p>
    <w:p w14:paraId="7FCF45D8" w14:textId="2990301C" w:rsidR="00154150" w:rsidRDefault="00ED1E5D">
      <w:pPr>
        <w:pStyle w:val="TableofFigures"/>
        <w:rPr>
          <w:rFonts w:asciiTheme="minorHAnsi" w:eastAsiaTheme="minorEastAsia" w:hAnsiTheme="minorHAnsi" w:cstheme="minorBidi"/>
          <w:noProof/>
        </w:rPr>
      </w:pPr>
      <w:hyperlink w:anchor="_Toc27396179" w:history="1">
        <w:r w:rsidR="00154150" w:rsidRPr="00A27C24">
          <w:rPr>
            <w:rStyle w:val="Hyperlink"/>
          </w:rPr>
          <w:t>Slika 4</w:t>
        </w:r>
        <w:r w:rsidR="00154150" w:rsidRPr="00A27C24">
          <w:rPr>
            <w:rStyle w:val="Hyperlink"/>
          </w:rPr>
          <w:noBreakHyphen/>
          <w:t>27. Cijene prirodnog plina za kupce u Hrvatskoj u kategoriji kućanstvo</w:t>
        </w:r>
        <w:r w:rsidR="00154150">
          <w:rPr>
            <w:noProof/>
            <w:webHidden/>
          </w:rPr>
          <w:tab/>
        </w:r>
        <w:r w:rsidR="00154150">
          <w:rPr>
            <w:noProof/>
            <w:webHidden/>
          </w:rPr>
          <w:fldChar w:fldCharType="begin"/>
        </w:r>
        <w:r w:rsidR="00154150">
          <w:rPr>
            <w:noProof/>
            <w:webHidden/>
          </w:rPr>
          <w:instrText xml:space="preserve"> PAGEREF _Toc27396179 \h </w:instrText>
        </w:r>
        <w:r w:rsidR="00154150">
          <w:rPr>
            <w:noProof/>
            <w:webHidden/>
          </w:rPr>
        </w:r>
        <w:r w:rsidR="00154150">
          <w:rPr>
            <w:noProof/>
            <w:webHidden/>
          </w:rPr>
          <w:fldChar w:fldCharType="separate"/>
        </w:r>
        <w:r w:rsidR="00154150">
          <w:rPr>
            <w:noProof/>
            <w:webHidden/>
          </w:rPr>
          <w:t>211</w:t>
        </w:r>
        <w:r w:rsidR="00154150">
          <w:rPr>
            <w:noProof/>
            <w:webHidden/>
          </w:rPr>
          <w:fldChar w:fldCharType="end"/>
        </w:r>
      </w:hyperlink>
    </w:p>
    <w:p w14:paraId="4DB77331" w14:textId="75E1BD91" w:rsidR="00154150" w:rsidRDefault="00ED1E5D">
      <w:pPr>
        <w:pStyle w:val="TableofFigures"/>
        <w:rPr>
          <w:rFonts w:asciiTheme="minorHAnsi" w:eastAsiaTheme="minorEastAsia" w:hAnsiTheme="minorHAnsi" w:cstheme="minorBidi"/>
          <w:noProof/>
        </w:rPr>
      </w:pPr>
      <w:hyperlink w:anchor="_Toc27396180" w:history="1">
        <w:r w:rsidR="00154150" w:rsidRPr="00A27C24">
          <w:rPr>
            <w:rStyle w:val="Hyperlink"/>
          </w:rPr>
          <w:t>Slika 4</w:t>
        </w:r>
        <w:r w:rsidR="00154150" w:rsidRPr="00A27C24">
          <w:rPr>
            <w:rStyle w:val="Hyperlink"/>
          </w:rPr>
          <w:noBreakHyphen/>
          <w:t>28. Cijene prirodnog plina za kupce u Hrvatskoj u kategoriji poduzetništvo</w:t>
        </w:r>
        <w:r w:rsidR="00154150">
          <w:rPr>
            <w:noProof/>
            <w:webHidden/>
          </w:rPr>
          <w:tab/>
        </w:r>
        <w:r w:rsidR="00154150">
          <w:rPr>
            <w:noProof/>
            <w:webHidden/>
          </w:rPr>
          <w:fldChar w:fldCharType="begin"/>
        </w:r>
        <w:r w:rsidR="00154150">
          <w:rPr>
            <w:noProof/>
            <w:webHidden/>
          </w:rPr>
          <w:instrText xml:space="preserve"> PAGEREF _Toc27396180 \h </w:instrText>
        </w:r>
        <w:r w:rsidR="00154150">
          <w:rPr>
            <w:noProof/>
            <w:webHidden/>
          </w:rPr>
        </w:r>
        <w:r w:rsidR="00154150">
          <w:rPr>
            <w:noProof/>
            <w:webHidden/>
          </w:rPr>
          <w:fldChar w:fldCharType="separate"/>
        </w:r>
        <w:r w:rsidR="00154150">
          <w:rPr>
            <w:noProof/>
            <w:webHidden/>
          </w:rPr>
          <w:t>211</w:t>
        </w:r>
        <w:r w:rsidR="00154150">
          <w:rPr>
            <w:noProof/>
            <w:webHidden/>
          </w:rPr>
          <w:fldChar w:fldCharType="end"/>
        </w:r>
      </w:hyperlink>
    </w:p>
    <w:p w14:paraId="11CB053B" w14:textId="58B1F898" w:rsidR="00154150" w:rsidRDefault="00ED1E5D">
      <w:pPr>
        <w:pStyle w:val="TableofFigures"/>
        <w:rPr>
          <w:rFonts w:asciiTheme="minorHAnsi" w:eastAsiaTheme="minorEastAsia" w:hAnsiTheme="minorHAnsi" w:cstheme="minorBidi"/>
          <w:noProof/>
        </w:rPr>
      </w:pPr>
      <w:hyperlink w:anchor="_Toc27396181" w:history="1">
        <w:r w:rsidR="00154150" w:rsidRPr="00A27C24">
          <w:rPr>
            <w:rStyle w:val="Hyperlink"/>
          </w:rPr>
          <w:t>Slika 4</w:t>
        </w:r>
        <w:r w:rsidR="00154150" w:rsidRPr="00A27C24">
          <w:rPr>
            <w:rStyle w:val="Hyperlink"/>
          </w:rPr>
          <w:noBreakHyphen/>
          <w:t>29. Projekcije troška proizvodnje električne energije</w:t>
        </w:r>
        <w:r w:rsidR="00154150">
          <w:rPr>
            <w:noProof/>
            <w:webHidden/>
          </w:rPr>
          <w:tab/>
        </w:r>
        <w:r w:rsidR="00154150">
          <w:rPr>
            <w:noProof/>
            <w:webHidden/>
          </w:rPr>
          <w:fldChar w:fldCharType="begin"/>
        </w:r>
        <w:r w:rsidR="00154150">
          <w:rPr>
            <w:noProof/>
            <w:webHidden/>
          </w:rPr>
          <w:instrText xml:space="preserve"> PAGEREF _Toc27396181 \h </w:instrText>
        </w:r>
        <w:r w:rsidR="00154150">
          <w:rPr>
            <w:noProof/>
            <w:webHidden/>
          </w:rPr>
        </w:r>
        <w:r w:rsidR="00154150">
          <w:rPr>
            <w:noProof/>
            <w:webHidden/>
          </w:rPr>
          <w:fldChar w:fldCharType="separate"/>
        </w:r>
        <w:r w:rsidR="00154150">
          <w:rPr>
            <w:noProof/>
            <w:webHidden/>
          </w:rPr>
          <w:t>212</w:t>
        </w:r>
        <w:r w:rsidR="00154150">
          <w:rPr>
            <w:noProof/>
            <w:webHidden/>
          </w:rPr>
          <w:fldChar w:fldCharType="end"/>
        </w:r>
      </w:hyperlink>
    </w:p>
    <w:p w14:paraId="34946786" w14:textId="43A51CEA" w:rsidR="00154150" w:rsidRDefault="00ED1E5D">
      <w:pPr>
        <w:pStyle w:val="TableofFigures"/>
        <w:rPr>
          <w:rFonts w:asciiTheme="minorHAnsi" w:eastAsiaTheme="minorEastAsia" w:hAnsiTheme="minorHAnsi" w:cstheme="minorBidi"/>
          <w:noProof/>
        </w:rPr>
      </w:pPr>
      <w:hyperlink w:anchor="_Toc27396182" w:history="1">
        <w:r w:rsidR="00154150" w:rsidRPr="00A27C24">
          <w:rPr>
            <w:rStyle w:val="Hyperlink"/>
          </w:rPr>
          <w:t>Slika 4</w:t>
        </w:r>
        <w:r w:rsidR="00154150" w:rsidRPr="00A27C24">
          <w:rPr>
            <w:rStyle w:val="Hyperlink"/>
          </w:rPr>
          <w:noBreakHyphen/>
          <w:t>30. Projekcije cijena prirodnog plina prema World Energy Outlook 2018</w:t>
        </w:r>
        <w:r w:rsidR="00154150">
          <w:rPr>
            <w:noProof/>
            <w:webHidden/>
          </w:rPr>
          <w:tab/>
        </w:r>
        <w:r w:rsidR="00154150">
          <w:rPr>
            <w:noProof/>
            <w:webHidden/>
          </w:rPr>
          <w:fldChar w:fldCharType="begin"/>
        </w:r>
        <w:r w:rsidR="00154150">
          <w:rPr>
            <w:noProof/>
            <w:webHidden/>
          </w:rPr>
          <w:instrText xml:space="preserve"> PAGEREF _Toc27396182 \h </w:instrText>
        </w:r>
        <w:r w:rsidR="00154150">
          <w:rPr>
            <w:noProof/>
            <w:webHidden/>
          </w:rPr>
        </w:r>
        <w:r w:rsidR="00154150">
          <w:rPr>
            <w:noProof/>
            <w:webHidden/>
          </w:rPr>
          <w:fldChar w:fldCharType="separate"/>
        </w:r>
        <w:r w:rsidR="00154150">
          <w:rPr>
            <w:noProof/>
            <w:webHidden/>
          </w:rPr>
          <w:t>212</w:t>
        </w:r>
        <w:r w:rsidR="00154150">
          <w:rPr>
            <w:noProof/>
            <w:webHidden/>
          </w:rPr>
          <w:fldChar w:fldCharType="end"/>
        </w:r>
      </w:hyperlink>
    </w:p>
    <w:p w14:paraId="3C545745" w14:textId="1A9CD736" w:rsidR="00154150" w:rsidRDefault="00ED1E5D">
      <w:pPr>
        <w:pStyle w:val="TableofFigures"/>
        <w:rPr>
          <w:rFonts w:asciiTheme="minorHAnsi" w:eastAsiaTheme="minorEastAsia" w:hAnsiTheme="minorHAnsi" w:cstheme="minorBidi"/>
          <w:noProof/>
        </w:rPr>
      </w:pPr>
      <w:hyperlink w:anchor="_Toc27396183" w:history="1">
        <w:r w:rsidR="00154150" w:rsidRPr="00A27C24">
          <w:rPr>
            <w:rStyle w:val="Hyperlink"/>
          </w:rPr>
          <w:t>Slika 4</w:t>
        </w:r>
        <w:r w:rsidR="00154150" w:rsidRPr="00A27C24">
          <w:rPr>
            <w:rStyle w:val="Hyperlink"/>
          </w:rPr>
          <w:noBreakHyphen/>
          <w:t>31. Bruto domaći izdatci za istraživanje i razvoj prema sektorima i područjima znanosti</w:t>
        </w:r>
        <w:r w:rsidR="00154150">
          <w:rPr>
            <w:noProof/>
            <w:webHidden/>
          </w:rPr>
          <w:tab/>
        </w:r>
        <w:r w:rsidR="00154150">
          <w:rPr>
            <w:noProof/>
            <w:webHidden/>
          </w:rPr>
          <w:fldChar w:fldCharType="begin"/>
        </w:r>
        <w:r w:rsidR="00154150">
          <w:rPr>
            <w:noProof/>
            <w:webHidden/>
          </w:rPr>
          <w:instrText xml:space="preserve"> PAGEREF _Toc27396183 \h </w:instrText>
        </w:r>
        <w:r w:rsidR="00154150">
          <w:rPr>
            <w:noProof/>
            <w:webHidden/>
          </w:rPr>
        </w:r>
        <w:r w:rsidR="00154150">
          <w:rPr>
            <w:noProof/>
            <w:webHidden/>
          </w:rPr>
          <w:fldChar w:fldCharType="separate"/>
        </w:r>
        <w:r w:rsidR="00154150">
          <w:rPr>
            <w:noProof/>
            <w:webHidden/>
          </w:rPr>
          <w:t>215</w:t>
        </w:r>
        <w:r w:rsidR="00154150">
          <w:rPr>
            <w:noProof/>
            <w:webHidden/>
          </w:rPr>
          <w:fldChar w:fldCharType="end"/>
        </w:r>
      </w:hyperlink>
    </w:p>
    <w:p w14:paraId="0AA4D8DF" w14:textId="597ECE0D" w:rsidR="00154150" w:rsidRDefault="00ED1E5D">
      <w:pPr>
        <w:pStyle w:val="TableofFigures"/>
        <w:rPr>
          <w:rFonts w:asciiTheme="minorHAnsi" w:eastAsiaTheme="minorEastAsia" w:hAnsiTheme="minorHAnsi" w:cstheme="minorBidi"/>
          <w:noProof/>
        </w:rPr>
      </w:pPr>
      <w:hyperlink w:anchor="_Toc27396184" w:history="1">
        <w:r w:rsidR="00154150" w:rsidRPr="00A27C24">
          <w:rPr>
            <w:rStyle w:val="Hyperlink"/>
          </w:rPr>
          <w:t>Slika 4</w:t>
        </w:r>
        <w:r w:rsidR="00154150" w:rsidRPr="00A27C24">
          <w:rPr>
            <w:rStyle w:val="Hyperlink"/>
          </w:rPr>
          <w:noBreakHyphen/>
          <w:t>32. Bruto domaći izdatci za istraživanje i razvoj prema sektorima i područjima znanosti</w:t>
        </w:r>
        <w:r w:rsidR="00154150">
          <w:rPr>
            <w:noProof/>
            <w:webHidden/>
          </w:rPr>
          <w:tab/>
        </w:r>
        <w:r w:rsidR="00154150">
          <w:rPr>
            <w:noProof/>
            <w:webHidden/>
          </w:rPr>
          <w:fldChar w:fldCharType="begin"/>
        </w:r>
        <w:r w:rsidR="00154150">
          <w:rPr>
            <w:noProof/>
            <w:webHidden/>
          </w:rPr>
          <w:instrText xml:space="preserve"> PAGEREF _Toc27396184 \h </w:instrText>
        </w:r>
        <w:r w:rsidR="00154150">
          <w:rPr>
            <w:noProof/>
            <w:webHidden/>
          </w:rPr>
        </w:r>
        <w:r w:rsidR="00154150">
          <w:rPr>
            <w:noProof/>
            <w:webHidden/>
          </w:rPr>
          <w:fldChar w:fldCharType="separate"/>
        </w:r>
        <w:r w:rsidR="00154150">
          <w:rPr>
            <w:noProof/>
            <w:webHidden/>
          </w:rPr>
          <w:t>215</w:t>
        </w:r>
        <w:r w:rsidR="00154150">
          <w:rPr>
            <w:noProof/>
            <w:webHidden/>
          </w:rPr>
          <w:fldChar w:fldCharType="end"/>
        </w:r>
      </w:hyperlink>
    </w:p>
    <w:p w14:paraId="71209E94" w14:textId="42D3B12B" w:rsidR="00154150" w:rsidRDefault="00ED1E5D">
      <w:pPr>
        <w:pStyle w:val="TableofFigures"/>
        <w:rPr>
          <w:rFonts w:asciiTheme="minorHAnsi" w:eastAsiaTheme="minorEastAsia" w:hAnsiTheme="minorHAnsi" w:cstheme="minorBidi"/>
          <w:noProof/>
        </w:rPr>
      </w:pPr>
      <w:hyperlink w:anchor="_Toc27396185" w:history="1">
        <w:r w:rsidR="00154150" w:rsidRPr="00A27C24">
          <w:rPr>
            <w:rStyle w:val="Hyperlink"/>
          </w:rPr>
          <w:t>Slika 4</w:t>
        </w:r>
        <w:r w:rsidR="00154150" w:rsidRPr="00A27C24">
          <w:rPr>
            <w:rStyle w:val="Hyperlink"/>
          </w:rPr>
          <w:noBreakHyphen/>
          <w:t>33. Prijavljeni i priznati patenti u nacionalnom postupku u 2018.</w:t>
        </w:r>
        <w:r w:rsidR="00154150">
          <w:rPr>
            <w:noProof/>
            <w:webHidden/>
          </w:rPr>
          <w:tab/>
        </w:r>
        <w:r w:rsidR="00154150">
          <w:rPr>
            <w:noProof/>
            <w:webHidden/>
          </w:rPr>
          <w:fldChar w:fldCharType="begin"/>
        </w:r>
        <w:r w:rsidR="00154150">
          <w:rPr>
            <w:noProof/>
            <w:webHidden/>
          </w:rPr>
          <w:instrText xml:space="preserve"> PAGEREF _Toc27396185 \h </w:instrText>
        </w:r>
        <w:r w:rsidR="00154150">
          <w:rPr>
            <w:noProof/>
            <w:webHidden/>
          </w:rPr>
        </w:r>
        <w:r w:rsidR="00154150">
          <w:rPr>
            <w:noProof/>
            <w:webHidden/>
          </w:rPr>
          <w:fldChar w:fldCharType="separate"/>
        </w:r>
        <w:r w:rsidR="00154150">
          <w:rPr>
            <w:noProof/>
            <w:webHidden/>
          </w:rPr>
          <w:t>216</w:t>
        </w:r>
        <w:r w:rsidR="00154150">
          <w:rPr>
            <w:noProof/>
            <w:webHidden/>
          </w:rPr>
          <w:fldChar w:fldCharType="end"/>
        </w:r>
      </w:hyperlink>
    </w:p>
    <w:p w14:paraId="0B707D1E" w14:textId="06CAF703" w:rsidR="00154150" w:rsidRDefault="00ED1E5D">
      <w:pPr>
        <w:pStyle w:val="TableofFigures"/>
        <w:rPr>
          <w:rFonts w:asciiTheme="minorHAnsi" w:eastAsiaTheme="minorEastAsia" w:hAnsiTheme="minorHAnsi" w:cstheme="minorBidi"/>
          <w:noProof/>
        </w:rPr>
      </w:pPr>
      <w:hyperlink w:anchor="_Toc27396186" w:history="1">
        <w:r w:rsidR="00154150" w:rsidRPr="00A27C24">
          <w:rPr>
            <w:rStyle w:val="Hyperlink"/>
          </w:rPr>
          <w:t>Slika 4</w:t>
        </w:r>
        <w:r w:rsidR="00154150" w:rsidRPr="00A27C24">
          <w:rPr>
            <w:rStyle w:val="Hyperlink"/>
          </w:rPr>
          <w:noBreakHyphen/>
          <w:t>34.</w:t>
        </w:r>
        <w:r w:rsidR="00154150">
          <w:rPr>
            <w:rFonts w:asciiTheme="minorHAnsi" w:eastAsiaTheme="minorEastAsia" w:hAnsiTheme="minorHAnsi" w:cstheme="minorBidi"/>
            <w:noProof/>
          </w:rPr>
          <w:tab/>
        </w:r>
        <w:r w:rsidR="00154150" w:rsidRPr="00A27C24">
          <w:rPr>
            <w:rStyle w:val="Hyperlink"/>
          </w:rPr>
          <w:t>Struktura maloprodajne cijene električne energije</w:t>
        </w:r>
        <w:r w:rsidR="00154150">
          <w:rPr>
            <w:noProof/>
            <w:webHidden/>
          </w:rPr>
          <w:tab/>
        </w:r>
        <w:r w:rsidR="00154150">
          <w:rPr>
            <w:noProof/>
            <w:webHidden/>
          </w:rPr>
          <w:fldChar w:fldCharType="begin"/>
        </w:r>
        <w:r w:rsidR="00154150">
          <w:rPr>
            <w:noProof/>
            <w:webHidden/>
          </w:rPr>
          <w:instrText xml:space="preserve"> PAGEREF _Toc27396186 \h </w:instrText>
        </w:r>
        <w:r w:rsidR="00154150">
          <w:rPr>
            <w:noProof/>
            <w:webHidden/>
          </w:rPr>
        </w:r>
        <w:r w:rsidR="00154150">
          <w:rPr>
            <w:noProof/>
            <w:webHidden/>
          </w:rPr>
          <w:fldChar w:fldCharType="separate"/>
        </w:r>
        <w:r w:rsidR="00154150">
          <w:rPr>
            <w:noProof/>
            <w:webHidden/>
          </w:rPr>
          <w:t>217</w:t>
        </w:r>
        <w:r w:rsidR="00154150">
          <w:rPr>
            <w:noProof/>
            <w:webHidden/>
          </w:rPr>
          <w:fldChar w:fldCharType="end"/>
        </w:r>
      </w:hyperlink>
    </w:p>
    <w:p w14:paraId="757CAA5B" w14:textId="65921F53" w:rsidR="00154150" w:rsidRDefault="00ED1E5D">
      <w:pPr>
        <w:pStyle w:val="TableofFigures"/>
        <w:rPr>
          <w:rFonts w:asciiTheme="minorHAnsi" w:eastAsiaTheme="minorEastAsia" w:hAnsiTheme="minorHAnsi" w:cstheme="minorBidi"/>
          <w:noProof/>
        </w:rPr>
      </w:pPr>
      <w:hyperlink w:anchor="_Toc27396187" w:history="1">
        <w:r w:rsidR="00154150" w:rsidRPr="00A27C24">
          <w:rPr>
            <w:rStyle w:val="Hyperlink"/>
          </w:rPr>
          <w:t>Slika 4</w:t>
        </w:r>
        <w:r w:rsidR="00154150" w:rsidRPr="00A27C24">
          <w:rPr>
            <w:rStyle w:val="Hyperlink"/>
          </w:rPr>
          <w:noBreakHyphen/>
          <w:t>35.</w:t>
        </w:r>
        <w:r w:rsidR="00154150">
          <w:rPr>
            <w:rFonts w:asciiTheme="minorHAnsi" w:eastAsiaTheme="minorEastAsia" w:hAnsiTheme="minorHAnsi" w:cstheme="minorBidi"/>
            <w:noProof/>
          </w:rPr>
          <w:tab/>
        </w:r>
        <w:r w:rsidR="00154150" w:rsidRPr="00A27C24">
          <w:rPr>
            <w:rStyle w:val="Hyperlink"/>
          </w:rPr>
          <w:t>Struktura ukupne cijene električne energije za krajnje kupce u Republici Hrvatskoj prema EUROSTAT-ovim razredima potrošnje u 2017. godini</w:t>
        </w:r>
        <w:r w:rsidR="00154150">
          <w:rPr>
            <w:noProof/>
            <w:webHidden/>
          </w:rPr>
          <w:tab/>
        </w:r>
        <w:r w:rsidR="00154150">
          <w:rPr>
            <w:noProof/>
            <w:webHidden/>
          </w:rPr>
          <w:fldChar w:fldCharType="begin"/>
        </w:r>
        <w:r w:rsidR="00154150">
          <w:rPr>
            <w:noProof/>
            <w:webHidden/>
          </w:rPr>
          <w:instrText xml:space="preserve"> PAGEREF _Toc27396187 \h </w:instrText>
        </w:r>
        <w:r w:rsidR="00154150">
          <w:rPr>
            <w:noProof/>
            <w:webHidden/>
          </w:rPr>
        </w:r>
        <w:r w:rsidR="00154150">
          <w:rPr>
            <w:noProof/>
            <w:webHidden/>
          </w:rPr>
          <w:fldChar w:fldCharType="separate"/>
        </w:r>
        <w:r w:rsidR="00154150">
          <w:rPr>
            <w:noProof/>
            <w:webHidden/>
          </w:rPr>
          <w:t>218</w:t>
        </w:r>
        <w:r w:rsidR="00154150">
          <w:rPr>
            <w:noProof/>
            <w:webHidden/>
          </w:rPr>
          <w:fldChar w:fldCharType="end"/>
        </w:r>
      </w:hyperlink>
    </w:p>
    <w:p w14:paraId="4AA069AE" w14:textId="2ECAFF12" w:rsidR="00154150" w:rsidRDefault="00ED1E5D">
      <w:pPr>
        <w:pStyle w:val="TableofFigures"/>
        <w:rPr>
          <w:rFonts w:asciiTheme="minorHAnsi" w:eastAsiaTheme="minorEastAsia" w:hAnsiTheme="minorHAnsi" w:cstheme="minorBidi"/>
          <w:noProof/>
        </w:rPr>
      </w:pPr>
      <w:hyperlink w:anchor="_Toc27396188" w:history="1">
        <w:r w:rsidR="00154150" w:rsidRPr="00A27C24">
          <w:rPr>
            <w:rStyle w:val="Hyperlink"/>
          </w:rPr>
          <w:t>Slika 5</w:t>
        </w:r>
        <w:r w:rsidR="00154150" w:rsidRPr="00A27C24">
          <w:rPr>
            <w:rStyle w:val="Hyperlink"/>
          </w:rPr>
          <w:noBreakHyphen/>
          <w:t>1. Projekcije emisija stakleničkih za scenarij s postojećim mjerama i scenarij s dodatnim mjerama – energetski izvori</w:t>
        </w:r>
        <w:r w:rsidR="00154150">
          <w:rPr>
            <w:noProof/>
            <w:webHidden/>
          </w:rPr>
          <w:tab/>
        </w:r>
        <w:r w:rsidR="00154150">
          <w:rPr>
            <w:noProof/>
            <w:webHidden/>
          </w:rPr>
          <w:fldChar w:fldCharType="begin"/>
        </w:r>
        <w:r w:rsidR="00154150">
          <w:rPr>
            <w:noProof/>
            <w:webHidden/>
          </w:rPr>
          <w:instrText xml:space="preserve"> PAGEREF _Toc27396188 \h </w:instrText>
        </w:r>
        <w:r w:rsidR="00154150">
          <w:rPr>
            <w:noProof/>
            <w:webHidden/>
          </w:rPr>
        </w:r>
        <w:r w:rsidR="00154150">
          <w:rPr>
            <w:noProof/>
            <w:webHidden/>
          </w:rPr>
          <w:fldChar w:fldCharType="separate"/>
        </w:r>
        <w:r w:rsidR="00154150">
          <w:rPr>
            <w:noProof/>
            <w:webHidden/>
          </w:rPr>
          <w:t>224</w:t>
        </w:r>
        <w:r w:rsidR="00154150">
          <w:rPr>
            <w:noProof/>
            <w:webHidden/>
          </w:rPr>
          <w:fldChar w:fldCharType="end"/>
        </w:r>
      </w:hyperlink>
    </w:p>
    <w:p w14:paraId="07032589" w14:textId="596DEFB2" w:rsidR="00154150" w:rsidRDefault="00ED1E5D">
      <w:pPr>
        <w:pStyle w:val="TableofFigures"/>
        <w:rPr>
          <w:rFonts w:asciiTheme="minorHAnsi" w:eastAsiaTheme="minorEastAsia" w:hAnsiTheme="minorHAnsi" w:cstheme="minorBidi"/>
          <w:noProof/>
        </w:rPr>
      </w:pPr>
      <w:hyperlink w:anchor="_Toc27396189" w:history="1">
        <w:r w:rsidR="00154150" w:rsidRPr="00A27C24">
          <w:rPr>
            <w:rStyle w:val="Hyperlink"/>
          </w:rPr>
          <w:t>Slika 5</w:t>
        </w:r>
        <w:r w:rsidR="00154150" w:rsidRPr="00A27C24">
          <w:rPr>
            <w:rStyle w:val="Hyperlink"/>
          </w:rPr>
          <w:noBreakHyphen/>
          <w:t>2. Projekcije emisija stakleničkih za scenarij s postojećim mjerama i scenarij s dodatnim mjerama – ne-energetski izvori</w:t>
        </w:r>
        <w:r w:rsidR="00154150">
          <w:rPr>
            <w:noProof/>
            <w:webHidden/>
          </w:rPr>
          <w:tab/>
        </w:r>
        <w:r w:rsidR="00154150">
          <w:rPr>
            <w:noProof/>
            <w:webHidden/>
          </w:rPr>
          <w:fldChar w:fldCharType="begin"/>
        </w:r>
        <w:r w:rsidR="00154150">
          <w:rPr>
            <w:noProof/>
            <w:webHidden/>
          </w:rPr>
          <w:instrText xml:space="preserve"> PAGEREF _Toc27396189 \h </w:instrText>
        </w:r>
        <w:r w:rsidR="00154150">
          <w:rPr>
            <w:noProof/>
            <w:webHidden/>
          </w:rPr>
        </w:r>
        <w:r w:rsidR="00154150">
          <w:rPr>
            <w:noProof/>
            <w:webHidden/>
          </w:rPr>
          <w:fldChar w:fldCharType="separate"/>
        </w:r>
        <w:r w:rsidR="00154150">
          <w:rPr>
            <w:noProof/>
            <w:webHidden/>
          </w:rPr>
          <w:t>225</w:t>
        </w:r>
        <w:r w:rsidR="00154150">
          <w:rPr>
            <w:noProof/>
            <w:webHidden/>
          </w:rPr>
          <w:fldChar w:fldCharType="end"/>
        </w:r>
      </w:hyperlink>
    </w:p>
    <w:p w14:paraId="1EC3ACC6" w14:textId="5564759F" w:rsidR="00154150" w:rsidRDefault="00ED1E5D">
      <w:pPr>
        <w:pStyle w:val="TableofFigures"/>
        <w:rPr>
          <w:rFonts w:asciiTheme="minorHAnsi" w:eastAsiaTheme="minorEastAsia" w:hAnsiTheme="minorHAnsi" w:cstheme="minorBidi"/>
          <w:noProof/>
        </w:rPr>
      </w:pPr>
      <w:hyperlink w:anchor="_Toc27396190" w:history="1">
        <w:r w:rsidR="00154150" w:rsidRPr="00A27C24">
          <w:rPr>
            <w:rStyle w:val="Hyperlink"/>
          </w:rPr>
          <w:t>Slika 5</w:t>
        </w:r>
        <w:r w:rsidR="00154150" w:rsidRPr="00A27C24">
          <w:rPr>
            <w:rStyle w:val="Hyperlink"/>
          </w:rPr>
          <w:noBreakHyphen/>
          <w:t>3. Projekcija ukupnih emisija stakleničkih plinova, za scenarij s postojećim mjerama i scenarij s dodatnim mjerama</w:t>
        </w:r>
        <w:r w:rsidR="00154150">
          <w:rPr>
            <w:noProof/>
            <w:webHidden/>
          </w:rPr>
          <w:tab/>
        </w:r>
        <w:r w:rsidR="00154150">
          <w:rPr>
            <w:noProof/>
            <w:webHidden/>
          </w:rPr>
          <w:fldChar w:fldCharType="begin"/>
        </w:r>
        <w:r w:rsidR="00154150">
          <w:rPr>
            <w:noProof/>
            <w:webHidden/>
          </w:rPr>
          <w:instrText xml:space="preserve"> PAGEREF _Toc27396190 \h </w:instrText>
        </w:r>
        <w:r w:rsidR="00154150">
          <w:rPr>
            <w:noProof/>
            <w:webHidden/>
          </w:rPr>
        </w:r>
        <w:r w:rsidR="00154150">
          <w:rPr>
            <w:noProof/>
            <w:webHidden/>
          </w:rPr>
          <w:fldChar w:fldCharType="separate"/>
        </w:r>
        <w:r w:rsidR="00154150">
          <w:rPr>
            <w:noProof/>
            <w:webHidden/>
          </w:rPr>
          <w:t>226</w:t>
        </w:r>
        <w:r w:rsidR="00154150">
          <w:rPr>
            <w:noProof/>
            <w:webHidden/>
          </w:rPr>
          <w:fldChar w:fldCharType="end"/>
        </w:r>
      </w:hyperlink>
    </w:p>
    <w:p w14:paraId="53C7DDA7" w14:textId="38B7EEF6" w:rsidR="00154150" w:rsidRDefault="00ED1E5D">
      <w:pPr>
        <w:pStyle w:val="TableofFigures"/>
        <w:rPr>
          <w:rFonts w:asciiTheme="minorHAnsi" w:eastAsiaTheme="minorEastAsia" w:hAnsiTheme="minorHAnsi" w:cstheme="minorBidi"/>
          <w:noProof/>
        </w:rPr>
      </w:pPr>
      <w:hyperlink w:anchor="_Toc27396191" w:history="1">
        <w:r w:rsidR="00154150" w:rsidRPr="00A27C24">
          <w:rPr>
            <w:rStyle w:val="Hyperlink"/>
          </w:rPr>
          <w:t>Slika 5</w:t>
        </w:r>
        <w:r w:rsidR="00154150" w:rsidRPr="00A27C24">
          <w:rPr>
            <w:rStyle w:val="Hyperlink"/>
          </w:rPr>
          <w:noBreakHyphen/>
          <w:t>4. Projekcija emisija stakleničkih plinova iz sektora izvan ETS-a, za scenarij s postojećim mjerama i scenarij s dodatnim mjerama</w:t>
        </w:r>
        <w:r w:rsidR="00154150">
          <w:rPr>
            <w:noProof/>
            <w:webHidden/>
          </w:rPr>
          <w:tab/>
        </w:r>
        <w:r w:rsidR="00154150">
          <w:rPr>
            <w:noProof/>
            <w:webHidden/>
          </w:rPr>
          <w:fldChar w:fldCharType="begin"/>
        </w:r>
        <w:r w:rsidR="00154150">
          <w:rPr>
            <w:noProof/>
            <w:webHidden/>
          </w:rPr>
          <w:instrText xml:space="preserve"> PAGEREF _Toc27396191 \h </w:instrText>
        </w:r>
        <w:r w:rsidR="00154150">
          <w:rPr>
            <w:noProof/>
            <w:webHidden/>
          </w:rPr>
        </w:r>
        <w:r w:rsidR="00154150">
          <w:rPr>
            <w:noProof/>
            <w:webHidden/>
          </w:rPr>
          <w:fldChar w:fldCharType="separate"/>
        </w:r>
        <w:r w:rsidR="00154150">
          <w:rPr>
            <w:noProof/>
            <w:webHidden/>
          </w:rPr>
          <w:t>227</w:t>
        </w:r>
        <w:r w:rsidR="00154150">
          <w:rPr>
            <w:noProof/>
            <w:webHidden/>
          </w:rPr>
          <w:fldChar w:fldCharType="end"/>
        </w:r>
      </w:hyperlink>
    </w:p>
    <w:p w14:paraId="358F3293" w14:textId="1C5C8101" w:rsidR="00154150" w:rsidRDefault="00ED1E5D">
      <w:pPr>
        <w:pStyle w:val="TableofFigures"/>
        <w:rPr>
          <w:rFonts w:asciiTheme="minorHAnsi" w:eastAsiaTheme="minorEastAsia" w:hAnsiTheme="minorHAnsi" w:cstheme="minorBidi"/>
          <w:noProof/>
        </w:rPr>
      </w:pPr>
      <w:hyperlink w:anchor="_Toc27396192" w:history="1">
        <w:r w:rsidR="00154150" w:rsidRPr="00A27C24">
          <w:rPr>
            <w:rStyle w:val="Hyperlink"/>
          </w:rPr>
          <w:t>Slika 5</w:t>
        </w:r>
        <w:r w:rsidR="00154150" w:rsidRPr="00A27C24">
          <w:rPr>
            <w:rStyle w:val="Hyperlink"/>
          </w:rPr>
          <w:noBreakHyphen/>
          <w:t>5. Projekcija emisija stakleničkih plinova iz ETS sektora, za scenarij s postojećim mjerama i scenarij s dodatnim mjerama</w:t>
        </w:r>
        <w:r w:rsidR="00154150">
          <w:rPr>
            <w:noProof/>
            <w:webHidden/>
          </w:rPr>
          <w:tab/>
        </w:r>
        <w:r w:rsidR="00154150">
          <w:rPr>
            <w:noProof/>
            <w:webHidden/>
          </w:rPr>
          <w:fldChar w:fldCharType="begin"/>
        </w:r>
        <w:r w:rsidR="00154150">
          <w:rPr>
            <w:noProof/>
            <w:webHidden/>
          </w:rPr>
          <w:instrText xml:space="preserve"> PAGEREF _Toc27396192 \h </w:instrText>
        </w:r>
        <w:r w:rsidR="00154150">
          <w:rPr>
            <w:noProof/>
            <w:webHidden/>
          </w:rPr>
        </w:r>
        <w:r w:rsidR="00154150">
          <w:rPr>
            <w:noProof/>
            <w:webHidden/>
          </w:rPr>
          <w:fldChar w:fldCharType="separate"/>
        </w:r>
        <w:r w:rsidR="00154150">
          <w:rPr>
            <w:noProof/>
            <w:webHidden/>
          </w:rPr>
          <w:t>227</w:t>
        </w:r>
        <w:r w:rsidR="00154150">
          <w:rPr>
            <w:noProof/>
            <w:webHidden/>
          </w:rPr>
          <w:fldChar w:fldCharType="end"/>
        </w:r>
      </w:hyperlink>
    </w:p>
    <w:p w14:paraId="17994472" w14:textId="07FCE444" w:rsidR="00DE41C8" w:rsidRPr="00DE41C8" w:rsidRDefault="00A87274">
      <w:r>
        <w:fldChar w:fldCharType="end"/>
      </w:r>
    </w:p>
    <w:p w14:paraId="1567712B" w14:textId="29E37285" w:rsidR="00002693" w:rsidRDefault="00F458D6" w:rsidP="00840E2E">
      <w:pPr>
        <w:pStyle w:val="Heading1"/>
        <w:numPr>
          <w:ilvl w:val="0"/>
          <w:numId w:val="42"/>
        </w:numPr>
      </w:pPr>
      <w:bookmarkStart w:id="666" w:name="_Toc27396129"/>
      <w:bookmarkStart w:id="667" w:name="_Toc531935276"/>
      <w:bookmarkStart w:id="668" w:name="_Toc531945138"/>
      <w:bookmarkStart w:id="669" w:name="_Toc6302396"/>
      <w:r>
        <w:t>P</w:t>
      </w:r>
      <w:r w:rsidR="00210967">
        <w:t>OPIS TABLICA</w:t>
      </w:r>
      <w:bookmarkEnd w:id="666"/>
    </w:p>
    <w:bookmarkEnd w:id="667"/>
    <w:bookmarkEnd w:id="668"/>
    <w:bookmarkEnd w:id="669"/>
    <w:p w14:paraId="05C0102C" w14:textId="1F5E5C05" w:rsidR="00154150" w:rsidRDefault="00A87274">
      <w:pPr>
        <w:pStyle w:val="TableofFigures"/>
        <w:rPr>
          <w:rFonts w:asciiTheme="minorHAnsi" w:eastAsiaTheme="minorEastAsia" w:hAnsiTheme="minorHAnsi" w:cstheme="minorBidi"/>
          <w:noProof/>
        </w:rPr>
      </w:pPr>
      <w:r>
        <w:fldChar w:fldCharType="begin"/>
      </w:r>
      <w:r>
        <w:instrText xml:space="preserve"> TOC \h \z \c "Tablica" </w:instrText>
      </w:r>
      <w:r>
        <w:fldChar w:fldCharType="separate"/>
      </w:r>
      <w:hyperlink w:anchor="_Toc27396193" w:history="1">
        <w:r w:rsidR="00154150" w:rsidRPr="00B55E13">
          <w:rPr>
            <w:rStyle w:val="Hyperlink"/>
          </w:rPr>
          <w:t>Tablica 1–1.: Ostvarena smanjenja emisije 2017. i ciljevi do 2030. godine</w:t>
        </w:r>
        <w:r w:rsidR="00154150">
          <w:rPr>
            <w:noProof/>
            <w:webHidden/>
          </w:rPr>
          <w:tab/>
        </w:r>
        <w:r w:rsidR="00154150">
          <w:rPr>
            <w:noProof/>
            <w:webHidden/>
          </w:rPr>
          <w:fldChar w:fldCharType="begin"/>
        </w:r>
        <w:r w:rsidR="00154150">
          <w:rPr>
            <w:noProof/>
            <w:webHidden/>
          </w:rPr>
          <w:instrText xml:space="preserve"> PAGEREF _Toc27396193 \h </w:instrText>
        </w:r>
        <w:r w:rsidR="00154150">
          <w:rPr>
            <w:noProof/>
            <w:webHidden/>
          </w:rPr>
        </w:r>
        <w:r w:rsidR="00154150">
          <w:rPr>
            <w:noProof/>
            <w:webHidden/>
          </w:rPr>
          <w:fldChar w:fldCharType="separate"/>
        </w:r>
        <w:r w:rsidR="00154150">
          <w:rPr>
            <w:noProof/>
            <w:webHidden/>
          </w:rPr>
          <w:t>10</w:t>
        </w:r>
        <w:r w:rsidR="00154150">
          <w:rPr>
            <w:noProof/>
            <w:webHidden/>
          </w:rPr>
          <w:fldChar w:fldCharType="end"/>
        </w:r>
      </w:hyperlink>
    </w:p>
    <w:p w14:paraId="343910E5" w14:textId="1B05D00A" w:rsidR="00154150" w:rsidRDefault="00ED1E5D">
      <w:pPr>
        <w:pStyle w:val="TableofFigures"/>
        <w:rPr>
          <w:rFonts w:asciiTheme="minorHAnsi" w:eastAsiaTheme="minorEastAsia" w:hAnsiTheme="minorHAnsi" w:cstheme="minorBidi"/>
          <w:noProof/>
        </w:rPr>
      </w:pPr>
      <w:hyperlink w:anchor="_Toc27396194" w:history="1">
        <w:r w:rsidR="00154150" w:rsidRPr="00B55E13">
          <w:rPr>
            <w:rStyle w:val="Hyperlink"/>
          </w:rPr>
          <w:t>Tablica 1–2.: Projekcije vrijednosti ključnih indikatora, Zelena knjiga</w:t>
        </w:r>
        <w:r w:rsidR="00154150">
          <w:rPr>
            <w:noProof/>
            <w:webHidden/>
          </w:rPr>
          <w:tab/>
        </w:r>
        <w:r w:rsidR="00154150">
          <w:rPr>
            <w:noProof/>
            <w:webHidden/>
          </w:rPr>
          <w:fldChar w:fldCharType="begin"/>
        </w:r>
        <w:r w:rsidR="00154150">
          <w:rPr>
            <w:noProof/>
            <w:webHidden/>
          </w:rPr>
          <w:instrText xml:space="preserve"> PAGEREF _Toc27396194 \h </w:instrText>
        </w:r>
        <w:r w:rsidR="00154150">
          <w:rPr>
            <w:noProof/>
            <w:webHidden/>
          </w:rPr>
        </w:r>
        <w:r w:rsidR="00154150">
          <w:rPr>
            <w:noProof/>
            <w:webHidden/>
          </w:rPr>
          <w:fldChar w:fldCharType="separate"/>
        </w:r>
        <w:r w:rsidR="00154150">
          <w:rPr>
            <w:noProof/>
            <w:webHidden/>
          </w:rPr>
          <w:t>10</w:t>
        </w:r>
        <w:r w:rsidR="00154150">
          <w:rPr>
            <w:noProof/>
            <w:webHidden/>
          </w:rPr>
          <w:fldChar w:fldCharType="end"/>
        </w:r>
      </w:hyperlink>
    </w:p>
    <w:p w14:paraId="0C4A01C7" w14:textId="071D9CBC" w:rsidR="00154150" w:rsidRDefault="00ED1E5D">
      <w:pPr>
        <w:pStyle w:val="TableofFigures"/>
        <w:rPr>
          <w:rFonts w:asciiTheme="minorHAnsi" w:eastAsiaTheme="minorEastAsia" w:hAnsiTheme="minorHAnsi" w:cstheme="minorBidi"/>
          <w:noProof/>
        </w:rPr>
      </w:pPr>
      <w:hyperlink w:anchor="_Toc27396195" w:history="1">
        <w:r w:rsidR="00154150" w:rsidRPr="00B55E13">
          <w:rPr>
            <w:rStyle w:val="Hyperlink"/>
          </w:rPr>
          <w:t>Tablica 1–3.: Pregled mjera</w:t>
        </w:r>
        <w:r w:rsidR="00154150">
          <w:rPr>
            <w:noProof/>
            <w:webHidden/>
          </w:rPr>
          <w:tab/>
        </w:r>
        <w:r w:rsidR="00154150">
          <w:rPr>
            <w:noProof/>
            <w:webHidden/>
          </w:rPr>
          <w:fldChar w:fldCharType="begin"/>
        </w:r>
        <w:r w:rsidR="00154150">
          <w:rPr>
            <w:noProof/>
            <w:webHidden/>
          </w:rPr>
          <w:instrText xml:space="preserve"> PAGEREF _Toc27396195 \h </w:instrText>
        </w:r>
        <w:r w:rsidR="00154150">
          <w:rPr>
            <w:noProof/>
            <w:webHidden/>
          </w:rPr>
        </w:r>
        <w:r w:rsidR="00154150">
          <w:rPr>
            <w:noProof/>
            <w:webHidden/>
          </w:rPr>
          <w:fldChar w:fldCharType="separate"/>
        </w:r>
        <w:r w:rsidR="00154150">
          <w:rPr>
            <w:noProof/>
            <w:webHidden/>
          </w:rPr>
          <w:t>10</w:t>
        </w:r>
        <w:r w:rsidR="00154150">
          <w:rPr>
            <w:noProof/>
            <w:webHidden/>
          </w:rPr>
          <w:fldChar w:fldCharType="end"/>
        </w:r>
      </w:hyperlink>
    </w:p>
    <w:p w14:paraId="0E32E7F1" w14:textId="446F09DF" w:rsidR="00154150" w:rsidRDefault="00ED1E5D">
      <w:pPr>
        <w:pStyle w:val="TableofFigures"/>
        <w:rPr>
          <w:rFonts w:asciiTheme="minorHAnsi" w:eastAsiaTheme="minorEastAsia" w:hAnsiTheme="minorHAnsi" w:cstheme="minorBidi"/>
          <w:noProof/>
        </w:rPr>
      </w:pPr>
      <w:hyperlink w:anchor="_Toc27396196" w:history="1">
        <w:r w:rsidR="00154150" w:rsidRPr="00B55E13">
          <w:rPr>
            <w:rStyle w:val="Hyperlink"/>
          </w:rPr>
          <w:t>Tablica 1–4.: Trenutne mjere unutar dimenzije „dekarbonizacija“</w:t>
        </w:r>
        <w:r w:rsidR="00154150">
          <w:rPr>
            <w:noProof/>
            <w:webHidden/>
          </w:rPr>
          <w:tab/>
        </w:r>
        <w:r w:rsidR="00154150">
          <w:rPr>
            <w:noProof/>
            <w:webHidden/>
          </w:rPr>
          <w:fldChar w:fldCharType="begin"/>
        </w:r>
        <w:r w:rsidR="00154150">
          <w:rPr>
            <w:noProof/>
            <w:webHidden/>
          </w:rPr>
          <w:instrText xml:space="preserve"> PAGEREF _Toc27396196 \h </w:instrText>
        </w:r>
        <w:r w:rsidR="00154150">
          <w:rPr>
            <w:noProof/>
            <w:webHidden/>
          </w:rPr>
        </w:r>
        <w:r w:rsidR="00154150">
          <w:rPr>
            <w:noProof/>
            <w:webHidden/>
          </w:rPr>
          <w:fldChar w:fldCharType="separate"/>
        </w:r>
        <w:r w:rsidR="00154150">
          <w:rPr>
            <w:noProof/>
            <w:webHidden/>
          </w:rPr>
          <w:t>20</w:t>
        </w:r>
        <w:r w:rsidR="00154150">
          <w:rPr>
            <w:noProof/>
            <w:webHidden/>
          </w:rPr>
          <w:fldChar w:fldCharType="end"/>
        </w:r>
      </w:hyperlink>
    </w:p>
    <w:p w14:paraId="51F8C850" w14:textId="064B4F5C" w:rsidR="00154150" w:rsidRDefault="00ED1E5D">
      <w:pPr>
        <w:pStyle w:val="TableofFigures"/>
        <w:rPr>
          <w:rFonts w:asciiTheme="minorHAnsi" w:eastAsiaTheme="minorEastAsia" w:hAnsiTheme="minorHAnsi" w:cstheme="minorBidi"/>
          <w:noProof/>
        </w:rPr>
      </w:pPr>
      <w:hyperlink w:anchor="_Toc27396197" w:history="1">
        <w:r w:rsidR="00154150" w:rsidRPr="00B55E13">
          <w:rPr>
            <w:rStyle w:val="Hyperlink"/>
          </w:rPr>
          <w:t>Tablica 1–5. Pregled postojećih regulatornih mjera energetske učinkovitosti</w:t>
        </w:r>
        <w:r w:rsidR="00154150">
          <w:rPr>
            <w:noProof/>
            <w:webHidden/>
          </w:rPr>
          <w:tab/>
        </w:r>
        <w:r w:rsidR="00154150">
          <w:rPr>
            <w:noProof/>
            <w:webHidden/>
          </w:rPr>
          <w:fldChar w:fldCharType="begin"/>
        </w:r>
        <w:r w:rsidR="00154150">
          <w:rPr>
            <w:noProof/>
            <w:webHidden/>
          </w:rPr>
          <w:instrText xml:space="preserve"> PAGEREF _Toc27396197 \h </w:instrText>
        </w:r>
        <w:r w:rsidR="00154150">
          <w:rPr>
            <w:noProof/>
            <w:webHidden/>
          </w:rPr>
        </w:r>
        <w:r w:rsidR="00154150">
          <w:rPr>
            <w:noProof/>
            <w:webHidden/>
          </w:rPr>
          <w:fldChar w:fldCharType="separate"/>
        </w:r>
        <w:r w:rsidR="00154150">
          <w:rPr>
            <w:noProof/>
            <w:webHidden/>
          </w:rPr>
          <w:t>31</w:t>
        </w:r>
        <w:r w:rsidR="00154150">
          <w:rPr>
            <w:noProof/>
            <w:webHidden/>
          </w:rPr>
          <w:fldChar w:fldCharType="end"/>
        </w:r>
      </w:hyperlink>
    </w:p>
    <w:p w14:paraId="50299501" w14:textId="5400181D" w:rsidR="00154150" w:rsidRDefault="00ED1E5D">
      <w:pPr>
        <w:pStyle w:val="TableofFigures"/>
        <w:rPr>
          <w:rFonts w:asciiTheme="minorHAnsi" w:eastAsiaTheme="minorEastAsia" w:hAnsiTheme="minorHAnsi" w:cstheme="minorBidi"/>
          <w:noProof/>
        </w:rPr>
      </w:pPr>
      <w:hyperlink w:anchor="_Toc27396198" w:history="1">
        <w:r w:rsidR="00154150" w:rsidRPr="00B55E13">
          <w:rPr>
            <w:rStyle w:val="Hyperlink"/>
          </w:rPr>
          <w:t>Tablica 1–6. Pregled postojećih ne-regulatornih mjera energetske učinkovitosti po sektorima neposredne potrošnje (bez prometa).</w:t>
        </w:r>
        <w:r w:rsidR="00154150">
          <w:rPr>
            <w:noProof/>
            <w:webHidden/>
          </w:rPr>
          <w:tab/>
        </w:r>
        <w:r w:rsidR="00154150">
          <w:rPr>
            <w:noProof/>
            <w:webHidden/>
          </w:rPr>
          <w:fldChar w:fldCharType="begin"/>
        </w:r>
        <w:r w:rsidR="00154150">
          <w:rPr>
            <w:noProof/>
            <w:webHidden/>
          </w:rPr>
          <w:instrText xml:space="preserve"> PAGEREF _Toc27396198 \h </w:instrText>
        </w:r>
        <w:r w:rsidR="00154150">
          <w:rPr>
            <w:noProof/>
            <w:webHidden/>
          </w:rPr>
        </w:r>
        <w:r w:rsidR="00154150">
          <w:rPr>
            <w:noProof/>
            <w:webHidden/>
          </w:rPr>
          <w:fldChar w:fldCharType="separate"/>
        </w:r>
        <w:r w:rsidR="00154150">
          <w:rPr>
            <w:noProof/>
            <w:webHidden/>
          </w:rPr>
          <w:t>33</w:t>
        </w:r>
        <w:r w:rsidR="00154150">
          <w:rPr>
            <w:noProof/>
            <w:webHidden/>
          </w:rPr>
          <w:fldChar w:fldCharType="end"/>
        </w:r>
      </w:hyperlink>
    </w:p>
    <w:p w14:paraId="66462F70" w14:textId="62F26847" w:rsidR="00154150" w:rsidRDefault="00ED1E5D">
      <w:pPr>
        <w:pStyle w:val="TableofFigures"/>
        <w:rPr>
          <w:rFonts w:asciiTheme="minorHAnsi" w:eastAsiaTheme="minorEastAsia" w:hAnsiTheme="minorHAnsi" w:cstheme="minorBidi"/>
          <w:noProof/>
        </w:rPr>
      </w:pPr>
      <w:hyperlink w:anchor="_Toc27396199" w:history="1">
        <w:r w:rsidR="00154150" w:rsidRPr="00B55E13">
          <w:rPr>
            <w:rStyle w:val="Hyperlink"/>
          </w:rPr>
          <w:t>Tablica 1–7. Pregled postojećih međusektorskih mjera energetske učinkovitosti</w:t>
        </w:r>
        <w:r w:rsidR="00154150">
          <w:rPr>
            <w:noProof/>
            <w:webHidden/>
          </w:rPr>
          <w:tab/>
        </w:r>
        <w:r w:rsidR="00154150">
          <w:rPr>
            <w:noProof/>
            <w:webHidden/>
          </w:rPr>
          <w:fldChar w:fldCharType="begin"/>
        </w:r>
        <w:r w:rsidR="00154150">
          <w:rPr>
            <w:noProof/>
            <w:webHidden/>
          </w:rPr>
          <w:instrText xml:space="preserve"> PAGEREF _Toc27396199 \h </w:instrText>
        </w:r>
        <w:r w:rsidR="00154150">
          <w:rPr>
            <w:noProof/>
            <w:webHidden/>
          </w:rPr>
        </w:r>
        <w:r w:rsidR="00154150">
          <w:rPr>
            <w:noProof/>
            <w:webHidden/>
          </w:rPr>
          <w:fldChar w:fldCharType="separate"/>
        </w:r>
        <w:r w:rsidR="00154150">
          <w:rPr>
            <w:noProof/>
            <w:webHidden/>
          </w:rPr>
          <w:t>34</w:t>
        </w:r>
        <w:r w:rsidR="00154150">
          <w:rPr>
            <w:noProof/>
            <w:webHidden/>
          </w:rPr>
          <w:fldChar w:fldCharType="end"/>
        </w:r>
      </w:hyperlink>
    </w:p>
    <w:p w14:paraId="2D96C0FE" w14:textId="14A74ABB" w:rsidR="00154150" w:rsidRDefault="00ED1E5D">
      <w:pPr>
        <w:pStyle w:val="TableofFigures"/>
        <w:rPr>
          <w:rFonts w:asciiTheme="minorHAnsi" w:eastAsiaTheme="minorEastAsia" w:hAnsiTheme="minorHAnsi" w:cstheme="minorBidi"/>
          <w:noProof/>
        </w:rPr>
      </w:pPr>
      <w:hyperlink w:anchor="_Toc27396200" w:history="1">
        <w:r w:rsidR="00154150" w:rsidRPr="00B55E13">
          <w:rPr>
            <w:rStyle w:val="Hyperlink"/>
          </w:rPr>
          <w:t>Tablica 1–8. Pregled postojećih mjera energetske učinkovitosti za energetsku infrastrukturu</w:t>
        </w:r>
        <w:r w:rsidR="00154150">
          <w:rPr>
            <w:noProof/>
            <w:webHidden/>
          </w:rPr>
          <w:tab/>
        </w:r>
        <w:r w:rsidR="00154150">
          <w:rPr>
            <w:noProof/>
            <w:webHidden/>
          </w:rPr>
          <w:fldChar w:fldCharType="begin"/>
        </w:r>
        <w:r w:rsidR="00154150">
          <w:rPr>
            <w:noProof/>
            <w:webHidden/>
          </w:rPr>
          <w:instrText xml:space="preserve"> PAGEREF _Toc27396200 \h </w:instrText>
        </w:r>
        <w:r w:rsidR="00154150">
          <w:rPr>
            <w:noProof/>
            <w:webHidden/>
          </w:rPr>
        </w:r>
        <w:r w:rsidR="00154150">
          <w:rPr>
            <w:noProof/>
            <w:webHidden/>
          </w:rPr>
          <w:fldChar w:fldCharType="separate"/>
        </w:r>
        <w:r w:rsidR="00154150">
          <w:rPr>
            <w:noProof/>
            <w:webHidden/>
          </w:rPr>
          <w:t>35</w:t>
        </w:r>
        <w:r w:rsidR="00154150">
          <w:rPr>
            <w:noProof/>
            <w:webHidden/>
          </w:rPr>
          <w:fldChar w:fldCharType="end"/>
        </w:r>
      </w:hyperlink>
    </w:p>
    <w:p w14:paraId="0B7699EE" w14:textId="5E494B7D" w:rsidR="00154150" w:rsidRDefault="00ED1E5D">
      <w:pPr>
        <w:pStyle w:val="TableofFigures"/>
        <w:rPr>
          <w:rFonts w:asciiTheme="minorHAnsi" w:eastAsiaTheme="minorEastAsia" w:hAnsiTheme="minorHAnsi" w:cstheme="minorBidi"/>
          <w:noProof/>
        </w:rPr>
      </w:pPr>
      <w:hyperlink w:anchor="_Toc27396201" w:history="1">
        <w:r w:rsidR="00154150" w:rsidRPr="00B55E13">
          <w:rPr>
            <w:rStyle w:val="Hyperlink"/>
          </w:rPr>
          <w:t>Tablica 1–9. Postojeće mjere osiguranja energetske sigurnosti</w:t>
        </w:r>
        <w:r w:rsidR="00154150">
          <w:rPr>
            <w:noProof/>
            <w:webHidden/>
          </w:rPr>
          <w:tab/>
        </w:r>
        <w:r w:rsidR="00154150">
          <w:rPr>
            <w:noProof/>
            <w:webHidden/>
          </w:rPr>
          <w:fldChar w:fldCharType="begin"/>
        </w:r>
        <w:r w:rsidR="00154150">
          <w:rPr>
            <w:noProof/>
            <w:webHidden/>
          </w:rPr>
          <w:instrText xml:space="preserve"> PAGEREF _Toc27396201 \h </w:instrText>
        </w:r>
        <w:r w:rsidR="00154150">
          <w:rPr>
            <w:noProof/>
            <w:webHidden/>
          </w:rPr>
        </w:r>
        <w:r w:rsidR="00154150">
          <w:rPr>
            <w:noProof/>
            <w:webHidden/>
          </w:rPr>
          <w:fldChar w:fldCharType="separate"/>
        </w:r>
        <w:r w:rsidR="00154150">
          <w:rPr>
            <w:noProof/>
            <w:webHidden/>
          </w:rPr>
          <w:t>37</w:t>
        </w:r>
        <w:r w:rsidR="00154150">
          <w:rPr>
            <w:noProof/>
            <w:webHidden/>
          </w:rPr>
          <w:fldChar w:fldCharType="end"/>
        </w:r>
      </w:hyperlink>
    </w:p>
    <w:p w14:paraId="5FFC0824" w14:textId="0F71741C" w:rsidR="00154150" w:rsidRDefault="00ED1E5D">
      <w:pPr>
        <w:pStyle w:val="TableofFigures"/>
        <w:rPr>
          <w:rFonts w:asciiTheme="minorHAnsi" w:eastAsiaTheme="minorEastAsia" w:hAnsiTheme="minorHAnsi" w:cstheme="minorBidi"/>
          <w:noProof/>
        </w:rPr>
      </w:pPr>
      <w:hyperlink w:anchor="_Toc27396202" w:history="1">
        <w:r w:rsidR="00154150" w:rsidRPr="00B55E13">
          <w:rPr>
            <w:rStyle w:val="Hyperlink"/>
          </w:rPr>
          <w:t>Tablica 1–10. Postojeće mjere za infrastrukturu za prijenos energije</w:t>
        </w:r>
        <w:r w:rsidR="00154150">
          <w:rPr>
            <w:noProof/>
            <w:webHidden/>
          </w:rPr>
          <w:tab/>
        </w:r>
        <w:r w:rsidR="00154150">
          <w:rPr>
            <w:noProof/>
            <w:webHidden/>
          </w:rPr>
          <w:fldChar w:fldCharType="begin"/>
        </w:r>
        <w:r w:rsidR="00154150">
          <w:rPr>
            <w:noProof/>
            <w:webHidden/>
          </w:rPr>
          <w:instrText xml:space="preserve"> PAGEREF _Toc27396202 \h </w:instrText>
        </w:r>
        <w:r w:rsidR="00154150">
          <w:rPr>
            <w:noProof/>
            <w:webHidden/>
          </w:rPr>
        </w:r>
        <w:r w:rsidR="00154150">
          <w:rPr>
            <w:noProof/>
            <w:webHidden/>
          </w:rPr>
          <w:fldChar w:fldCharType="separate"/>
        </w:r>
        <w:r w:rsidR="00154150">
          <w:rPr>
            <w:noProof/>
            <w:webHidden/>
          </w:rPr>
          <w:t>39</w:t>
        </w:r>
        <w:r w:rsidR="00154150">
          <w:rPr>
            <w:noProof/>
            <w:webHidden/>
          </w:rPr>
          <w:fldChar w:fldCharType="end"/>
        </w:r>
      </w:hyperlink>
    </w:p>
    <w:p w14:paraId="62D12E42" w14:textId="0B6C5674" w:rsidR="00154150" w:rsidRDefault="00ED1E5D">
      <w:pPr>
        <w:pStyle w:val="TableofFigures"/>
        <w:rPr>
          <w:rFonts w:asciiTheme="minorHAnsi" w:eastAsiaTheme="minorEastAsia" w:hAnsiTheme="minorHAnsi" w:cstheme="minorBidi"/>
          <w:noProof/>
        </w:rPr>
      </w:pPr>
      <w:hyperlink w:anchor="_Toc27396203" w:history="1">
        <w:r w:rsidR="00154150" w:rsidRPr="00B55E13">
          <w:rPr>
            <w:rStyle w:val="Hyperlink"/>
          </w:rPr>
          <w:t>Tablica 1–11. Postojeće mjere zaštite potrošača</w:t>
        </w:r>
        <w:r w:rsidR="00154150">
          <w:rPr>
            <w:noProof/>
            <w:webHidden/>
          </w:rPr>
          <w:tab/>
        </w:r>
        <w:r w:rsidR="00154150">
          <w:rPr>
            <w:noProof/>
            <w:webHidden/>
          </w:rPr>
          <w:fldChar w:fldCharType="begin"/>
        </w:r>
        <w:r w:rsidR="00154150">
          <w:rPr>
            <w:noProof/>
            <w:webHidden/>
          </w:rPr>
          <w:instrText xml:space="preserve"> PAGEREF _Toc27396203 \h </w:instrText>
        </w:r>
        <w:r w:rsidR="00154150">
          <w:rPr>
            <w:noProof/>
            <w:webHidden/>
          </w:rPr>
        </w:r>
        <w:r w:rsidR="00154150">
          <w:rPr>
            <w:noProof/>
            <w:webHidden/>
          </w:rPr>
          <w:fldChar w:fldCharType="separate"/>
        </w:r>
        <w:r w:rsidR="00154150">
          <w:rPr>
            <w:noProof/>
            <w:webHidden/>
          </w:rPr>
          <w:t>41</w:t>
        </w:r>
        <w:r w:rsidR="00154150">
          <w:rPr>
            <w:noProof/>
            <w:webHidden/>
          </w:rPr>
          <w:fldChar w:fldCharType="end"/>
        </w:r>
      </w:hyperlink>
    </w:p>
    <w:p w14:paraId="0DE88A5F" w14:textId="21577AAF" w:rsidR="00154150" w:rsidRDefault="00ED1E5D">
      <w:pPr>
        <w:pStyle w:val="TableofFigures"/>
        <w:rPr>
          <w:rFonts w:asciiTheme="minorHAnsi" w:eastAsiaTheme="minorEastAsia" w:hAnsiTheme="minorHAnsi" w:cstheme="minorBidi"/>
          <w:noProof/>
        </w:rPr>
      </w:pPr>
      <w:hyperlink w:anchor="_Toc27396204" w:history="1">
        <w:r w:rsidR="00154150" w:rsidRPr="00B55E13">
          <w:rPr>
            <w:rStyle w:val="Hyperlink"/>
          </w:rPr>
          <w:t>Tablica 1–12 Postojeće mjere suzbijanja energetskog siromaštva</w:t>
        </w:r>
        <w:r w:rsidR="00154150">
          <w:rPr>
            <w:noProof/>
            <w:webHidden/>
          </w:rPr>
          <w:tab/>
        </w:r>
        <w:r w:rsidR="00154150">
          <w:rPr>
            <w:noProof/>
            <w:webHidden/>
          </w:rPr>
          <w:fldChar w:fldCharType="begin"/>
        </w:r>
        <w:r w:rsidR="00154150">
          <w:rPr>
            <w:noProof/>
            <w:webHidden/>
          </w:rPr>
          <w:instrText xml:space="preserve"> PAGEREF _Toc27396204 \h </w:instrText>
        </w:r>
        <w:r w:rsidR="00154150">
          <w:rPr>
            <w:noProof/>
            <w:webHidden/>
          </w:rPr>
        </w:r>
        <w:r w:rsidR="00154150">
          <w:rPr>
            <w:noProof/>
            <w:webHidden/>
          </w:rPr>
          <w:fldChar w:fldCharType="separate"/>
        </w:r>
        <w:r w:rsidR="00154150">
          <w:rPr>
            <w:noProof/>
            <w:webHidden/>
          </w:rPr>
          <w:t>41</w:t>
        </w:r>
        <w:r w:rsidR="00154150">
          <w:rPr>
            <w:noProof/>
            <w:webHidden/>
          </w:rPr>
          <w:fldChar w:fldCharType="end"/>
        </w:r>
      </w:hyperlink>
    </w:p>
    <w:p w14:paraId="2D1123AC" w14:textId="3EDF0010" w:rsidR="00154150" w:rsidRDefault="00ED1E5D">
      <w:pPr>
        <w:pStyle w:val="TableofFigures"/>
        <w:rPr>
          <w:rFonts w:asciiTheme="minorHAnsi" w:eastAsiaTheme="minorEastAsia" w:hAnsiTheme="minorHAnsi" w:cstheme="minorBidi"/>
          <w:noProof/>
        </w:rPr>
      </w:pPr>
      <w:hyperlink w:anchor="_Toc27396205" w:history="1">
        <w:r w:rsidR="00154150" w:rsidRPr="00B55E13">
          <w:rPr>
            <w:rStyle w:val="Hyperlink"/>
          </w:rPr>
          <w:t>Tablica 2–1. Indikativni nacionalni ciljevi za udjele OIE do 2030. godine</w:t>
        </w:r>
        <w:r w:rsidR="00154150">
          <w:rPr>
            <w:noProof/>
            <w:webHidden/>
          </w:rPr>
          <w:tab/>
        </w:r>
        <w:r w:rsidR="00154150">
          <w:rPr>
            <w:noProof/>
            <w:webHidden/>
          </w:rPr>
          <w:fldChar w:fldCharType="begin"/>
        </w:r>
        <w:r w:rsidR="00154150">
          <w:rPr>
            <w:noProof/>
            <w:webHidden/>
          </w:rPr>
          <w:instrText xml:space="preserve"> PAGEREF _Toc27396205 \h </w:instrText>
        </w:r>
        <w:r w:rsidR="00154150">
          <w:rPr>
            <w:noProof/>
            <w:webHidden/>
          </w:rPr>
        </w:r>
        <w:r w:rsidR="00154150">
          <w:rPr>
            <w:noProof/>
            <w:webHidden/>
          </w:rPr>
          <w:fldChar w:fldCharType="separate"/>
        </w:r>
        <w:r w:rsidR="00154150">
          <w:rPr>
            <w:noProof/>
            <w:webHidden/>
          </w:rPr>
          <w:t>53</w:t>
        </w:r>
        <w:r w:rsidR="00154150">
          <w:rPr>
            <w:noProof/>
            <w:webHidden/>
          </w:rPr>
          <w:fldChar w:fldCharType="end"/>
        </w:r>
      </w:hyperlink>
    </w:p>
    <w:p w14:paraId="05924A11" w14:textId="3373F8E9" w:rsidR="00154150" w:rsidRDefault="00ED1E5D">
      <w:pPr>
        <w:pStyle w:val="TableofFigures"/>
        <w:rPr>
          <w:rFonts w:asciiTheme="minorHAnsi" w:eastAsiaTheme="minorEastAsia" w:hAnsiTheme="minorHAnsi" w:cstheme="minorBidi"/>
          <w:noProof/>
        </w:rPr>
      </w:pPr>
      <w:hyperlink w:anchor="_Toc27396206" w:history="1">
        <w:r w:rsidR="00154150" w:rsidRPr="00B55E13">
          <w:rPr>
            <w:rStyle w:val="Hyperlink"/>
          </w:rPr>
          <w:t>Tablica 2–2. Ocijenjeni doprinos tehnologija za OIE u bruto neposrednoj potrošnji</w:t>
        </w:r>
        <w:r w:rsidR="00154150">
          <w:rPr>
            <w:noProof/>
            <w:webHidden/>
          </w:rPr>
          <w:tab/>
        </w:r>
        <w:r w:rsidR="00154150">
          <w:rPr>
            <w:noProof/>
            <w:webHidden/>
          </w:rPr>
          <w:fldChar w:fldCharType="begin"/>
        </w:r>
        <w:r w:rsidR="00154150">
          <w:rPr>
            <w:noProof/>
            <w:webHidden/>
          </w:rPr>
          <w:instrText xml:space="preserve"> PAGEREF _Toc27396206 \h </w:instrText>
        </w:r>
        <w:r w:rsidR="00154150">
          <w:rPr>
            <w:noProof/>
            <w:webHidden/>
          </w:rPr>
        </w:r>
        <w:r w:rsidR="00154150">
          <w:rPr>
            <w:noProof/>
            <w:webHidden/>
          </w:rPr>
          <w:fldChar w:fldCharType="separate"/>
        </w:r>
        <w:r w:rsidR="00154150">
          <w:rPr>
            <w:noProof/>
            <w:webHidden/>
          </w:rPr>
          <w:t>56</w:t>
        </w:r>
        <w:r w:rsidR="00154150">
          <w:rPr>
            <w:noProof/>
            <w:webHidden/>
          </w:rPr>
          <w:fldChar w:fldCharType="end"/>
        </w:r>
      </w:hyperlink>
    </w:p>
    <w:p w14:paraId="583013B7" w14:textId="567E4A06" w:rsidR="00154150" w:rsidRDefault="00ED1E5D">
      <w:pPr>
        <w:pStyle w:val="TableofFigures"/>
        <w:rPr>
          <w:rFonts w:asciiTheme="minorHAnsi" w:eastAsiaTheme="minorEastAsia" w:hAnsiTheme="minorHAnsi" w:cstheme="minorBidi"/>
          <w:noProof/>
        </w:rPr>
      </w:pPr>
      <w:hyperlink w:anchor="_Toc27396207" w:history="1">
        <w:r w:rsidR="00154150" w:rsidRPr="00B55E13">
          <w:rPr>
            <w:rStyle w:val="Hyperlink"/>
          </w:rPr>
          <w:t>Tablica 2–3. Ocijenjeni doprinos tehnologija za OIE u električnoj energiji</w:t>
        </w:r>
        <w:r w:rsidR="00154150">
          <w:rPr>
            <w:noProof/>
            <w:webHidden/>
          </w:rPr>
          <w:tab/>
        </w:r>
        <w:r w:rsidR="00154150">
          <w:rPr>
            <w:noProof/>
            <w:webHidden/>
          </w:rPr>
          <w:fldChar w:fldCharType="begin"/>
        </w:r>
        <w:r w:rsidR="00154150">
          <w:rPr>
            <w:noProof/>
            <w:webHidden/>
          </w:rPr>
          <w:instrText xml:space="preserve"> PAGEREF _Toc27396207 \h </w:instrText>
        </w:r>
        <w:r w:rsidR="00154150">
          <w:rPr>
            <w:noProof/>
            <w:webHidden/>
          </w:rPr>
        </w:r>
        <w:r w:rsidR="00154150">
          <w:rPr>
            <w:noProof/>
            <w:webHidden/>
          </w:rPr>
          <w:fldChar w:fldCharType="separate"/>
        </w:r>
        <w:r w:rsidR="00154150">
          <w:rPr>
            <w:noProof/>
            <w:webHidden/>
          </w:rPr>
          <w:t>56</w:t>
        </w:r>
        <w:r w:rsidR="00154150">
          <w:rPr>
            <w:noProof/>
            <w:webHidden/>
          </w:rPr>
          <w:fldChar w:fldCharType="end"/>
        </w:r>
      </w:hyperlink>
    </w:p>
    <w:p w14:paraId="47712D65" w14:textId="64E511EB" w:rsidR="00154150" w:rsidRDefault="00ED1E5D">
      <w:pPr>
        <w:pStyle w:val="TableofFigures"/>
        <w:rPr>
          <w:rFonts w:asciiTheme="minorHAnsi" w:eastAsiaTheme="minorEastAsia" w:hAnsiTheme="minorHAnsi" w:cstheme="minorBidi"/>
          <w:noProof/>
        </w:rPr>
      </w:pPr>
      <w:hyperlink w:anchor="_Toc27396208" w:history="1">
        <w:r w:rsidR="00154150" w:rsidRPr="00B55E13">
          <w:rPr>
            <w:rStyle w:val="Hyperlink"/>
          </w:rPr>
          <w:t>Tablica 2–4. Ocijenjeni doprinos tehnologija za OIE u grijanju i hlađenju</w:t>
        </w:r>
        <w:r w:rsidR="00154150">
          <w:rPr>
            <w:noProof/>
            <w:webHidden/>
          </w:rPr>
          <w:tab/>
        </w:r>
        <w:r w:rsidR="00154150">
          <w:rPr>
            <w:noProof/>
            <w:webHidden/>
          </w:rPr>
          <w:fldChar w:fldCharType="begin"/>
        </w:r>
        <w:r w:rsidR="00154150">
          <w:rPr>
            <w:noProof/>
            <w:webHidden/>
          </w:rPr>
          <w:instrText xml:space="preserve"> PAGEREF _Toc27396208 \h </w:instrText>
        </w:r>
        <w:r w:rsidR="00154150">
          <w:rPr>
            <w:noProof/>
            <w:webHidden/>
          </w:rPr>
        </w:r>
        <w:r w:rsidR="00154150">
          <w:rPr>
            <w:noProof/>
            <w:webHidden/>
          </w:rPr>
          <w:fldChar w:fldCharType="separate"/>
        </w:r>
        <w:r w:rsidR="00154150">
          <w:rPr>
            <w:noProof/>
            <w:webHidden/>
          </w:rPr>
          <w:t>56</w:t>
        </w:r>
        <w:r w:rsidR="00154150">
          <w:rPr>
            <w:noProof/>
            <w:webHidden/>
          </w:rPr>
          <w:fldChar w:fldCharType="end"/>
        </w:r>
      </w:hyperlink>
    </w:p>
    <w:p w14:paraId="5BE75455" w14:textId="205D55A5" w:rsidR="00154150" w:rsidRDefault="00ED1E5D">
      <w:pPr>
        <w:pStyle w:val="TableofFigures"/>
        <w:rPr>
          <w:rFonts w:asciiTheme="minorHAnsi" w:eastAsiaTheme="minorEastAsia" w:hAnsiTheme="minorHAnsi" w:cstheme="minorBidi"/>
          <w:noProof/>
        </w:rPr>
      </w:pPr>
      <w:hyperlink w:anchor="_Toc27396209" w:history="1">
        <w:r w:rsidR="00154150" w:rsidRPr="00B55E13">
          <w:rPr>
            <w:rStyle w:val="Hyperlink"/>
          </w:rPr>
          <w:t>Tablica 2–5. Ocijenjeni doprinos tehnologija za OIE u prometu</w:t>
        </w:r>
        <w:r w:rsidR="00154150">
          <w:rPr>
            <w:noProof/>
            <w:webHidden/>
          </w:rPr>
          <w:tab/>
        </w:r>
        <w:r w:rsidR="00154150">
          <w:rPr>
            <w:noProof/>
            <w:webHidden/>
          </w:rPr>
          <w:fldChar w:fldCharType="begin"/>
        </w:r>
        <w:r w:rsidR="00154150">
          <w:rPr>
            <w:noProof/>
            <w:webHidden/>
          </w:rPr>
          <w:instrText xml:space="preserve"> PAGEREF _Toc27396209 \h </w:instrText>
        </w:r>
        <w:r w:rsidR="00154150">
          <w:rPr>
            <w:noProof/>
            <w:webHidden/>
          </w:rPr>
        </w:r>
        <w:r w:rsidR="00154150">
          <w:rPr>
            <w:noProof/>
            <w:webHidden/>
          </w:rPr>
          <w:fldChar w:fldCharType="separate"/>
        </w:r>
        <w:r w:rsidR="00154150">
          <w:rPr>
            <w:noProof/>
            <w:webHidden/>
          </w:rPr>
          <w:t>56</w:t>
        </w:r>
        <w:r w:rsidR="00154150">
          <w:rPr>
            <w:noProof/>
            <w:webHidden/>
          </w:rPr>
          <w:fldChar w:fldCharType="end"/>
        </w:r>
      </w:hyperlink>
    </w:p>
    <w:p w14:paraId="549B1625" w14:textId="21E14D5B" w:rsidR="00154150" w:rsidRDefault="00ED1E5D">
      <w:pPr>
        <w:pStyle w:val="TableofFigures"/>
        <w:rPr>
          <w:rFonts w:asciiTheme="minorHAnsi" w:eastAsiaTheme="minorEastAsia" w:hAnsiTheme="minorHAnsi" w:cstheme="minorBidi"/>
          <w:noProof/>
        </w:rPr>
      </w:pPr>
      <w:hyperlink w:anchor="_Toc27396210" w:history="1">
        <w:r w:rsidR="00154150" w:rsidRPr="00B55E13">
          <w:rPr>
            <w:rStyle w:val="Hyperlink"/>
          </w:rPr>
          <w:t>Tablica 2–6. Očekivana snaga elektrana</w:t>
        </w:r>
        <w:r w:rsidR="00154150">
          <w:rPr>
            <w:noProof/>
            <w:webHidden/>
          </w:rPr>
          <w:tab/>
        </w:r>
        <w:r w:rsidR="00154150">
          <w:rPr>
            <w:noProof/>
            <w:webHidden/>
          </w:rPr>
          <w:fldChar w:fldCharType="begin"/>
        </w:r>
        <w:r w:rsidR="00154150">
          <w:rPr>
            <w:noProof/>
            <w:webHidden/>
          </w:rPr>
          <w:instrText xml:space="preserve"> PAGEREF _Toc27396210 \h </w:instrText>
        </w:r>
        <w:r w:rsidR="00154150">
          <w:rPr>
            <w:noProof/>
            <w:webHidden/>
          </w:rPr>
        </w:r>
        <w:r w:rsidR="00154150">
          <w:rPr>
            <w:noProof/>
            <w:webHidden/>
          </w:rPr>
          <w:fldChar w:fldCharType="separate"/>
        </w:r>
        <w:r w:rsidR="00154150">
          <w:rPr>
            <w:noProof/>
            <w:webHidden/>
          </w:rPr>
          <w:t>57</w:t>
        </w:r>
        <w:r w:rsidR="00154150">
          <w:rPr>
            <w:noProof/>
            <w:webHidden/>
          </w:rPr>
          <w:fldChar w:fldCharType="end"/>
        </w:r>
      </w:hyperlink>
    </w:p>
    <w:p w14:paraId="5CAD7E67" w14:textId="3D753168" w:rsidR="00154150" w:rsidRDefault="00ED1E5D">
      <w:pPr>
        <w:pStyle w:val="TableofFigures"/>
        <w:rPr>
          <w:rFonts w:asciiTheme="minorHAnsi" w:eastAsiaTheme="minorEastAsia" w:hAnsiTheme="minorHAnsi" w:cstheme="minorBidi"/>
          <w:noProof/>
        </w:rPr>
      </w:pPr>
      <w:hyperlink w:anchor="_Toc27396211" w:history="1">
        <w:r w:rsidR="00154150" w:rsidRPr="00B55E13">
          <w:rPr>
            <w:rStyle w:val="Hyperlink"/>
          </w:rPr>
          <w:t>Tablica 2–7: Okvirni nacionalni ciljevi energetske učinkovitosti u 2030. godini</w:t>
        </w:r>
        <w:r w:rsidR="00154150">
          <w:rPr>
            <w:noProof/>
            <w:webHidden/>
          </w:rPr>
          <w:tab/>
        </w:r>
        <w:r w:rsidR="00154150">
          <w:rPr>
            <w:noProof/>
            <w:webHidden/>
          </w:rPr>
          <w:fldChar w:fldCharType="begin"/>
        </w:r>
        <w:r w:rsidR="00154150">
          <w:rPr>
            <w:noProof/>
            <w:webHidden/>
          </w:rPr>
          <w:instrText xml:space="preserve"> PAGEREF _Toc27396211 \h </w:instrText>
        </w:r>
        <w:r w:rsidR="00154150">
          <w:rPr>
            <w:noProof/>
            <w:webHidden/>
          </w:rPr>
        </w:r>
        <w:r w:rsidR="00154150">
          <w:rPr>
            <w:noProof/>
            <w:webHidden/>
          </w:rPr>
          <w:fldChar w:fldCharType="separate"/>
        </w:r>
        <w:r w:rsidR="00154150">
          <w:rPr>
            <w:noProof/>
            <w:webHidden/>
          </w:rPr>
          <w:t>61</w:t>
        </w:r>
        <w:r w:rsidR="00154150">
          <w:rPr>
            <w:noProof/>
            <w:webHidden/>
          </w:rPr>
          <w:fldChar w:fldCharType="end"/>
        </w:r>
      </w:hyperlink>
    </w:p>
    <w:p w14:paraId="06D72404" w14:textId="6636733F" w:rsidR="00154150" w:rsidRDefault="00ED1E5D">
      <w:pPr>
        <w:pStyle w:val="TableofFigures"/>
        <w:rPr>
          <w:rFonts w:asciiTheme="minorHAnsi" w:eastAsiaTheme="minorEastAsia" w:hAnsiTheme="minorHAnsi" w:cstheme="minorBidi"/>
          <w:noProof/>
        </w:rPr>
      </w:pPr>
      <w:hyperlink w:anchor="_Toc27396212" w:history="1">
        <w:r w:rsidR="00154150" w:rsidRPr="00B55E13">
          <w:rPr>
            <w:rStyle w:val="Hyperlink"/>
          </w:rPr>
          <w:t>Tablica 2–8: Okvirni nacionalni ciljevi energetske učinkovitosti u 2030. godini</w:t>
        </w:r>
        <w:r w:rsidR="00154150">
          <w:rPr>
            <w:noProof/>
            <w:webHidden/>
          </w:rPr>
          <w:tab/>
        </w:r>
        <w:r w:rsidR="00154150">
          <w:rPr>
            <w:noProof/>
            <w:webHidden/>
          </w:rPr>
          <w:fldChar w:fldCharType="begin"/>
        </w:r>
        <w:r w:rsidR="00154150">
          <w:rPr>
            <w:noProof/>
            <w:webHidden/>
          </w:rPr>
          <w:instrText xml:space="preserve"> PAGEREF _Toc27396212 \h </w:instrText>
        </w:r>
        <w:r w:rsidR="00154150">
          <w:rPr>
            <w:noProof/>
            <w:webHidden/>
          </w:rPr>
        </w:r>
        <w:r w:rsidR="00154150">
          <w:rPr>
            <w:noProof/>
            <w:webHidden/>
          </w:rPr>
          <w:fldChar w:fldCharType="separate"/>
        </w:r>
        <w:r w:rsidR="00154150">
          <w:rPr>
            <w:noProof/>
            <w:webHidden/>
          </w:rPr>
          <w:t>62</w:t>
        </w:r>
        <w:r w:rsidR="00154150">
          <w:rPr>
            <w:noProof/>
            <w:webHidden/>
          </w:rPr>
          <w:fldChar w:fldCharType="end"/>
        </w:r>
      </w:hyperlink>
    </w:p>
    <w:p w14:paraId="068D64D4" w14:textId="2487CF26" w:rsidR="00154150" w:rsidRDefault="00ED1E5D">
      <w:pPr>
        <w:pStyle w:val="TableofFigures"/>
        <w:rPr>
          <w:rFonts w:asciiTheme="minorHAnsi" w:eastAsiaTheme="minorEastAsia" w:hAnsiTheme="minorHAnsi" w:cstheme="minorBidi"/>
          <w:noProof/>
        </w:rPr>
      </w:pPr>
      <w:hyperlink w:anchor="_Toc27396213" w:history="1">
        <w:r w:rsidR="00154150" w:rsidRPr="00B55E13">
          <w:rPr>
            <w:rStyle w:val="Hyperlink"/>
          </w:rPr>
          <w:t>Tablica 3–1: Procijenjena raspoloživa financijska sredstva iz prodaje emisijskih jedinica stakleničkih plinova za ulaganja u energetsku učinkovitost do 2020. godine s prijedlogom mjera do 2030.</w:t>
        </w:r>
        <w:r w:rsidR="00154150">
          <w:rPr>
            <w:noProof/>
            <w:webHidden/>
          </w:rPr>
          <w:tab/>
        </w:r>
        <w:r w:rsidR="00154150">
          <w:rPr>
            <w:noProof/>
            <w:webHidden/>
          </w:rPr>
          <w:fldChar w:fldCharType="begin"/>
        </w:r>
        <w:r w:rsidR="00154150">
          <w:rPr>
            <w:noProof/>
            <w:webHidden/>
          </w:rPr>
          <w:instrText xml:space="preserve"> PAGEREF _Toc27396213 \h </w:instrText>
        </w:r>
        <w:r w:rsidR="00154150">
          <w:rPr>
            <w:noProof/>
            <w:webHidden/>
          </w:rPr>
        </w:r>
        <w:r w:rsidR="00154150">
          <w:rPr>
            <w:noProof/>
            <w:webHidden/>
          </w:rPr>
          <w:fldChar w:fldCharType="separate"/>
        </w:r>
        <w:r w:rsidR="00154150">
          <w:rPr>
            <w:noProof/>
            <w:webHidden/>
          </w:rPr>
          <w:t>158</w:t>
        </w:r>
        <w:r w:rsidR="00154150">
          <w:rPr>
            <w:noProof/>
            <w:webHidden/>
          </w:rPr>
          <w:fldChar w:fldCharType="end"/>
        </w:r>
      </w:hyperlink>
    </w:p>
    <w:p w14:paraId="7961D568" w14:textId="093C8DC3" w:rsidR="00154150" w:rsidRDefault="00ED1E5D">
      <w:pPr>
        <w:pStyle w:val="TableofFigures"/>
        <w:rPr>
          <w:rFonts w:asciiTheme="minorHAnsi" w:eastAsiaTheme="minorEastAsia" w:hAnsiTheme="minorHAnsi" w:cstheme="minorBidi"/>
          <w:noProof/>
        </w:rPr>
      </w:pPr>
      <w:hyperlink w:anchor="_Toc27396214" w:history="1">
        <w:r w:rsidR="00154150" w:rsidRPr="00B55E13">
          <w:rPr>
            <w:rStyle w:val="Hyperlink"/>
          </w:rPr>
          <w:t>Tablica 3–2: Raspoloživa financijska sredstva iz ESI fondova i financijske mjere za energetsku učinkovitosti do 2020.(2023.) godine s prijedlogom mjera do 2030.</w:t>
        </w:r>
        <w:r w:rsidR="00154150">
          <w:rPr>
            <w:noProof/>
            <w:webHidden/>
          </w:rPr>
          <w:tab/>
        </w:r>
        <w:r w:rsidR="00154150">
          <w:rPr>
            <w:noProof/>
            <w:webHidden/>
          </w:rPr>
          <w:fldChar w:fldCharType="begin"/>
        </w:r>
        <w:r w:rsidR="00154150">
          <w:rPr>
            <w:noProof/>
            <w:webHidden/>
          </w:rPr>
          <w:instrText xml:space="preserve"> PAGEREF _Toc27396214 \h </w:instrText>
        </w:r>
        <w:r w:rsidR="00154150">
          <w:rPr>
            <w:noProof/>
            <w:webHidden/>
          </w:rPr>
        </w:r>
        <w:r w:rsidR="00154150">
          <w:rPr>
            <w:noProof/>
            <w:webHidden/>
          </w:rPr>
          <w:fldChar w:fldCharType="separate"/>
        </w:r>
        <w:r w:rsidR="00154150">
          <w:rPr>
            <w:noProof/>
            <w:webHidden/>
          </w:rPr>
          <w:t>159</w:t>
        </w:r>
        <w:r w:rsidR="00154150">
          <w:rPr>
            <w:noProof/>
            <w:webHidden/>
          </w:rPr>
          <w:fldChar w:fldCharType="end"/>
        </w:r>
      </w:hyperlink>
    </w:p>
    <w:p w14:paraId="3944E00E" w14:textId="29BAF409" w:rsidR="00154150" w:rsidRDefault="00ED1E5D">
      <w:pPr>
        <w:pStyle w:val="TableofFigures"/>
        <w:rPr>
          <w:rFonts w:asciiTheme="minorHAnsi" w:eastAsiaTheme="minorEastAsia" w:hAnsiTheme="minorHAnsi" w:cstheme="minorBidi"/>
          <w:noProof/>
        </w:rPr>
      </w:pPr>
      <w:hyperlink w:anchor="_Toc27396215" w:history="1">
        <w:r w:rsidR="00154150" w:rsidRPr="00B55E13">
          <w:rPr>
            <w:rStyle w:val="Hyperlink"/>
          </w:rPr>
          <w:t>Tablica 4–1.: Projekcije ekonomskih parametara na temelju srednjih demografskih projekcija</w:t>
        </w:r>
        <w:r w:rsidR="00154150">
          <w:rPr>
            <w:noProof/>
            <w:webHidden/>
          </w:rPr>
          <w:tab/>
        </w:r>
        <w:r w:rsidR="00154150">
          <w:rPr>
            <w:noProof/>
            <w:webHidden/>
          </w:rPr>
          <w:fldChar w:fldCharType="begin"/>
        </w:r>
        <w:r w:rsidR="00154150">
          <w:rPr>
            <w:noProof/>
            <w:webHidden/>
          </w:rPr>
          <w:instrText xml:space="preserve"> PAGEREF _Toc27396215 \h </w:instrText>
        </w:r>
        <w:r w:rsidR="00154150">
          <w:rPr>
            <w:noProof/>
            <w:webHidden/>
          </w:rPr>
        </w:r>
        <w:r w:rsidR="00154150">
          <w:rPr>
            <w:noProof/>
            <w:webHidden/>
          </w:rPr>
          <w:fldChar w:fldCharType="separate"/>
        </w:r>
        <w:r w:rsidR="00154150">
          <w:rPr>
            <w:noProof/>
            <w:webHidden/>
          </w:rPr>
          <w:t>177</w:t>
        </w:r>
        <w:r w:rsidR="00154150">
          <w:rPr>
            <w:noProof/>
            <w:webHidden/>
          </w:rPr>
          <w:fldChar w:fldCharType="end"/>
        </w:r>
      </w:hyperlink>
    </w:p>
    <w:p w14:paraId="22545ADF" w14:textId="4DFB8415" w:rsidR="00154150" w:rsidRDefault="00ED1E5D">
      <w:pPr>
        <w:pStyle w:val="TableofFigures"/>
        <w:rPr>
          <w:rFonts w:asciiTheme="minorHAnsi" w:eastAsiaTheme="minorEastAsia" w:hAnsiTheme="minorHAnsi" w:cstheme="minorBidi"/>
          <w:noProof/>
        </w:rPr>
      </w:pPr>
      <w:hyperlink w:anchor="_Toc27396216" w:history="1">
        <w:r w:rsidR="00154150" w:rsidRPr="00B55E13">
          <w:rPr>
            <w:rStyle w:val="Hyperlink"/>
          </w:rPr>
          <w:t>Tablica 4–2</w:t>
        </w:r>
        <w:r w:rsidR="00154150">
          <w:rPr>
            <w:rFonts w:asciiTheme="minorHAnsi" w:eastAsiaTheme="minorEastAsia" w:hAnsiTheme="minorHAnsi" w:cstheme="minorBidi"/>
            <w:noProof/>
          </w:rPr>
          <w:tab/>
        </w:r>
        <w:r w:rsidR="00154150" w:rsidRPr="00B55E13">
          <w:rPr>
            <w:rStyle w:val="Hyperlink"/>
          </w:rPr>
          <w:t>Pregled korištenih konverzijskih faktora</w:t>
        </w:r>
        <w:r w:rsidR="00154150">
          <w:rPr>
            <w:noProof/>
            <w:webHidden/>
          </w:rPr>
          <w:tab/>
        </w:r>
        <w:r w:rsidR="00154150">
          <w:rPr>
            <w:noProof/>
            <w:webHidden/>
          </w:rPr>
          <w:fldChar w:fldCharType="begin"/>
        </w:r>
        <w:r w:rsidR="00154150">
          <w:rPr>
            <w:noProof/>
            <w:webHidden/>
          </w:rPr>
          <w:instrText xml:space="preserve"> PAGEREF _Toc27396216 \h </w:instrText>
        </w:r>
        <w:r w:rsidR="00154150">
          <w:rPr>
            <w:noProof/>
            <w:webHidden/>
          </w:rPr>
        </w:r>
        <w:r w:rsidR="00154150">
          <w:rPr>
            <w:noProof/>
            <w:webHidden/>
          </w:rPr>
          <w:fldChar w:fldCharType="separate"/>
        </w:r>
        <w:r w:rsidR="00154150">
          <w:rPr>
            <w:noProof/>
            <w:webHidden/>
          </w:rPr>
          <w:t>178</w:t>
        </w:r>
        <w:r w:rsidR="00154150">
          <w:rPr>
            <w:noProof/>
            <w:webHidden/>
          </w:rPr>
          <w:fldChar w:fldCharType="end"/>
        </w:r>
      </w:hyperlink>
    </w:p>
    <w:p w14:paraId="192ED210" w14:textId="5238F9B5" w:rsidR="00154150" w:rsidRDefault="00ED1E5D">
      <w:pPr>
        <w:pStyle w:val="TableofFigures"/>
        <w:rPr>
          <w:rFonts w:asciiTheme="minorHAnsi" w:eastAsiaTheme="minorEastAsia" w:hAnsiTheme="minorHAnsi" w:cstheme="minorBidi"/>
          <w:noProof/>
        </w:rPr>
      </w:pPr>
      <w:hyperlink w:anchor="_Toc27396217" w:history="1">
        <w:r w:rsidR="00154150" w:rsidRPr="00B55E13">
          <w:rPr>
            <w:rStyle w:val="Hyperlink"/>
          </w:rPr>
          <w:t>Tablica 4–3.: Cijene fosilnih goriva do 2040. godine</w:t>
        </w:r>
        <w:r w:rsidR="00154150">
          <w:rPr>
            <w:noProof/>
            <w:webHidden/>
          </w:rPr>
          <w:tab/>
        </w:r>
        <w:r w:rsidR="00154150">
          <w:rPr>
            <w:noProof/>
            <w:webHidden/>
          </w:rPr>
          <w:fldChar w:fldCharType="begin"/>
        </w:r>
        <w:r w:rsidR="00154150">
          <w:rPr>
            <w:noProof/>
            <w:webHidden/>
          </w:rPr>
          <w:instrText xml:space="preserve"> PAGEREF _Toc27396217 \h </w:instrText>
        </w:r>
        <w:r w:rsidR="00154150">
          <w:rPr>
            <w:noProof/>
            <w:webHidden/>
          </w:rPr>
        </w:r>
        <w:r w:rsidR="00154150">
          <w:rPr>
            <w:noProof/>
            <w:webHidden/>
          </w:rPr>
          <w:fldChar w:fldCharType="separate"/>
        </w:r>
        <w:r w:rsidR="00154150">
          <w:rPr>
            <w:noProof/>
            <w:webHidden/>
          </w:rPr>
          <w:t>179</w:t>
        </w:r>
        <w:r w:rsidR="00154150">
          <w:rPr>
            <w:noProof/>
            <w:webHidden/>
          </w:rPr>
          <w:fldChar w:fldCharType="end"/>
        </w:r>
      </w:hyperlink>
    </w:p>
    <w:p w14:paraId="343D7A5E" w14:textId="1B79A148" w:rsidR="00154150" w:rsidRDefault="00ED1E5D">
      <w:pPr>
        <w:pStyle w:val="TableofFigures"/>
        <w:rPr>
          <w:rFonts w:asciiTheme="minorHAnsi" w:eastAsiaTheme="minorEastAsia" w:hAnsiTheme="minorHAnsi" w:cstheme="minorBidi"/>
          <w:noProof/>
        </w:rPr>
      </w:pPr>
      <w:hyperlink w:anchor="_Toc27396218" w:history="1">
        <w:r w:rsidR="00154150" w:rsidRPr="00B55E13">
          <w:rPr>
            <w:rStyle w:val="Hyperlink"/>
          </w:rPr>
          <w:t>Tablica 4–4.: Cijene emisijskih jedinica</w:t>
        </w:r>
        <w:r w:rsidR="00154150">
          <w:rPr>
            <w:noProof/>
            <w:webHidden/>
          </w:rPr>
          <w:tab/>
        </w:r>
        <w:r w:rsidR="00154150">
          <w:rPr>
            <w:noProof/>
            <w:webHidden/>
          </w:rPr>
          <w:fldChar w:fldCharType="begin"/>
        </w:r>
        <w:r w:rsidR="00154150">
          <w:rPr>
            <w:noProof/>
            <w:webHidden/>
          </w:rPr>
          <w:instrText xml:space="preserve"> PAGEREF _Toc27396218 \h </w:instrText>
        </w:r>
        <w:r w:rsidR="00154150">
          <w:rPr>
            <w:noProof/>
            <w:webHidden/>
          </w:rPr>
        </w:r>
        <w:r w:rsidR="00154150">
          <w:rPr>
            <w:noProof/>
            <w:webHidden/>
          </w:rPr>
          <w:fldChar w:fldCharType="separate"/>
        </w:r>
        <w:r w:rsidR="00154150">
          <w:rPr>
            <w:noProof/>
            <w:webHidden/>
          </w:rPr>
          <w:t>180</w:t>
        </w:r>
        <w:r w:rsidR="00154150">
          <w:rPr>
            <w:noProof/>
            <w:webHidden/>
          </w:rPr>
          <w:fldChar w:fldCharType="end"/>
        </w:r>
      </w:hyperlink>
    </w:p>
    <w:p w14:paraId="358C37B9" w14:textId="29911D3D" w:rsidR="00154150" w:rsidRDefault="00ED1E5D">
      <w:pPr>
        <w:pStyle w:val="TableofFigures"/>
        <w:rPr>
          <w:rFonts w:asciiTheme="minorHAnsi" w:eastAsiaTheme="minorEastAsia" w:hAnsiTheme="minorHAnsi" w:cstheme="minorBidi"/>
          <w:noProof/>
        </w:rPr>
      </w:pPr>
      <w:hyperlink w:anchor="_Toc27396219" w:history="1">
        <w:r w:rsidR="00154150" w:rsidRPr="00B55E13">
          <w:rPr>
            <w:rStyle w:val="Hyperlink"/>
          </w:rPr>
          <w:t>Tablica 4–5.: Indikativne putanje za udjele OIE do 2030. godine u scenariju s postojećim mjerama</w:t>
        </w:r>
        <w:r w:rsidR="00154150">
          <w:rPr>
            <w:noProof/>
            <w:webHidden/>
          </w:rPr>
          <w:tab/>
        </w:r>
        <w:r w:rsidR="00154150">
          <w:rPr>
            <w:noProof/>
            <w:webHidden/>
          </w:rPr>
          <w:fldChar w:fldCharType="begin"/>
        </w:r>
        <w:r w:rsidR="00154150">
          <w:rPr>
            <w:noProof/>
            <w:webHidden/>
          </w:rPr>
          <w:instrText xml:space="preserve"> PAGEREF _Toc27396219 \h </w:instrText>
        </w:r>
        <w:r w:rsidR="00154150">
          <w:rPr>
            <w:noProof/>
            <w:webHidden/>
          </w:rPr>
        </w:r>
        <w:r w:rsidR="00154150">
          <w:rPr>
            <w:noProof/>
            <w:webHidden/>
          </w:rPr>
          <w:fldChar w:fldCharType="separate"/>
        </w:r>
        <w:r w:rsidR="00154150">
          <w:rPr>
            <w:noProof/>
            <w:webHidden/>
          </w:rPr>
          <w:t>184</w:t>
        </w:r>
        <w:r w:rsidR="00154150">
          <w:rPr>
            <w:noProof/>
            <w:webHidden/>
          </w:rPr>
          <w:fldChar w:fldCharType="end"/>
        </w:r>
      </w:hyperlink>
    </w:p>
    <w:p w14:paraId="5F428A4C" w14:textId="50821B05" w:rsidR="00154150" w:rsidRDefault="00ED1E5D">
      <w:pPr>
        <w:pStyle w:val="TableofFigures"/>
        <w:rPr>
          <w:rFonts w:asciiTheme="minorHAnsi" w:eastAsiaTheme="minorEastAsia" w:hAnsiTheme="minorHAnsi" w:cstheme="minorBidi"/>
          <w:noProof/>
        </w:rPr>
      </w:pPr>
      <w:hyperlink w:anchor="_Toc27396220" w:history="1">
        <w:r w:rsidR="00154150" w:rsidRPr="00B55E13">
          <w:rPr>
            <w:rStyle w:val="Hyperlink"/>
          </w:rPr>
          <w:t>Tablica 4–6.: Ocijenjeni doprinos tehnologija za OIE u bruto neposrednoj potrošnji – Scenarij s postojećim mjerama</w:t>
        </w:r>
        <w:r w:rsidR="00154150">
          <w:rPr>
            <w:noProof/>
            <w:webHidden/>
          </w:rPr>
          <w:tab/>
        </w:r>
        <w:r w:rsidR="00154150">
          <w:rPr>
            <w:noProof/>
            <w:webHidden/>
          </w:rPr>
          <w:fldChar w:fldCharType="begin"/>
        </w:r>
        <w:r w:rsidR="00154150">
          <w:rPr>
            <w:noProof/>
            <w:webHidden/>
          </w:rPr>
          <w:instrText xml:space="preserve"> PAGEREF _Toc27396220 \h </w:instrText>
        </w:r>
        <w:r w:rsidR="00154150">
          <w:rPr>
            <w:noProof/>
            <w:webHidden/>
          </w:rPr>
        </w:r>
        <w:r w:rsidR="00154150">
          <w:rPr>
            <w:noProof/>
            <w:webHidden/>
          </w:rPr>
          <w:fldChar w:fldCharType="separate"/>
        </w:r>
        <w:r w:rsidR="00154150">
          <w:rPr>
            <w:noProof/>
            <w:webHidden/>
          </w:rPr>
          <w:t>187</w:t>
        </w:r>
        <w:r w:rsidR="00154150">
          <w:rPr>
            <w:noProof/>
            <w:webHidden/>
          </w:rPr>
          <w:fldChar w:fldCharType="end"/>
        </w:r>
      </w:hyperlink>
    </w:p>
    <w:p w14:paraId="16C07A80" w14:textId="3764D27D" w:rsidR="00154150" w:rsidRDefault="00ED1E5D">
      <w:pPr>
        <w:pStyle w:val="TableofFigures"/>
        <w:rPr>
          <w:rFonts w:asciiTheme="minorHAnsi" w:eastAsiaTheme="minorEastAsia" w:hAnsiTheme="minorHAnsi" w:cstheme="minorBidi"/>
          <w:noProof/>
        </w:rPr>
      </w:pPr>
      <w:hyperlink w:anchor="_Toc27396221" w:history="1">
        <w:r w:rsidR="00154150" w:rsidRPr="00B55E13">
          <w:rPr>
            <w:rStyle w:val="Hyperlink"/>
          </w:rPr>
          <w:t>Tablica 4–7.: Ocijenjeni doprinos tehnologija za OIE u električnoj energiji – Scenarij s postojećim mjerama</w:t>
        </w:r>
        <w:r w:rsidR="00154150">
          <w:rPr>
            <w:noProof/>
            <w:webHidden/>
          </w:rPr>
          <w:tab/>
        </w:r>
        <w:r w:rsidR="00154150">
          <w:rPr>
            <w:noProof/>
            <w:webHidden/>
          </w:rPr>
          <w:fldChar w:fldCharType="begin"/>
        </w:r>
        <w:r w:rsidR="00154150">
          <w:rPr>
            <w:noProof/>
            <w:webHidden/>
          </w:rPr>
          <w:instrText xml:space="preserve"> PAGEREF _Toc27396221 \h </w:instrText>
        </w:r>
        <w:r w:rsidR="00154150">
          <w:rPr>
            <w:noProof/>
            <w:webHidden/>
          </w:rPr>
        </w:r>
        <w:r w:rsidR="00154150">
          <w:rPr>
            <w:noProof/>
            <w:webHidden/>
          </w:rPr>
          <w:fldChar w:fldCharType="separate"/>
        </w:r>
        <w:r w:rsidR="00154150">
          <w:rPr>
            <w:noProof/>
            <w:webHidden/>
          </w:rPr>
          <w:t>187</w:t>
        </w:r>
        <w:r w:rsidR="00154150">
          <w:rPr>
            <w:noProof/>
            <w:webHidden/>
          </w:rPr>
          <w:fldChar w:fldCharType="end"/>
        </w:r>
      </w:hyperlink>
    </w:p>
    <w:p w14:paraId="712841C3" w14:textId="51E6BF22" w:rsidR="00154150" w:rsidRDefault="00ED1E5D">
      <w:pPr>
        <w:pStyle w:val="TableofFigures"/>
        <w:rPr>
          <w:rFonts w:asciiTheme="minorHAnsi" w:eastAsiaTheme="minorEastAsia" w:hAnsiTheme="minorHAnsi" w:cstheme="minorBidi"/>
          <w:noProof/>
        </w:rPr>
      </w:pPr>
      <w:hyperlink w:anchor="_Toc27396222" w:history="1">
        <w:r w:rsidR="00154150" w:rsidRPr="00B55E13">
          <w:rPr>
            <w:rStyle w:val="Hyperlink"/>
          </w:rPr>
          <w:t>Tablica 4–8.: Ocijenjeni doprinos tehnologija za OIE u grijanju i hlađenju – Scenarij s postojećim mjerama</w:t>
        </w:r>
        <w:r w:rsidR="00154150">
          <w:rPr>
            <w:noProof/>
            <w:webHidden/>
          </w:rPr>
          <w:tab/>
        </w:r>
        <w:r w:rsidR="00154150">
          <w:rPr>
            <w:noProof/>
            <w:webHidden/>
          </w:rPr>
          <w:fldChar w:fldCharType="begin"/>
        </w:r>
        <w:r w:rsidR="00154150">
          <w:rPr>
            <w:noProof/>
            <w:webHidden/>
          </w:rPr>
          <w:instrText xml:space="preserve"> PAGEREF _Toc27396222 \h </w:instrText>
        </w:r>
        <w:r w:rsidR="00154150">
          <w:rPr>
            <w:noProof/>
            <w:webHidden/>
          </w:rPr>
        </w:r>
        <w:r w:rsidR="00154150">
          <w:rPr>
            <w:noProof/>
            <w:webHidden/>
          </w:rPr>
          <w:fldChar w:fldCharType="separate"/>
        </w:r>
        <w:r w:rsidR="00154150">
          <w:rPr>
            <w:noProof/>
            <w:webHidden/>
          </w:rPr>
          <w:t>188</w:t>
        </w:r>
        <w:r w:rsidR="00154150">
          <w:rPr>
            <w:noProof/>
            <w:webHidden/>
          </w:rPr>
          <w:fldChar w:fldCharType="end"/>
        </w:r>
      </w:hyperlink>
    </w:p>
    <w:p w14:paraId="306FB7B3" w14:textId="79AF82BE" w:rsidR="00154150" w:rsidRDefault="00ED1E5D">
      <w:pPr>
        <w:pStyle w:val="TableofFigures"/>
        <w:rPr>
          <w:rFonts w:asciiTheme="minorHAnsi" w:eastAsiaTheme="minorEastAsia" w:hAnsiTheme="minorHAnsi" w:cstheme="minorBidi"/>
          <w:noProof/>
        </w:rPr>
      </w:pPr>
      <w:hyperlink w:anchor="_Toc27396223" w:history="1">
        <w:r w:rsidR="00154150" w:rsidRPr="00B55E13">
          <w:rPr>
            <w:rStyle w:val="Hyperlink"/>
          </w:rPr>
          <w:t>Tablica 4–9.: Ocijenjeni doprinos tehnologija za OIE u prometu – Scenarij s postojećim mjerama</w:t>
        </w:r>
        <w:r w:rsidR="00154150">
          <w:rPr>
            <w:noProof/>
            <w:webHidden/>
          </w:rPr>
          <w:tab/>
        </w:r>
        <w:r w:rsidR="00154150">
          <w:rPr>
            <w:noProof/>
            <w:webHidden/>
          </w:rPr>
          <w:fldChar w:fldCharType="begin"/>
        </w:r>
        <w:r w:rsidR="00154150">
          <w:rPr>
            <w:noProof/>
            <w:webHidden/>
          </w:rPr>
          <w:instrText xml:space="preserve"> PAGEREF _Toc27396223 \h </w:instrText>
        </w:r>
        <w:r w:rsidR="00154150">
          <w:rPr>
            <w:noProof/>
            <w:webHidden/>
          </w:rPr>
        </w:r>
        <w:r w:rsidR="00154150">
          <w:rPr>
            <w:noProof/>
            <w:webHidden/>
          </w:rPr>
          <w:fldChar w:fldCharType="separate"/>
        </w:r>
        <w:r w:rsidR="00154150">
          <w:rPr>
            <w:noProof/>
            <w:webHidden/>
          </w:rPr>
          <w:t>188</w:t>
        </w:r>
        <w:r w:rsidR="00154150">
          <w:rPr>
            <w:noProof/>
            <w:webHidden/>
          </w:rPr>
          <w:fldChar w:fldCharType="end"/>
        </w:r>
      </w:hyperlink>
    </w:p>
    <w:p w14:paraId="48E70A32" w14:textId="36545A37" w:rsidR="00154150" w:rsidRDefault="00ED1E5D">
      <w:pPr>
        <w:pStyle w:val="TableofFigures"/>
        <w:rPr>
          <w:rFonts w:asciiTheme="minorHAnsi" w:eastAsiaTheme="minorEastAsia" w:hAnsiTheme="minorHAnsi" w:cstheme="minorBidi"/>
          <w:noProof/>
        </w:rPr>
      </w:pPr>
      <w:hyperlink w:anchor="_Toc27396224" w:history="1">
        <w:r w:rsidR="00154150" w:rsidRPr="00B55E13">
          <w:rPr>
            <w:rStyle w:val="Hyperlink"/>
          </w:rPr>
          <w:t>Tablica 4–10.: Očekivana snaga elektrana u Scenariju s postojećim mjerama</w:t>
        </w:r>
        <w:r w:rsidR="00154150">
          <w:rPr>
            <w:noProof/>
            <w:webHidden/>
          </w:rPr>
          <w:tab/>
        </w:r>
        <w:r w:rsidR="00154150">
          <w:rPr>
            <w:noProof/>
            <w:webHidden/>
          </w:rPr>
          <w:fldChar w:fldCharType="begin"/>
        </w:r>
        <w:r w:rsidR="00154150">
          <w:rPr>
            <w:noProof/>
            <w:webHidden/>
          </w:rPr>
          <w:instrText xml:space="preserve"> PAGEREF _Toc27396224 \h </w:instrText>
        </w:r>
        <w:r w:rsidR="00154150">
          <w:rPr>
            <w:noProof/>
            <w:webHidden/>
          </w:rPr>
        </w:r>
        <w:r w:rsidR="00154150">
          <w:rPr>
            <w:noProof/>
            <w:webHidden/>
          </w:rPr>
          <w:fldChar w:fldCharType="separate"/>
        </w:r>
        <w:r w:rsidR="00154150">
          <w:rPr>
            <w:noProof/>
            <w:webHidden/>
          </w:rPr>
          <w:t>189</w:t>
        </w:r>
        <w:r w:rsidR="00154150">
          <w:rPr>
            <w:noProof/>
            <w:webHidden/>
          </w:rPr>
          <w:fldChar w:fldCharType="end"/>
        </w:r>
      </w:hyperlink>
    </w:p>
    <w:p w14:paraId="627EF488" w14:textId="40000E49" w:rsidR="00154150" w:rsidRDefault="00ED1E5D">
      <w:pPr>
        <w:pStyle w:val="TableofFigures"/>
        <w:rPr>
          <w:rFonts w:asciiTheme="minorHAnsi" w:eastAsiaTheme="minorEastAsia" w:hAnsiTheme="minorHAnsi" w:cstheme="minorBidi"/>
          <w:noProof/>
        </w:rPr>
      </w:pPr>
      <w:hyperlink w:anchor="_Toc27396225" w:history="1">
        <w:r w:rsidR="00154150" w:rsidRPr="00B55E13">
          <w:rPr>
            <w:rStyle w:val="Hyperlink"/>
          </w:rPr>
          <w:t>Tablica 4–11.: Struktura primarne i neposredne potrošnje energije po sektorima u 2017. godini (bilanca prema EUROSTAT metodologiji)</w:t>
        </w:r>
        <w:r w:rsidR="00154150">
          <w:rPr>
            <w:noProof/>
            <w:webHidden/>
          </w:rPr>
          <w:tab/>
        </w:r>
        <w:r w:rsidR="00154150">
          <w:rPr>
            <w:noProof/>
            <w:webHidden/>
          </w:rPr>
          <w:fldChar w:fldCharType="begin"/>
        </w:r>
        <w:r w:rsidR="00154150">
          <w:rPr>
            <w:noProof/>
            <w:webHidden/>
          </w:rPr>
          <w:instrText xml:space="preserve"> PAGEREF _Toc27396225 \h </w:instrText>
        </w:r>
        <w:r w:rsidR="00154150">
          <w:rPr>
            <w:noProof/>
            <w:webHidden/>
          </w:rPr>
        </w:r>
        <w:r w:rsidR="00154150">
          <w:rPr>
            <w:noProof/>
            <w:webHidden/>
          </w:rPr>
          <w:fldChar w:fldCharType="separate"/>
        </w:r>
        <w:r w:rsidR="00154150">
          <w:rPr>
            <w:noProof/>
            <w:webHidden/>
          </w:rPr>
          <w:t>190</w:t>
        </w:r>
        <w:r w:rsidR="00154150">
          <w:rPr>
            <w:noProof/>
            <w:webHidden/>
          </w:rPr>
          <w:fldChar w:fldCharType="end"/>
        </w:r>
      </w:hyperlink>
    </w:p>
    <w:p w14:paraId="3B77F37A" w14:textId="4EF307E7" w:rsidR="00154150" w:rsidRDefault="00ED1E5D">
      <w:pPr>
        <w:pStyle w:val="TableofFigures"/>
        <w:rPr>
          <w:rFonts w:asciiTheme="minorHAnsi" w:eastAsiaTheme="minorEastAsia" w:hAnsiTheme="minorHAnsi" w:cstheme="minorBidi"/>
          <w:noProof/>
        </w:rPr>
      </w:pPr>
      <w:hyperlink w:anchor="_Toc27396226" w:history="1">
        <w:r w:rsidR="00154150" w:rsidRPr="00B55E13">
          <w:rPr>
            <w:rStyle w:val="Hyperlink"/>
          </w:rPr>
          <w:t>Tablica 4–12.: Struktura primarne i neposredne potrošnje energije po energentima u 2017. godini (bilanca prema EUROSTAT metodologiji)</w:t>
        </w:r>
        <w:r w:rsidR="00154150">
          <w:rPr>
            <w:noProof/>
            <w:webHidden/>
          </w:rPr>
          <w:tab/>
        </w:r>
        <w:r w:rsidR="00154150">
          <w:rPr>
            <w:noProof/>
            <w:webHidden/>
          </w:rPr>
          <w:fldChar w:fldCharType="begin"/>
        </w:r>
        <w:r w:rsidR="00154150">
          <w:rPr>
            <w:noProof/>
            <w:webHidden/>
          </w:rPr>
          <w:instrText xml:space="preserve"> PAGEREF _Toc27396226 \h </w:instrText>
        </w:r>
        <w:r w:rsidR="00154150">
          <w:rPr>
            <w:noProof/>
            <w:webHidden/>
          </w:rPr>
        </w:r>
        <w:r w:rsidR="00154150">
          <w:rPr>
            <w:noProof/>
            <w:webHidden/>
          </w:rPr>
          <w:fldChar w:fldCharType="separate"/>
        </w:r>
        <w:r w:rsidR="00154150">
          <w:rPr>
            <w:noProof/>
            <w:webHidden/>
          </w:rPr>
          <w:t>191</w:t>
        </w:r>
        <w:r w:rsidR="00154150">
          <w:rPr>
            <w:noProof/>
            <w:webHidden/>
          </w:rPr>
          <w:fldChar w:fldCharType="end"/>
        </w:r>
      </w:hyperlink>
    </w:p>
    <w:p w14:paraId="03C462A5" w14:textId="5B69B9FD" w:rsidR="00154150" w:rsidRDefault="00ED1E5D">
      <w:pPr>
        <w:pStyle w:val="TableofFigures"/>
        <w:rPr>
          <w:rFonts w:asciiTheme="minorHAnsi" w:eastAsiaTheme="minorEastAsia" w:hAnsiTheme="minorHAnsi" w:cstheme="minorBidi"/>
          <w:noProof/>
        </w:rPr>
      </w:pPr>
      <w:hyperlink w:anchor="_Toc27396227" w:history="1">
        <w:r w:rsidR="00154150" w:rsidRPr="00B55E13">
          <w:rPr>
            <w:rStyle w:val="Hyperlink"/>
          </w:rPr>
          <w:t>Tablica 4–13.: Potencijali za primjenu visokoučinkovite kogeneracije i učinkovitog centraliziranog grijanja i hlađenja</w:t>
        </w:r>
        <w:r w:rsidR="00154150">
          <w:rPr>
            <w:noProof/>
            <w:webHidden/>
          </w:rPr>
          <w:tab/>
        </w:r>
        <w:r w:rsidR="00154150">
          <w:rPr>
            <w:noProof/>
            <w:webHidden/>
          </w:rPr>
          <w:fldChar w:fldCharType="begin"/>
        </w:r>
        <w:r w:rsidR="00154150">
          <w:rPr>
            <w:noProof/>
            <w:webHidden/>
          </w:rPr>
          <w:instrText xml:space="preserve"> PAGEREF _Toc27396227 \h </w:instrText>
        </w:r>
        <w:r w:rsidR="00154150">
          <w:rPr>
            <w:noProof/>
            <w:webHidden/>
          </w:rPr>
        </w:r>
        <w:r w:rsidR="00154150">
          <w:rPr>
            <w:noProof/>
            <w:webHidden/>
          </w:rPr>
          <w:fldChar w:fldCharType="separate"/>
        </w:r>
        <w:r w:rsidR="00154150">
          <w:rPr>
            <w:noProof/>
            <w:webHidden/>
          </w:rPr>
          <w:t>192</w:t>
        </w:r>
        <w:r w:rsidR="00154150">
          <w:rPr>
            <w:noProof/>
            <w:webHidden/>
          </w:rPr>
          <w:fldChar w:fldCharType="end"/>
        </w:r>
      </w:hyperlink>
    </w:p>
    <w:p w14:paraId="200906D2" w14:textId="342E6246" w:rsidR="00154150" w:rsidRDefault="00ED1E5D">
      <w:pPr>
        <w:pStyle w:val="TableofFigures"/>
        <w:rPr>
          <w:rFonts w:asciiTheme="minorHAnsi" w:eastAsiaTheme="minorEastAsia" w:hAnsiTheme="minorHAnsi" w:cstheme="minorBidi"/>
          <w:noProof/>
        </w:rPr>
      </w:pPr>
      <w:hyperlink w:anchor="_Toc27396228" w:history="1">
        <w:r w:rsidR="00154150" w:rsidRPr="00B55E13">
          <w:rPr>
            <w:rStyle w:val="Hyperlink"/>
          </w:rPr>
          <w:t>Tablica 4–14. Očekivana proizvodnja primarne energije – Scenarij s postojećim mjerama</w:t>
        </w:r>
        <w:r w:rsidR="00154150">
          <w:rPr>
            <w:noProof/>
            <w:webHidden/>
          </w:rPr>
          <w:tab/>
        </w:r>
        <w:r w:rsidR="00154150">
          <w:rPr>
            <w:noProof/>
            <w:webHidden/>
          </w:rPr>
          <w:fldChar w:fldCharType="begin"/>
        </w:r>
        <w:r w:rsidR="00154150">
          <w:rPr>
            <w:noProof/>
            <w:webHidden/>
          </w:rPr>
          <w:instrText xml:space="preserve"> PAGEREF _Toc27396228 \h </w:instrText>
        </w:r>
        <w:r w:rsidR="00154150">
          <w:rPr>
            <w:noProof/>
            <w:webHidden/>
          </w:rPr>
        </w:r>
        <w:r w:rsidR="00154150">
          <w:rPr>
            <w:noProof/>
            <w:webHidden/>
          </w:rPr>
          <w:fldChar w:fldCharType="separate"/>
        </w:r>
        <w:r w:rsidR="00154150">
          <w:rPr>
            <w:noProof/>
            <w:webHidden/>
          </w:rPr>
          <w:t>195</w:t>
        </w:r>
        <w:r w:rsidR="00154150">
          <w:rPr>
            <w:noProof/>
            <w:webHidden/>
          </w:rPr>
          <w:fldChar w:fldCharType="end"/>
        </w:r>
      </w:hyperlink>
    </w:p>
    <w:p w14:paraId="15576695" w14:textId="0E769588" w:rsidR="00154150" w:rsidRDefault="00ED1E5D">
      <w:pPr>
        <w:pStyle w:val="TableofFigures"/>
        <w:rPr>
          <w:rFonts w:asciiTheme="minorHAnsi" w:eastAsiaTheme="minorEastAsia" w:hAnsiTheme="minorHAnsi" w:cstheme="minorBidi"/>
          <w:noProof/>
        </w:rPr>
      </w:pPr>
      <w:hyperlink w:anchor="_Toc27396229" w:history="1">
        <w:r w:rsidR="00154150" w:rsidRPr="00B55E13">
          <w:rPr>
            <w:rStyle w:val="Hyperlink"/>
          </w:rPr>
          <w:t>Tablica 4–15. Očekivana ukupna potrošnja energije – Scenarij s postojećim mjerama</w:t>
        </w:r>
        <w:r w:rsidR="00154150">
          <w:rPr>
            <w:noProof/>
            <w:webHidden/>
          </w:rPr>
          <w:tab/>
        </w:r>
        <w:r w:rsidR="00154150">
          <w:rPr>
            <w:noProof/>
            <w:webHidden/>
          </w:rPr>
          <w:fldChar w:fldCharType="begin"/>
        </w:r>
        <w:r w:rsidR="00154150">
          <w:rPr>
            <w:noProof/>
            <w:webHidden/>
          </w:rPr>
          <w:instrText xml:space="preserve"> PAGEREF _Toc27396229 \h </w:instrText>
        </w:r>
        <w:r w:rsidR="00154150">
          <w:rPr>
            <w:noProof/>
            <w:webHidden/>
          </w:rPr>
        </w:r>
        <w:r w:rsidR="00154150">
          <w:rPr>
            <w:noProof/>
            <w:webHidden/>
          </w:rPr>
          <w:fldChar w:fldCharType="separate"/>
        </w:r>
        <w:r w:rsidR="00154150">
          <w:rPr>
            <w:noProof/>
            <w:webHidden/>
          </w:rPr>
          <w:t>196</w:t>
        </w:r>
        <w:r w:rsidR="00154150">
          <w:rPr>
            <w:noProof/>
            <w:webHidden/>
          </w:rPr>
          <w:fldChar w:fldCharType="end"/>
        </w:r>
      </w:hyperlink>
    </w:p>
    <w:p w14:paraId="55070FC2" w14:textId="6C97FDEF" w:rsidR="00154150" w:rsidRDefault="00ED1E5D">
      <w:pPr>
        <w:pStyle w:val="TableofFigures"/>
        <w:rPr>
          <w:rFonts w:asciiTheme="minorHAnsi" w:eastAsiaTheme="minorEastAsia" w:hAnsiTheme="minorHAnsi" w:cstheme="minorBidi"/>
          <w:noProof/>
        </w:rPr>
      </w:pPr>
      <w:hyperlink w:anchor="_Toc27396230" w:history="1">
        <w:r w:rsidR="00154150" w:rsidRPr="00B55E13">
          <w:rPr>
            <w:rStyle w:val="Hyperlink"/>
          </w:rPr>
          <w:t>Tablica 5–1.: Potencijal smanjenja emisije stakleničkih plinova dodatnih mjera, energetski izvori</w:t>
        </w:r>
        <w:r w:rsidR="00154150">
          <w:rPr>
            <w:noProof/>
            <w:webHidden/>
          </w:rPr>
          <w:tab/>
        </w:r>
        <w:r w:rsidR="00154150">
          <w:rPr>
            <w:noProof/>
            <w:webHidden/>
          </w:rPr>
          <w:fldChar w:fldCharType="begin"/>
        </w:r>
        <w:r w:rsidR="00154150">
          <w:rPr>
            <w:noProof/>
            <w:webHidden/>
          </w:rPr>
          <w:instrText xml:space="preserve"> PAGEREF _Toc27396230 \h </w:instrText>
        </w:r>
        <w:r w:rsidR="00154150">
          <w:rPr>
            <w:noProof/>
            <w:webHidden/>
          </w:rPr>
        </w:r>
        <w:r w:rsidR="00154150">
          <w:rPr>
            <w:noProof/>
            <w:webHidden/>
          </w:rPr>
          <w:fldChar w:fldCharType="separate"/>
        </w:r>
        <w:r w:rsidR="00154150">
          <w:rPr>
            <w:noProof/>
            <w:webHidden/>
          </w:rPr>
          <w:t>224</w:t>
        </w:r>
        <w:r w:rsidR="00154150">
          <w:rPr>
            <w:noProof/>
            <w:webHidden/>
          </w:rPr>
          <w:fldChar w:fldCharType="end"/>
        </w:r>
      </w:hyperlink>
    </w:p>
    <w:p w14:paraId="0AF47712" w14:textId="12897EBC" w:rsidR="00154150" w:rsidRDefault="00ED1E5D">
      <w:pPr>
        <w:pStyle w:val="TableofFigures"/>
        <w:rPr>
          <w:rFonts w:asciiTheme="minorHAnsi" w:eastAsiaTheme="minorEastAsia" w:hAnsiTheme="minorHAnsi" w:cstheme="minorBidi"/>
          <w:noProof/>
        </w:rPr>
      </w:pPr>
      <w:hyperlink w:anchor="_Toc27396231" w:history="1">
        <w:r w:rsidR="00154150" w:rsidRPr="00B55E13">
          <w:rPr>
            <w:rStyle w:val="Hyperlink"/>
          </w:rPr>
          <w:t>Tablica 5–2.: Potencijal smanjenja emisije stakleničkih plinova dodatnih mjera, ne-energetski izvori</w:t>
        </w:r>
        <w:r w:rsidR="00154150">
          <w:rPr>
            <w:noProof/>
            <w:webHidden/>
          </w:rPr>
          <w:tab/>
        </w:r>
        <w:r w:rsidR="00154150">
          <w:rPr>
            <w:noProof/>
            <w:webHidden/>
          </w:rPr>
          <w:fldChar w:fldCharType="begin"/>
        </w:r>
        <w:r w:rsidR="00154150">
          <w:rPr>
            <w:noProof/>
            <w:webHidden/>
          </w:rPr>
          <w:instrText xml:space="preserve"> PAGEREF _Toc27396231 \h </w:instrText>
        </w:r>
        <w:r w:rsidR="00154150">
          <w:rPr>
            <w:noProof/>
            <w:webHidden/>
          </w:rPr>
        </w:r>
        <w:r w:rsidR="00154150">
          <w:rPr>
            <w:noProof/>
            <w:webHidden/>
          </w:rPr>
          <w:fldChar w:fldCharType="separate"/>
        </w:r>
        <w:r w:rsidR="00154150">
          <w:rPr>
            <w:noProof/>
            <w:webHidden/>
          </w:rPr>
          <w:t>225</w:t>
        </w:r>
        <w:r w:rsidR="00154150">
          <w:rPr>
            <w:noProof/>
            <w:webHidden/>
          </w:rPr>
          <w:fldChar w:fldCharType="end"/>
        </w:r>
      </w:hyperlink>
    </w:p>
    <w:p w14:paraId="5F88AF1A" w14:textId="2B373FE3" w:rsidR="00154150" w:rsidRDefault="00ED1E5D">
      <w:pPr>
        <w:pStyle w:val="TableofFigures"/>
        <w:rPr>
          <w:rFonts w:asciiTheme="minorHAnsi" w:eastAsiaTheme="minorEastAsia" w:hAnsiTheme="minorHAnsi" w:cstheme="minorBidi"/>
          <w:noProof/>
        </w:rPr>
      </w:pPr>
      <w:hyperlink w:anchor="_Toc27396232" w:history="1">
        <w:r w:rsidR="00154150" w:rsidRPr="00B55E13">
          <w:rPr>
            <w:rStyle w:val="Hyperlink"/>
          </w:rPr>
          <w:t>Tablica 5–3.: Emisije stakleničkih plinova iz međunarodnog zračnog prometa</w:t>
        </w:r>
        <w:r w:rsidR="00154150">
          <w:rPr>
            <w:noProof/>
            <w:webHidden/>
          </w:rPr>
          <w:tab/>
        </w:r>
        <w:r w:rsidR="00154150">
          <w:rPr>
            <w:noProof/>
            <w:webHidden/>
          </w:rPr>
          <w:fldChar w:fldCharType="begin"/>
        </w:r>
        <w:r w:rsidR="00154150">
          <w:rPr>
            <w:noProof/>
            <w:webHidden/>
          </w:rPr>
          <w:instrText xml:space="preserve"> PAGEREF _Toc27396232 \h </w:instrText>
        </w:r>
        <w:r w:rsidR="00154150">
          <w:rPr>
            <w:noProof/>
            <w:webHidden/>
          </w:rPr>
        </w:r>
        <w:r w:rsidR="00154150">
          <w:rPr>
            <w:noProof/>
            <w:webHidden/>
          </w:rPr>
          <w:fldChar w:fldCharType="separate"/>
        </w:r>
        <w:r w:rsidR="00154150">
          <w:rPr>
            <w:noProof/>
            <w:webHidden/>
          </w:rPr>
          <w:t>227</w:t>
        </w:r>
        <w:r w:rsidR="00154150">
          <w:rPr>
            <w:noProof/>
            <w:webHidden/>
          </w:rPr>
          <w:fldChar w:fldCharType="end"/>
        </w:r>
      </w:hyperlink>
    </w:p>
    <w:p w14:paraId="19B24FD0" w14:textId="781A6AA5" w:rsidR="00154150" w:rsidRDefault="00ED1E5D">
      <w:pPr>
        <w:pStyle w:val="TableofFigures"/>
        <w:rPr>
          <w:rFonts w:asciiTheme="minorHAnsi" w:eastAsiaTheme="minorEastAsia" w:hAnsiTheme="minorHAnsi" w:cstheme="minorBidi"/>
          <w:noProof/>
        </w:rPr>
      </w:pPr>
      <w:hyperlink w:anchor="_Toc27396233" w:history="1">
        <w:r w:rsidR="00154150" w:rsidRPr="00B55E13">
          <w:rPr>
            <w:rStyle w:val="Hyperlink"/>
          </w:rPr>
          <w:t>Tablica 5–4.: Procjena ukupnih ulaganja za razdoblja 2021. – 2030. i 2031. – 2050.</w:t>
        </w:r>
        <w:r w:rsidR="00154150">
          <w:rPr>
            <w:noProof/>
            <w:webHidden/>
          </w:rPr>
          <w:tab/>
        </w:r>
        <w:r w:rsidR="00154150">
          <w:rPr>
            <w:noProof/>
            <w:webHidden/>
          </w:rPr>
          <w:fldChar w:fldCharType="begin"/>
        </w:r>
        <w:r w:rsidR="00154150">
          <w:rPr>
            <w:noProof/>
            <w:webHidden/>
          </w:rPr>
          <w:instrText xml:space="preserve"> PAGEREF _Toc27396233 \h </w:instrText>
        </w:r>
        <w:r w:rsidR="00154150">
          <w:rPr>
            <w:noProof/>
            <w:webHidden/>
          </w:rPr>
        </w:r>
        <w:r w:rsidR="00154150">
          <w:rPr>
            <w:noProof/>
            <w:webHidden/>
          </w:rPr>
          <w:fldChar w:fldCharType="separate"/>
        </w:r>
        <w:r w:rsidR="00154150">
          <w:rPr>
            <w:noProof/>
            <w:webHidden/>
          </w:rPr>
          <w:t>229</w:t>
        </w:r>
        <w:r w:rsidR="00154150">
          <w:rPr>
            <w:noProof/>
            <w:webHidden/>
          </w:rPr>
          <w:fldChar w:fldCharType="end"/>
        </w:r>
      </w:hyperlink>
    </w:p>
    <w:p w14:paraId="54CBBDF6" w14:textId="1C1F2CE9" w:rsidR="00A87274" w:rsidRPr="00A87274" w:rsidRDefault="00A87274" w:rsidP="00A87274">
      <w:r>
        <w:fldChar w:fldCharType="end"/>
      </w:r>
    </w:p>
    <w:p w14:paraId="2E99EC58" w14:textId="02288932" w:rsidR="00935CE3" w:rsidRDefault="00661429" w:rsidP="00935CE3">
      <w:pPr>
        <w:pStyle w:val="Heading1"/>
        <w:numPr>
          <w:ilvl w:val="0"/>
          <w:numId w:val="42"/>
        </w:numPr>
      </w:pPr>
      <w:bookmarkStart w:id="670" w:name="_Toc27396130"/>
      <w:bookmarkStart w:id="671" w:name="_Toc531935277"/>
      <w:bookmarkStart w:id="672" w:name="_Toc531945139"/>
      <w:bookmarkStart w:id="673" w:name="_Toc6302397"/>
      <w:r>
        <w:t>POPIS KRATICA</w:t>
      </w:r>
      <w:bookmarkEnd w:id="670"/>
    </w:p>
    <w:p w14:paraId="46174C00" w14:textId="7B940EEB" w:rsidR="00D1079C" w:rsidRDefault="00D1079C" w:rsidP="007778B7">
      <w:pPr>
        <w:spacing w:before="120" w:after="0"/>
        <w:contextualSpacing/>
        <w:jc w:val="left"/>
      </w:pPr>
      <w:r w:rsidRPr="007145ED">
        <w:rPr>
          <w:rFonts w:asciiTheme="minorBidi" w:hAnsiTheme="minorBidi" w:cstheme="minorBidi"/>
        </w:rPr>
        <w:t>AMPEU</w:t>
      </w:r>
      <w:r>
        <w:t xml:space="preserve"> – </w:t>
      </w:r>
      <w:r w:rsidRPr="007145ED">
        <w:rPr>
          <w:rFonts w:asciiTheme="minorBidi" w:hAnsiTheme="minorBidi" w:cstheme="minorBidi"/>
        </w:rPr>
        <w:t>Agencij</w:t>
      </w:r>
      <w:r>
        <w:rPr>
          <w:rFonts w:asciiTheme="minorBidi" w:hAnsiTheme="minorBidi" w:cstheme="minorBidi"/>
        </w:rPr>
        <w:t>a</w:t>
      </w:r>
      <w:r w:rsidRPr="007145ED">
        <w:rPr>
          <w:rFonts w:asciiTheme="minorBidi" w:hAnsiTheme="minorBidi" w:cstheme="minorBidi"/>
        </w:rPr>
        <w:t xml:space="preserve"> za mobilnost i programe EU</w:t>
      </w:r>
    </w:p>
    <w:p w14:paraId="3169764A" w14:textId="71C5858D" w:rsidR="00F7678C" w:rsidRDefault="00F7678C" w:rsidP="007778B7">
      <w:pPr>
        <w:spacing w:before="120" w:after="0"/>
        <w:contextualSpacing/>
        <w:jc w:val="left"/>
      </w:pPr>
      <w:r>
        <w:t>APN – Agencija za promet nekretninama</w:t>
      </w:r>
    </w:p>
    <w:p w14:paraId="41A168E9" w14:textId="30F46D78" w:rsidR="00B532DC" w:rsidRDefault="00B532DC" w:rsidP="007778B7">
      <w:pPr>
        <w:spacing w:before="120" w:after="0"/>
        <w:contextualSpacing/>
        <w:jc w:val="left"/>
      </w:pPr>
      <w:r>
        <w:t>AZOL</w:t>
      </w:r>
      <w:r w:rsidR="00FC1326">
        <w:t>P</w:t>
      </w:r>
      <w:r>
        <w:t xml:space="preserve">P – </w:t>
      </w:r>
      <w:r w:rsidRPr="00B532DC">
        <w:t>Agencija za obalni linijski pomorski promet</w:t>
      </w:r>
    </w:p>
    <w:p w14:paraId="0D7FFBED" w14:textId="0E0B438F" w:rsidR="00DC6265" w:rsidRDefault="00DC6265" w:rsidP="007778B7">
      <w:pPr>
        <w:spacing w:before="120" w:after="0"/>
        <w:contextualSpacing/>
        <w:jc w:val="left"/>
      </w:pPr>
      <w:r>
        <w:t>AZU – Agencija za ugljikovodike</w:t>
      </w:r>
    </w:p>
    <w:p w14:paraId="612B7247" w14:textId="3EBB2A81" w:rsidR="008E7233" w:rsidRDefault="008E7233" w:rsidP="007778B7">
      <w:pPr>
        <w:spacing w:before="120" w:after="0"/>
        <w:contextualSpacing/>
        <w:jc w:val="left"/>
      </w:pPr>
      <w:r>
        <w:t>AZVO – Agencija za znanost i visoko obrazovanje</w:t>
      </w:r>
    </w:p>
    <w:p w14:paraId="799B498A" w14:textId="7ECCAFC4" w:rsidR="0094588F" w:rsidRDefault="0094588F" w:rsidP="007778B7">
      <w:pPr>
        <w:spacing w:before="120" w:after="0"/>
        <w:contextualSpacing/>
        <w:jc w:val="left"/>
      </w:pPr>
      <w:r>
        <w:t xml:space="preserve">BDP – </w:t>
      </w:r>
      <w:r w:rsidR="00A4765B">
        <w:t>b</w:t>
      </w:r>
      <w:r>
        <w:t>ruto domaći proizvod</w:t>
      </w:r>
    </w:p>
    <w:p w14:paraId="61FCB33A" w14:textId="08C38D3A" w:rsidR="00D1079C" w:rsidRDefault="00D1079C" w:rsidP="007778B7">
      <w:pPr>
        <w:spacing w:before="120" w:after="0"/>
        <w:contextualSpacing/>
        <w:jc w:val="left"/>
      </w:pPr>
      <w:r>
        <w:t xml:space="preserve">CEF – </w:t>
      </w:r>
      <w:r w:rsidRPr="00D1079C">
        <w:t>Instrument za povezivanje Europe</w:t>
      </w:r>
      <w:r>
        <w:t xml:space="preserve"> (eng. Connecting Europe Facility)</w:t>
      </w:r>
    </w:p>
    <w:p w14:paraId="0449E56F" w14:textId="772E3EA3" w:rsidR="004358FC" w:rsidRDefault="004358FC" w:rsidP="007778B7">
      <w:pPr>
        <w:spacing w:before="120" w:after="0"/>
        <w:contextualSpacing/>
        <w:jc w:val="left"/>
      </w:pPr>
      <w:r>
        <w:t>CTS – centralizirani toplinski sustav</w:t>
      </w:r>
    </w:p>
    <w:p w14:paraId="56732EE8" w14:textId="78FC0C51" w:rsidR="004606DB" w:rsidRDefault="004606DB" w:rsidP="007778B7">
      <w:pPr>
        <w:spacing w:before="120" w:after="0"/>
        <w:contextualSpacing/>
        <w:jc w:val="left"/>
      </w:pPr>
      <w:r>
        <w:t>DZIV – Državni zavo</w:t>
      </w:r>
      <w:r w:rsidR="00DB094A">
        <w:t>d</w:t>
      </w:r>
      <w:r>
        <w:t xml:space="preserve"> za intelektualno vlasništvo</w:t>
      </w:r>
    </w:p>
    <w:p w14:paraId="2A89D8E1" w14:textId="702BAC05" w:rsidR="004606DB" w:rsidRDefault="004606DB" w:rsidP="007778B7">
      <w:pPr>
        <w:spacing w:before="120" w:after="0"/>
        <w:contextualSpacing/>
        <w:jc w:val="left"/>
      </w:pPr>
      <w:r>
        <w:t>DZS – Državni zavod za statistiku</w:t>
      </w:r>
    </w:p>
    <w:p w14:paraId="26DE84FA" w14:textId="32D82ED8" w:rsidR="00DC6265" w:rsidRDefault="00DC6265" w:rsidP="007778B7">
      <w:pPr>
        <w:spacing w:before="120" w:after="0"/>
        <w:contextualSpacing/>
        <w:jc w:val="left"/>
      </w:pPr>
      <w:r>
        <w:t>EES – elektroenergetski sustav</w:t>
      </w:r>
    </w:p>
    <w:p w14:paraId="615CCFA7" w14:textId="11B6A4D7" w:rsidR="00856F25" w:rsidRDefault="00856F25" w:rsidP="007778B7">
      <w:pPr>
        <w:spacing w:before="120" w:after="0"/>
        <w:contextualSpacing/>
        <w:jc w:val="left"/>
      </w:pPr>
      <w:r w:rsidRPr="00856F25">
        <w:t>EFRR</w:t>
      </w:r>
      <w:r>
        <w:t xml:space="preserve"> – Europski fond za regionalni razvoj</w:t>
      </w:r>
    </w:p>
    <w:p w14:paraId="52CF0531" w14:textId="1C035FF6" w:rsidR="00A4765B" w:rsidRDefault="00A4765B" w:rsidP="007778B7">
      <w:pPr>
        <w:spacing w:before="120" w:after="0"/>
        <w:contextualSpacing/>
        <w:jc w:val="left"/>
      </w:pPr>
      <w:r>
        <w:t>EnU – energetska učinkovitost</w:t>
      </w:r>
    </w:p>
    <w:p w14:paraId="6E6AEA76" w14:textId="3413732E" w:rsidR="00DA7284" w:rsidRDefault="00DA7284" w:rsidP="007778B7">
      <w:pPr>
        <w:spacing w:before="120" w:after="0"/>
        <w:contextualSpacing/>
        <w:jc w:val="left"/>
      </w:pPr>
      <w:r>
        <w:t xml:space="preserve">ESCO </w:t>
      </w:r>
      <w:r w:rsidR="0002322F">
        <w:t>–</w:t>
      </w:r>
      <w:r>
        <w:t xml:space="preserve"> </w:t>
      </w:r>
      <w:r w:rsidR="00A4765B">
        <w:t>t</w:t>
      </w:r>
      <w:r w:rsidR="0002322F">
        <w:t xml:space="preserve">vrtka </w:t>
      </w:r>
      <w:r w:rsidR="0002322F" w:rsidRPr="0002322F">
        <w:t>za pružanje energetskih usluga (eng. Energy Service Company)</w:t>
      </w:r>
    </w:p>
    <w:p w14:paraId="14533428" w14:textId="5152BEB4" w:rsidR="00C15F8E" w:rsidRDefault="00C15F8E" w:rsidP="007778B7">
      <w:pPr>
        <w:spacing w:before="120" w:after="0"/>
        <w:contextualSpacing/>
        <w:jc w:val="left"/>
      </w:pPr>
      <w:r>
        <w:t>ESIF – Europski strukturni i investicijski fondovi</w:t>
      </w:r>
    </w:p>
    <w:p w14:paraId="0F289EDD" w14:textId="763F0596" w:rsidR="007A7028" w:rsidRDefault="007A7028" w:rsidP="007778B7">
      <w:pPr>
        <w:spacing w:before="120" w:after="0"/>
        <w:contextualSpacing/>
        <w:jc w:val="left"/>
      </w:pPr>
      <w:r>
        <w:t>ETS – Sustav trgovanja emisijskim jedinicama</w:t>
      </w:r>
      <w:r w:rsidR="0002322F">
        <w:t xml:space="preserve"> (</w:t>
      </w:r>
      <w:r w:rsidR="0002322F" w:rsidRPr="00C33952">
        <w:t>eng</w:t>
      </w:r>
      <w:r w:rsidR="0002322F">
        <w:t xml:space="preserve">. </w:t>
      </w:r>
      <w:r w:rsidR="00C33952" w:rsidRPr="00C33952">
        <w:t>Emissions Trading System</w:t>
      </w:r>
      <w:r w:rsidR="0002322F">
        <w:t>)</w:t>
      </w:r>
    </w:p>
    <w:p w14:paraId="48D2B790" w14:textId="591F45FA" w:rsidR="00935CE3" w:rsidRDefault="00184266" w:rsidP="007778B7">
      <w:pPr>
        <w:spacing w:before="120" w:after="0"/>
        <w:contextualSpacing/>
        <w:jc w:val="left"/>
      </w:pPr>
      <w:r>
        <w:t>EU</w:t>
      </w:r>
      <w:r w:rsidR="00356582">
        <w:t xml:space="preserve"> – Europska unija</w:t>
      </w:r>
    </w:p>
    <w:p w14:paraId="43718531" w14:textId="675B95AF" w:rsidR="00AA0264" w:rsidRDefault="00AA0264" w:rsidP="007778B7">
      <w:pPr>
        <w:spacing w:before="120" w:after="0"/>
        <w:contextualSpacing/>
        <w:jc w:val="left"/>
      </w:pPr>
      <w:r>
        <w:t xml:space="preserve">FI – </w:t>
      </w:r>
      <w:r w:rsidR="00A4765B">
        <w:t>f</w:t>
      </w:r>
      <w:r>
        <w:t>inancijski instrumenti</w:t>
      </w:r>
    </w:p>
    <w:p w14:paraId="13BCBEE9" w14:textId="5362EE91" w:rsidR="00D1079C" w:rsidRDefault="00D1079C" w:rsidP="007778B7">
      <w:pPr>
        <w:spacing w:before="120" w:after="0"/>
        <w:contextualSpacing/>
        <w:jc w:val="left"/>
      </w:pPr>
      <w:r>
        <w:t xml:space="preserve">FRL – </w:t>
      </w:r>
      <w:r w:rsidRPr="00D11B75">
        <w:t>referentna razina za šume (</w:t>
      </w:r>
      <w:r>
        <w:t xml:space="preserve">eng. </w:t>
      </w:r>
      <w:r w:rsidRPr="00D11B75">
        <w:t>Forest Reference Level</w:t>
      </w:r>
      <w:r>
        <w:t>)</w:t>
      </w:r>
    </w:p>
    <w:p w14:paraId="64A617C7" w14:textId="4A6B5C32" w:rsidR="00DA7284" w:rsidRDefault="00DA7284" w:rsidP="007778B7">
      <w:pPr>
        <w:spacing w:before="120" w:after="0"/>
        <w:contextualSpacing/>
        <w:jc w:val="left"/>
      </w:pPr>
      <w:r>
        <w:t>FZOEU – Fond za zaštitu okoliša i energetsku učinkovitost</w:t>
      </w:r>
    </w:p>
    <w:p w14:paraId="71D3B6DB" w14:textId="7BAFAB92" w:rsidR="00D1079C" w:rsidRDefault="00D1079C" w:rsidP="007778B7">
      <w:pPr>
        <w:spacing w:before="120" w:after="0"/>
        <w:contextualSpacing/>
        <w:jc w:val="left"/>
      </w:pPr>
      <w:r w:rsidRPr="007145ED">
        <w:t>HAMAG-BICRO</w:t>
      </w:r>
      <w:r>
        <w:t xml:space="preserve"> – </w:t>
      </w:r>
      <w:r w:rsidRPr="007145ED">
        <w:t>Hrvatska</w:t>
      </w:r>
      <w:r>
        <w:t xml:space="preserve"> </w:t>
      </w:r>
      <w:r w:rsidRPr="007145ED">
        <w:t>agencija za malo gospodarstvo, inovacije i investicije</w:t>
      </w:r>
    </w:p>
    <w:p w14:paraId="7CF2E258" w14:textId="77777777" w:rsidR="004358FC" w:rsidRDefault="004358FC" w:rsidP="007778B7">
      <w:pPr>
        <w:spacing w:before="120" w:after="0"/>
        <w:contextualSpacing/>
        <w:jc w:val="left"/>
      </w:pPr>
      <w:r>
        <w:t>HBOR – Hrvatska banka za obnovu i razvoj</w:t>
      </w:r>
    </w:p>
    <w:p w14:paraId="6AB643FF" w14:textId="77777777" w:rsidR="004358FC" w:rsidRDefault="004358FC" w:rsidP="007778B7">
      <w:pPr>
        <w:spacing w:before="120" w:after="0"/>
        <w:contextualSpacing/>
        <w:jc w:val="left"/>
      </w:pPr>
      <w:r>
        <w:t>HE - hidroelektrana</w:t>
      </w:r>
    </w:p>
    <w:p w14:paraId="6D5B8525" w14:textId="77777777" w:rsidR="004358FC" w:rsidRDefault="004358FC" w:rsidP="007778B7">
      <w:pPr>
        <w:spacing w:before="120" w:after="0"/>
        <w:contextualSpacing/>
        <w:jc w:val="left"/>
      </w:pPr>
      <w:r>
        <w:t>HEP – Hrvatska elektroprivreda</w:t>
      </w:r>
    </w:p>
    <w:p w14:paraId="6B0FD1C7" w14:textId="77777777" w:rsidR="004358FC" w:rsidRDefault="004358FC" w:rsidP="007778B7">
      <w:pPr>
        <w:spacing w:before="120" w:after="0"/>
        <w:contextualSpacing/>
        <w:jc w:val="left"/>
      </w:pPr>
      <w:r>
        <w:t>HERA – Hrvatska energetska regulatorna agencija</w:t>
      </w:r>
    </w:p>
    <w:p w14:paraId="164A5F99" w14:textId="77777777" w:rsidR="004358FC" w:rsidRDefault="004358FC" w:rsidP="007778B7">
      <w:pPr>
        <w:spacing w:before="120" w:after="0"/>
        <w:contextualSpacing/>
        <w:jc w:val="left"/>
      </w:pPr>
      <w:r>
        <w:t>HGK – Hrvatska gospodarska komora</w:t>
      </w:r>
    </w:p>
    <w:p w14:paraId="28B9185D" w14:textId="3221A322" w:rsidR="00DC6265" w:rsidRDefault="00DC6265" w:rsidP="007778B7">
      <w:pPr>
        <w:spacing w:before="120" w:after="0"/>
        <w:contextualSpacing/>
        <w:jc w:val="left"/>
      </w:pPr>
      <w:r>
        <w:t xml:space="preserve">HHI – Herfindahl-Hirschmanov </w:t>
      </w:r>
      <w:r w:rsidR="00D1079C">
        <w:t>indeks</w:t>
      </w:r>
    </w:p>
    <w:p w14:paraId="6EB9DCE7" w14:textId="7871682C" w:rsidR="004358FC" w:rsidRDefault="004358FC" w:rsidP="007778B7">
      <w:pPr>
        <w:spacing w:before="120" w:after="0"/>
        <w:contextualSpacing/>
        <w:jc w:val="left"/>
      </w:pPr>
      <w:r>
        <w:t>HOPS – Hrvatski op</w:t>
      </w:r>
      <w:r w:rsidR="00DB094A">
        <w:t>e</w:t>
      </w:r>
      <w:r>
        <w:t>rator prijenosnog sustava</w:t>
      </w:r>
    </w:p>
    <w:p w14:paraId="0D0B0500" w14:textId="0F10145A" w:rsidR="00DC6265" w:rsidRDefault="00DC6265" w:rsidP="007778B7">
      <w:pPr>
        <w:spacing w:before="120" w:after="0"/>
        <w:contextualSpacing/>
        <w:jc w:val="left"/>
      </w:pPr>
      <w:r>
        <w:t>HROTE - Hrvatski operator tržišta energije</w:t>
      </w:r>
    </w:p>
    <w:p w14:paraId="76E970DF" w14:textId="57C41DAA" w:rsidR="004606DB" w:rsidRDefault="004606DB" w:rsidP="007778B7">
      <w:pPr>
        <w:spacing w:before="120" w:after="0"/>
        <w:contextualSpacing/>
        <w:jc w:val="left"/>
      </w:pPr>
      <w:r>
        <w:t>HRZZ – Hrvatska zaklada za znanost</w:t>
      </w:r>
    </w:p>
    <w:p w14:paraId="19B2DE19" w14:textId="7549E7A2" w:rsidR="004358FC" w:rsidRDefault="004358FC" w:rsidP="007778B7">
      <w:pPr>
        <w:spacing w:before="120" w:after="0"/>
        <w:contextualSpacing/>
        <w:jc w:val="left"/>
      </w:pPr>
      <w:r w:rsidRPr="00462AD9">
        <w:rPr>
          <w:rFonts w:cs="Arial"/>
        </w:rPr>
        <w:t>HTLS</w:t>
      </w:r>
      <w:r>
        <w:rPr>
          <w:rFonts w:cs="Arial"/>
        </w:rPr>
        <w:t xml:space="preserve"> - </w:t>
      </w:r>
      <w:r w:rsidR="00C33952" w:rsidRPr="00C33952">
        <w:rPr>
          <w:rFonts w:cs="Arial"/>
        </w:rPr>
        <w:t>visokotemperaturni niskoprovjesn</w:t>
      </w:r>
      <w:r w:rsidR="00C33952">
        <w:rPr>
          <w:rFonts w:cs="Arial"/>
        </w:rPr>
        <w:t>i</w:t>
      </w:r>
      <w:r w:rsidR="00C33952" w:rsidRPr="00C33952">
        <w:rPr>
          <w:rFonts w:cs="Arial"/>
        </w:rPr>
        <w:t xml:space="preserve"> vodič</w:t>
      </w:r>
      <w:r w:rsidR="00C33952">
        <w:rPr>
          <w:rFonts w:cs="Arial"/>
        </w:rPr>
        <w:t>i</w:t>
      </w:r>
      <w:r w:rsidR="00C33952" w:rsidRPr="00C33952">
        <w:rPr>
          <w:rFonts w:cs="Arial"/>
        </w:rPr>
        <w:t xml:space="preserve"> (eng. High Temperature Low Sag</w:t>
      </w:r>
    </w:p>
    <w:p w14:paraId="64EDD68E" w14:textId="07DD1B95" w:rsidR="00361B2D" w:rsidRDefault="00361B2D" w:rsidP="007778B7">
      <w:pPr>
        <w:spacing w:before="120" w:after="0"/>
        <w:contextualSpacing/>
        <w:jc w:val="left"/>
      </w:pPr>
      <w:r>
        <w:t xml:space="preserve">IAP – Jonsko-jadranski plinovod (eng. </w:t>
      </w:r>
      <w:r w:rsidR="00E224D2" w:rsidRPr="00E224D2">
        <w:t>Ionian Adriatic Pipeline</w:t>
      </w:r>
      <w:r w:rsidR="00E224D2">
        <w:t>)</w:t>
      </w:r>
    </w:p>
    <w:p w14:paraId="4CBC8D20" w14:textId="6B422E0F" w:rsidR="00453CB5" w:rsidRDefault="00453CB5" w:rsidP="007778B7">
      <w:pPr>
        <w:spacing w:before="120" w:after="0"/>
        <w:contextualSpacing/>
        <w:jc w:val="left"/>
      </w:pPr>
      <w:r>
        <w:t xml:space="preserve">ICT </w:t>
      </w:r>
      <w:r w:rsidR="008959CD">
        <w:t>–</w:t>
      </w:r>
      <w:r>
        <w:t xml:space="preserve"> </w:t>
      </w:r>
      <w:r w:rsidR="00A4765B">
        <w:t>i</w:t>
      </w:r>
      <w:r w:rsidR="008959CD">
        <w:t>nformacijske i komunikacijske tehnologije</w:t>
      </w:r>
    </w:p>
    <w:p w14:paraId="40FB687C" w14:textId="4B9D4B0C" w:rsidR="00DF2E7B" w:rsidRDefault="00DF2E7B" w:rsidP="007778B7">
      <w:pPr>
        <w:spacing w:before="120" w:after="0"/>
        <w:contextualSpacing/>
        <w:jc w:val="left"/>
      </w:pPr>
      <w:r w:rsidRPr="00462AD9">
        <w:t>IEA</w:t>
      </w:r>
      <w:r>
        <w:t xml:space="preserve"> – Međunarodna agencija za energiju (eng. </w:t>
      </w:r>
      <w:r w:rsidR="00C33952">
        <w:t>International Energy Agency</w:t>
      </w:r>
      <w:r>
        <w:t>)</w:t>
      </w:r>
    </w:p>
    <w:p w14:paraId="591A1D9C" w14:textId="3919D140" w:rsidR="007A7028" w:rsidRDefault="007A7028" w:rsidP="007778B7">
      <w:pPr>
        <w:spacing w:before="120" w:after="0"/>
        <w:contextualSpacing/>
        <w:jc w:val="left"/>
      </w:pPr>
      <w:r>
        <w:t>IPCC – Međuvladin panel za klimatske promjene</w:t>
      </w:r>
      <w:r w:rsidR="0002322F">
        <w:t xml:space="preserve"> (</w:t>
      </w:r>
      <w:r w:rsidR="0002322F" w:rsidRPr="00D17D23">
        <w:t>eng</w:t>
      </w:r>
      <w:r w:rsidR="0002322F">
        <w:t xml:space="preserve">. </w:t>
      </w:r>
      <w:r w:rsidR="00D17D23" w:rsidRPr="00D17D23">
        <w:t>Intergovernmental Panel on Climate Change</w:t>
      </w:r>
      <w:r w:rsidR="0002322F">
        <w:t>)</w:t>
      </w:r>
    </w:p>
    <w:p w14:paraId="6BA51E15" w14:textId="4CFCE28A" w:rsidR="00CE58B5" w:rsidRDefault="00CE58B5" w:rsidP="007778B7">
      <w:pPr>
        <w:spacing w:before="120" w:after="0"/>
        <w:contextualSpacing/>
        <w:jc w:val="left"/>
      </w:pPr>
      <w:r w:rsidRPr="00D17D23">
        <w:t>ISGE – Informacijski sustav za gospodarenje energijom</w:t>
      </w:r>
    </w:p>
    <w:p w14:paraId="660D04BE" w14:textId="746384BD" w:rsidR="007A7028" w:rsidRDefault="007A7028" w:rsidP="007778B7">
      <w:pPr>
        <w:spacing w:before="120" w:after="0"/>
        <w:contextualSpacing/>
        <w:jc w:val="left"/>
      </w:pPr>
      <w:r w:rsidRPr="00AB7DC0">
        <w:t xml:space="preserve">LULUCF </w:t>
      </w:r>
      <w:r w:rsidR="00DA7284" w:rsidRPr="00AB7DC0">
        <w:t>–</w:t>
      </w:r>
      <w:r w:rsidRPr="00AB7DC0">
        <w:t xml:space="preserve"> </w:t>
      </w:r>
      <w:r w:rsidR="00D1079C" w:rsidRPr="00AB7DC0">
        <w:t>Korištenje zemljišta, prenamjena zemljišta i šumarstvo (eng. Land Use, Land Use</w:t>
      </w:r>
      <w:r w:rsidR="00D1079C" w:rsidRPr="00286B4C">
        <w:t xml:space="preserve"> Change and Forestry</w:t>
      </w:r>
      <w:r w:rsidR="00D1079C">
        <w:t>)</w:t>
      </w:r>
    </w:p>
    <w:p w14:paraId="3EF5E10F" w14:textId="42608F6A" w:rsidR="003A69BC" w:rsidRDefault="003A69BC" w:rsidP="007778B7">
      <w:pPr>
        <w:spacing w:before="120" w:after="0"/>
        <w:contextualSpacing/>
        <w:jc w:val="left"/>
      </w:pPr>
      <w:r>
        <w:t>MDI – Ministarstvo državne imovine</w:t>
      </w:r>
    </w:p>
    <w:p w14:paraId="28E84883" w14:textId="320D2FF7" w:rsidR="00A8500C" w:rsidRDefault="00A8500C" w:rsidP="007778B7">
      <w:pPr>
        <w:spacing w:before="120" w:after="0"/>
        <w:contextualSpacing/>
        <w:jc w:val="left"/>
      </w:pPr>
      <w:r>
        <w:t>MG</w:t>
      </w:r>
      <w:r w:rsidR="004D473A">
        <w:t>P</w:t>
      </w:r>
      <w:r>
        <w:t>O – Ministarstvo gospodarstva</w:t>
      </w:r>
      <w:r w:rsidR="004D473A">
        <w:t>, poduzetništva i obrta</w:t>
      </w:r>
    </w:p>
    <w:p w14:paraId="7505117D" w14:textId="729F138E" w:rsidR="00DA7284" w:rsidRDefault="00DA7284" w:rsidP="007778B7">
      <w:pPr>
        <w:spacing w:before="120" w:after="0"/>
        <w:contextualSpacing/>
        <w:jc w:val="left"/>
      </w:pPr>
      <w:r>
        <w:t>MGIPU – Ministarstvo graditeljstva i prostornog uređenja</w:t>
      </w:r>
    </w:p>
    <w:p w14:paraId="5BBE34C8" w14:textId="2519C855" w:rsidR="00006A0B" w:rsidRDefault="00006A0B" w:rsidP="007778B7">
      <w:pPr>
        <w:spacing w:before="120" w:after="0"/>
        <w:contextualSpacing/>
        <w:jc w:val="left"/>
      </w:pPr>
      <w:r>
        <w:t>MP</w:t>
      </w:r>
      <w:r w:rsidR="004840D1">
        <w:t>Š</w:t>
      </w:r>
      <w:r>
        <w:t xml:space="preserve"> – Ministarstvo poljoprivrede</w:t>
      </w:r>
      <w:r w:rsidR="004840D1">
        <w:t xml:space="preserve"> i šumarstva</w:t>
      </w:r>
    </w:p>
    <w:p w14:paraId="3BCF3F72" w14:textId="69F8445D" w:rsidR="000F021C" w:rsidRDefault="000F021C" w:rsidP="007778B7">
      <w:pPr>
        <w:spacing w:before="120" w:after="0"/>
        <w:contextualSpacing/>
        <w:jc w:val="left"/>
      </w:pPr>
      <w:r>
        <w:t>MZO – Ministarstvo znanosti i obrazovanja</w:t>
      </w:r>
    </w:p>
    <w:p w14:paraId="06F8206A" w14:textId="34808E0E" w:rsidR="00D1079C" w:rsidRDefault="00D1079C" w:rsidP="007778B7">
      <w:pPr>
        <w:spacing w:before="120" w:after="0"/>
        <w:contextualSpacing/>
        <w:jc w:val="left"/>
      </w:pPr>
      <w:r>
        <w:t>MZOE – Ministarstvo zaštite okoliša i energetike</w:t>
      </w:r>
    </w:p>
    <w:p w14:paraId="24B11DC5" w14:textId="77777777" w:rsidR="00D1079C" w:rsidRDefault="00D1079C" w:rsidP="007778B7">
      <w:pPr>
        <w:spacing w:before="120" w:after="0"/>
        <w:contextualSpacing/>
        <w:jc w:val="left"/>
      </w:pPr>
      <w:r>
        <w:t>NAPEnU – Nacionalni akcijski plan energetske učinkovitosti</w:t>
      </w:r>
    </w:p>
    <w:p w14:paraId="2B7C83AB" w14:textId="1F2C0281" w:rsidR="00D1079C" w:rsidRDefault="00D1079C" w:rsidP="007778B7">
      <w:pPr>
        <w:spacing w:before="120" w:after="0"/>
        <w:contextualSpacing/>
        <w:jc w:val="left"/>
      </w:pPr>
      <w:r w:rsidRPr="00D11B75">
        <w:t>NFAP</w:t>
      </w:r>
      <w:r>
        <w:t xml:space="preserve"> – </w:t>
      </w:r>
      <w:r w:rsidRPr="00D11B75">
        <w:t>Nacionaln</w:t>
      </w:r>
      <w:r>
        <w:t>i</w:t>
      </w:r>
      <w:r w:rsidRPr="00D11B75">
        <w:t xml:space="preserve"> računsk</w:t>
      </w:r>
      <w:r>
        <w:t>i</w:t>
      </w:r>
      <w:r w:rsidRPr="00D11B75">
        <w:t xml:space="preserve"> plan za šumarstvo (</w:t>
      </w:r>
      <w:r>
        <w:t xml:space="preserve">eng. </w:t>
      </w:r>
      <w:r w:rsidRPr="00D11B75">
        <w:t>National Forestry Accounting Plan</w:t>
      </w:r>
      <w:r>
        <w:t>)</w:t>
      </w:r>
    </w:p>
    <w:p w14:paraId="39CFDBAB" w14:textId="57EFF450" w:rsidR="00D1079C" w:rsidRDefault="00D1079C" w:rsidP="007778B7">
      <w:pPr>
        <w:spacing w:before="120" w:after="0"/>
        <w:contextualSpacing/>
        <w:jc w:val="left"/>
      </w:pPr>
      <w:r>
        <w:t>NKT – Nacionalno koordinacijsko tijelo</w:t>
      </w:r>
    </w:p>
    <w:p w14:paraId="762B056F" w14:textId="5F865C18" w:rsidR="00D1079C" w:rsidRDefault="00D1079C" w:rsidP="007778B7">
      <w:pPr>
        <w:spacing w:before="120" w:after="0"/>
        <w:contextualSpacing/>
        <w:jc w:val="left"/>
      </w:pPr>
      <w:r>
        <w:t xml:space="preserve">NOP - </w:t>
      </w:r>
      <w:r w:rsidRPr="00453CB5">
        <w:t xml:space="preserve">Nacionalni okvir politike za uspostavu infrastrukture za alternativna goriva </w:t>
      </w:r>
      <w:r>
        <w:t>RH</w:t>
      </w:r>
    </w:p>
    <w:p w14:paraId="4087DF4F" w14:textId="2BFFE4DB" w:rsidR="00A84EA7" w:rsidRDefault="00A84EA7" w:rsidP="007778B7">
      <w:pPr>
        <w:spacing w:before="120" w:after="0"/>
        <w:contextualSpacing/>
        <w:jc w:val="left"/>
      </w:pPr>
      <w:r>
        <w:t xml:space="preserve">NTC – </w:t>
      </w:r>
      <w:r w:rsidRPr="00A824B2">
        <w:t>neto</w:t>
      </w:r>
      <w:r>
        <w:t xml:space="preserve"> </w:t>
      </w:r>
      <w:r w:rsidRPr="00A824B2">
        <w:t>prijenosn</w:t>
      </w:r>
      <w:r>
        <w:t>i</w:t>
      </w:r>
      <w:r w:rsidRPr="00A824B2">
        <w:t xml:space="preserve"> kapacitet</w:t>
      </w:r>
      <w:r>
        <w:t xml:space="preserve"> (</w:t>
      </w:r>
      <w:r w:rsidR="008A5F24">
        <w:t xml:space="preserve">eng. </w:t>
      </w:r>
      <w:r w:rsidR="008A5F24" w:rsidRPr="008A5F24">
        <w:t>Net Transfer Capacity</w:t>
      </w:r>
      <w:r>
        <w:t>)</w:t>
      </w:r>
    </w:p>
    <w:p w14:paraId="6B7C7D1D" w14:textId="0BE99514" w:rsidR="00D1079C" w:rsidRDefault="00D1079C" w:rsidP="007778B7">
      <w:pPr>
        <w:spacing w:before="120" w:after="0"/>
        <w:contextualSpacing/>
        <w:jc w:val="left"/>
      </w:pPr>
      <w:r>
        <w:t>nZEB – zgrada gotovo nulte energije (</w:t>
      </w:r>
      <w:r w:rsidRPr="00D02B31">
        <w:t>eng</w:t>
      </w:r>
      <w:r>
        <w:t xml:space="preserve">. </w:t>
      </w:r>
      <w:r w:rsidR="00D02B31">
        <w:t>Nearly Zero Energy Building</w:t>
      </w:r>
      <w:r>
        <w:t>)</w:t>
      </w:r>
    </w:p>
    <w:p w14:paraId="5E61135D" w14:textId="2D1E4F15" w:rsidR="00DC6265" w:rsidRDefault="00DC6265" w:rsidP="007778B7">
      <w:pPr>
        <w:spacing w:before="120" w:after="0"/>
        <w:contextualSpacing/>
        <w:jc w:val="left"/>
      </w:pPr>
      <w:r>
        <w:t>ODS – Operator distribucijskog sustava</w:t>
      </w:r>
    </w:p>
    <w:p w14:paraId="4E7E7CB9" w14:textId="50296052" w:rsidR="00356582" w:rsidRDefault="00356582" w:rsidP="007778B7">
      <w:pPr>
        <w:spacing w:before="120" w:after="0"/>
        <w:contextualSpacing/>
        <w:jc w:val="left"/>
      </w:pPr>
      <w:r>
        <w:t xml:space="preserve">OIE – </w:t>
      </w:r>
      <w:r w:rsidR="00A4765B">
        <w:t>o</w:t>
      </w:r>
      <w:r>
        <w:t>bnovljivi izvori energije</w:t>
      </w:r>
    </w:p>
    <w:p w14:paraId="4F333C06" w14:textId="1C220E16" w:rsidR="00856F25" w:rsidRDefault="00856F25" w:rsidP="007778B7">
      <w:pPr>
        <w:spacing w:before="120" w:after="0"/>
        <w:contextualSpacing/>
        <w:jc w:val="left"/>
      </w:pPr>
      <w:r>
        <w:t xml:space="preserve">OPKK – Operativni program Konkurentnost i kohezija </w:t>
      </w:r>
      <w:r w:rsidR="00DA7284">
        <w:t>2014. – 2020.</w:t>
      </w:r>
    </w:p>
    <w:p w14:paraId="3257DCAA" w14:textId="3E0C12DA" w:rsidR="00D1079C" w:rsidRDefault="00D1079C" w:rsidP="007778B7">
      <w:pPr>
        <w:spacing w:before="120" w:after="0"/>
        <w:contextualSpacing/>
        <w:jc w:val="left"/>
      </w:pPr>
      <w:r w:rsidRPr="007940A2">
        <w:t>PCI</w:t>
      </w:r>
      <w:r>
        <w:t xml:space="preserve"> – Projekti od zajedničkog interesa (eng. P</w:t>
      </w:r>
      <w:r w:rsidRPr="007940A2">
        <w:t xml:space="preserve">rojects of </w:t>
      </w:r>
      <w:r>
        <w:t>C</w:t>
      </w:r>
      <w:r w:rsidRPr="007940A2">
        <w:t xml:space="preserve">ommon </w:t>
      </w:r>
      <w:r>
        <w:t>I</w:t>
      </w:r>
      <w:r w:rsidRPr="007940A2">
        <w:t>nterest</w:t>
      </w:r>
      <w:r>
        <w:t>)</w:t>
      </w:r>
    </w:p>
    <w:p w14:paraId="76906384" w14:textId="165B71A3" w:rsidR="00DC6265" w:rsidRDefault="00DC6265" w:rsidP="007778B7">
      <w:pPr>
        <w:spacing w:before="120" w:after="0"/>
        <w:contextualSpacing/>
        <w:jc w:val="left"/>
      </w:pPr>
      <w:r>
        <w:t>SE – sunčana elektrana</w:t>
      </w:r>
    </w:p>
    <w:p w14:paraId="4D234AC3" w14:textId="3C90DD22" w:rsidR="00815A18" w:rsidRDefault="00815A18" w:rsidP="007778B7">
      <w:pPr>
        <w:spacing w:before="120" w:after="0"/>
        <w:contextualSpacing/>
        <w:jc w:val="left"/>
      </w:pPr>
      <w:r>
        <w:t xml:space="preserve">SECAP – </w:t>
      </w:r>
      <w:r w:rsidRPr="00815A18">
        <w:t>Akcijsk</w:t>
      </w:r>
      <w:r>
        <w:t>i</w:t>
      </w:r>
      <w:r w:rsidRPr="00815A18">
        <w:t xml:space="preserve"> plan energetskog i klimatskog održivog razvoja</w:t>
      </w:r>
      <w:r>
        <w:t xml:space="preserve"> (eng. </w:t>
      </w:r>
      <w:r w:rsidR="00EA5FCE" w:rsidRPr="00EA5FCE">
        <w:t>Sustainable Energy and Climate Action Plan</w:t>
      </w:r>
      <w:r w:rsidR="00EA5FCE">
        <w:t>)</w:t>
      </w:r>
    </w:p>
    <w:p w14:paraId="3302A871" w14:textId="3D1B9B35" w:rsidR="00CE58B5" w:rsidRDefault="00CE58B5" w:rsidP="007778B7">
      <w:pPr>
        <w:spacing w:before="120" w:after="0"/>
        <w:contextualSpacing/>
        <w:jc w:val="left"/>
      </w:pPr>
      <w:r>
        <w:t>SMiV – Sustav za mjerenje i verifikaciju</w:t>
      </w:r>
    </w:p>
    <w:p w14:paraId="4DC99DFB" w14:textId="18826176" w:rsidR="00A84EA7" w:rsidRDefault="00A84EA7" w:rsidP="007778B7">
      <w:pPr>
        <w:spacing w:before="120" w:after="0"/>
        <w:contextualSpacing/>
        <w:jc w:val="left"/>
      </w:pPr>
      <w:r>
        <w:t>SPP – stlačeni prirodni plin</w:t>
      </w:r>
    </w:p>
    <w:p w14:paraId="7F3D1F5E" w14:textId="617C3C70" w:rsidR="00DC6265" w:rsidRDefault="00DC6265" w:rsidP="007778B7">
      <w:pPr>
        <w:spacing w:before="120" w:after="0"/>
        <w:contextualSpacing/>
        <w:jc w:val="left"/>
      </w:pPr>
      <w:r>
        <w:t>TE – termoelektrana</w:t>
      </w:r>
    </w:p>
    <w:p w14:paraId="7FD7F16B" w14:textId="5EE25397" w:rsidR="00DC6265" w:rsidRDefault="00DC6265" w:rsidP="007778B7">
      <w:pPr>
        <w:spacing w:before="120" w:after="0"/>
        <w:contextualSpacing/>
        <w:jc w:val="left"/>
      </w:pPr>
      <w:r>
        <w:t>TE-TO – termoelektrana-toplana</w:t>
      </w:r>
    </w:p>
    <w:p w14:paraId="2BADAFC8" w14:textId="7DEA52FF" w:rsidR="00A84EA7" w:rsidRDefault="00A84EA7" w:rsidP="007778B7">
      <w:pPr>
        <w:spacing w:before="120" w:after="0"/>
        <w:contextualSpacing/>
        <w:jc w:val="left"/>
      </w:pPr>
      <w:r>
        <w:t xml:space="preserve">TYNDP – </w:t>
      </w:r>
      <w:r w:rsidRPr="00602568">
        <w:t>desetogodišnj</w:t>
      </w:r>
      <w:r>
        <w:t xml:space="preserve">i </w:t>
      </w:r>
      <w:r w:rsidRPr="00602568">
        <w:t>plan razvoja prijenosne mrež</w:t>
      </w:r>
      <w:r>
        <w:t>e (</w:t>
      </w:r>
      <w:r w:rsidRPr="00706718">
        <w:t>eng</w:t>
      </w:r>
      <w:r>
        <w:t xml:space="preserve">. </w:t>
      </w:r>
      <w:r w:rsidR="00706718" w:rsidRPr="00706718">
        <w:t>Ten-Year Network Development Plan</w:t>
      </w:r>
      <w:r>
        <w:t>)</w:t>
      </w:r>
    </w:p>
    <w:p w14:paraId="5E8222F8" w14:textId="0E982E83" w:rsidR="00356582" w:rsidRDefault="00356582" w:rsidP="007778B7">
      <w:pPr>
        <w:spacing w:before="120" w:after="0"/>
        <w:contextualSpacing/>
        <w:jc w:val="left"/>
      </w:pPr>
      <w:r>
        <w:t>UN – Ujedinjeni narodi</w:t>
      </w:r>
    </w:p>
    <w:p w14:paraId="2156CD1A" w14:textId="1EA51CA7" w:rsidR="00184266" w:rsidRDefault="00184266" w:rsidP="007778B7">
      <w:pPr>
        <w:spacing w:before="120" w:after="0"/>
        <w:contextualSpacing/>
        <w:jc w:val="left"/>
      </w:pPr>
      <w:r>
        <w:t>UNFCC</w:t>
      </w:r>
      <w:r w:rsidR="00356582">
        <w:t xml:space="preserve">C - </w:t>
      </w:r>
      <w:r w:rsidR="00356582" w:rsidRPr="00497723">
        <w:t>Okvirn</w:t>
      </w:r>
      <w:r w:rsidR="00A4765B">
        <w:t>a</w:t>
      </w:r>
      <w:r w:rsidR="00356582" w:rsidRPr="00497723">
        <w:t xml:space="preserve"> konvencij</w:t>
      </w:r>
      <w:r w:rsidR="00A4765B">
        <w:t>a</w:t>
      </w:r>
      <w:r w:rsidR="00356582" w:rsidRPr="00497723">
        <w:t xml:space="preserve"> UN-a o promjeni klime</w:t>
      </w:r>
      <w:r w:rsidR="0002322F">
        <w:t xml:space="preserve"> (</w:t>
      </w:r>
      <w:r w:rsidR="0002322F" w:rsidRPr="007778B7">
        <w:t>eng</w:t>
      </w:r>
      <w:r w:rsidR="0002322F">
        <w:t xml:space="preserve">. </w:t>
      </w:r>
      <w:r w:rsidR="007778B7" w:rsidRPr="007778B7">
        <w:t>United Nations Framework Convention on Climate Change</w:t>
      </w:r>
      <w:r w:rsidR="0002322F">
        <w:t>)</w:t>
      </w:r>
    </w:p>
    <w:p w14:paraId="1506AE7E" w14:textId="51134B8A" w:rsidR="00A65A58" w:rsidRDefault="00A65A58" w:rsidP="007778B7">
      <w:pPr>
        <w:spacing w:before="120" w:after="0"/>
        <w:contextualSpacing/>
        <w:jc w:val="left"/>
      </w:pPr>
      <w:r>
        <w:t>UPP – ukapljeni prirodni plin</w:t>
      </w:r>
    </w:p>
    <w:p w14:paraId="6C45D07C" w14:textId="537E3626" w:rsidR="00B04E60" w:rsidRDefault="00B04E60" w:rsidP="007778B7">
      <w:pPr>
        <w:spacing w:before="120" w:after="0"/>
        <w:contextualSpacing/>
        <w:jc w:val="left"/>
      </w:pPr>
      <w:r>
        <w:t xml:space="preserve">VE – vjetroelektrana </w:t>
      </w:r>
    </w:p>
    <w:p w14:paraId="617B536F" w14:textId="6FB938E7" w:rsidR="00C15F8E" w:rsidRDefault="00C15F8E" w:rsidP="007778B7">
      <w:pPr>
        <w:spacing w:before="120" w:after="0"/>
        <w:contextualSpacing/>
        <w:jc w:val="left"/>
      </w:pPr>
      <w:r>
        <w:t xml:space="preserve">VUK – </w:t>
      </w:r>
      <w:r w:rsidR="00A4765B">
        <w:t>v</w:t>
      </w:r>
      <w:r>
        <w:t>isokoučinkovita kogeneracija</w:t>
      </w:r>
    </w:p>
    <w:p w14:paraId="2FC8F8F8" w14:textId="5D9D2946" w:rsidR="008A190E" w:rsidRDefault="008A190E" w:rsidP="007778B7">
      <w:pPr>
        <w:spacing w:before="120" w:after="0"/>
        <w:contextualSpacing/>
        <w:jc w:val="left"/>
      </w:pPr>
      <w:r>
        <w:t>ZeJN – Zelena javna nabava</w:t>
      </w:r>
    </w:p>
    <w:p w14:paraId="26D12288" w14:textId="6446EEDA" w:rsidR="00356582" w:rsidRPr="00935CE3" w:rsidRDefault="00356582" w:rsidP="00935CE3"/>
    <w:p w14:paraId="7D9BC0DF" w14:textId="28982677" w:rsidR="00002693" w:rsidRDefault="00002693" w:rsidP="00840E2E">
      <w:pPr>
        <w:pStyle w:val="Heading1"/>
        <w:numPr>
          <w:ilvl w:val="0"/>
          <w:numId w:val="42"/>
        </w:numPr>
      </w:pPr>
      <w:bookmarkStart w:id="674" w:name="_Toc27396131"/>
      <w:r>
        <w:t>PRILOZI</w:t>
      </w:r>
      <w:bookmarkEnd w:id="674"/>
    </w:p>
    <w:bookmarkEnd w:id="671"/>
    <w:bookmarkEnd w:id="672"/>
    <w:bookmarkEnd w:id="673"/>
    <w:p w14:paraId="33AAE77D" w14:textId="3E7F7CA7" w:rsidR="0052110E" w:rsidRDefault="0052110E" w:rsidP="0052110E"/>
    <w:p w14:paraId="5332893C" w14:textId="45526440" w:rsidR="007F1C80" w:rsidRDefault="00E60537" w:rsidP="00725326">
      <w:pPr>
        <w:pStyle w:val="Heading2"/>
      </w:pPr>
      <w:bookmarkStart w:id="675" w:name="_Toc27396132"/>
      <w:r>
        <w:t>Izvještaj o kor</w:t>
      </w:r>
      <w:r w:rsidR="00DE2289">
        <w:t>ištenim parametrima i varijablama (xls)</w:t>
      </w:r>
      <w:bookmarkEnd w:id="675"/>
    </w:p>
    <w:p w14:paraId="54C79D29" w14:textId="4E5A3A31" w:rsidR="007F1C80" w:rsidRDefault="00E60537" w:rsidP="00725326">
      <w:pPr>
        <w:pStyle w:val="Heading2"/>
      </w:pPr>
      <w:bookmarkStart w:id="676" w:name="_Toc27396133"/>
      <w:r>
        <w:t xml:space="preserve">Mjere i metode provedbe članka 7 </w:t>
      </w:r>
      <w:r w:rsidR="007F1C80">
        <w:t>(doc)</w:t>
      </w:r>
      <w:bookmarkEnd w:id="676"/>
    </w:p>
    <w:p w14:paraId="08E509FC" w14:textId="1B730184" w:rsidR="007F1C80" w:rsidRDefault="00E60537" w:rsidP="00725326">
      <w:pPr>
        <w:pStyle w:val="Heading2"/>
      </w:pPr>
      <w:bookmarkStart w:id="677" w:name="_Toc27396134"/>
      <w:r>
        <w:t xml:space="preserve">Politike i mjere </w:t>
      </w:r>
      <w:r w:rsidR="007F1C80">
        <w:t>(xls)</w:t>
      </w:r>
      <w:bookmarkEnd w:id="677"/>
    </w:p>
    <w:p w14:paraId="3BDDEF21" w14:textId="50A2A2E5" w:rsidR="0052110E" w:rsidRDefault="00E60537" w:rsidP="00725326">
      <w:pPr>
        <w:pStyle w:val="Heading2"/>
      </w:pPr>
      <w:bookmarkStart w:id="678" w:name="_Toc27396135"/>
      <w:r>
        <w:t xml:space="preserve">Izvještaj o emisijama stakleničkih plinova po sektorima i plinovima </w:t>
      </w:r>
      <w:r w:rsidR="007F1C80">
        <w:t>(xls)</w:t>
      </w:r>
      <w:bookmarkEnd w:id="678"/>
    </w:p>
    <w:p w14:paraId="37B27CBD" w14:textId="77777777" w:rsidR="00160C36" w:rsidRPr="00303239" w:rsidRDefault="00160C36" w:rsidP="00160C36">
      <w:pPr>
        <w:pStyle w:val="Heading2"/>
      </w:pPr>
      <w:bookmarkStart w:id="679" w:name="_Toc27396136"/>
      <w:r w:rsidRPr="00303239">
        <w:t>Energetske bilance i indikatori</w:t>
      </w:r>
      <w:bookmarkEnd w:id="679"/>
      <w:r w:rsidRPr="00725326">
        <w:t xml:space="preserve"> </w:t>
      </w:r>
    </w:p>
    <w:p w14:paraId="0A501824" w14:textId="77777777" w:rsidR="00160C36" w:rsidRPr="00154150" w:rsidRDefault="00160C36" w:rsidP="00154150"/>
    <w:p w14:paraId="582D51B6" w14:textId="0EF001B7" w:rsidR="003F6B56" w:rsidRDefault="003F6B56" w:rsidP="003F6B56"/>
    <w:p w14:paraId="1146D090" w14:textId="77777777" w:rsidR="003F6B56" w:rsidRDefault="003F6B56">
      <w:pPr>
        <w:suppressAutoHyphens w:val="0"/>
        <w:spacing w:before="0" w:after="0" w:line="240" w:lineRule="auto"/>
        <w:jc w:val="left"/>
      </w:pPr>
      <w:r>
        <w:br w:type="page"/>
      </w:r>
    </w:p>
    <w:p w14:paraId="5BFB58A9" w14:textId="0C063619" w:rsidR="003F6B56" w:rsidRDefault="003F6B56" w:rsidP="003F6B56"/>
    <w:p w14:paraId="14B93B9B" w14:textId="77777777" w:rsidR="003F6B56" w:rsidRPr="00EC78D6" w:rsidRDefault="003F6B56" w:rsidP="00EC78D6"/>
    <w:p w14:paraId="5952D1F3" w14:textId="77777777" w:rsidR="003F6B56" w:rsidRPr="00EC78D6" w:rsidRDefault="003F6B56" w:rsidP="00EC78D6"/>
    <w:p w14:paraId="00C574A9" w14:textId="77777777" w:rsidR="003F6B56" w:rsidRPr="00EC78D6" w:rsidRDefault="003F6B56" w:rsidP="00EC78D6"/>
    <w:p w14:paraId="0A2CC316" w14:textId="77777777" w:rsidR="003F6B56" w:rsidRPr="00EC78D6" w:rsidRDefault="003F6B56" w:rsidP="00EC78D6"/>
    <w:p w14:paraId="558CDF36" w14:textId="77777777" w:rsidR="003F6B56" w:rsidRPr="00EC78D6" w:rsidRDefault="003F6B56" w:rsidP="00EC78D6"/>
    <w:p w14:paraId="19650DB3" w14:textId="77777777" w:rsidR="003F6B56" w:rsidRPr="00EC78D6" w:rsidRDefault="003F6B56" w:rsidP="00EC78D6"/>
    <w:p w14:paraId="139DD18E" w14:textId="77777777" w:rsidR="003F6B56" w:rsidRPr="00EC78D6" w:rsidRDefault="003F6B56" w:rsidP="00EC78D6"/>
    <w:p w14:paraId="5E99D48C" w14:textId="77777777" w:rsidR="003F6B56" w:rsidRPr="00EC78D6" w:rsidRDefault="003F6B56" w:rsidP="00EC78D6"/>
    <w:p w14:paraId="0212473C" w14:textId="77777777" w:rsidR="003F6B56" w:rsidRPr="00EC78D6" w:rsidRDefault="003F6B56" w:rsidP="00EC78D6"/>
    <w:p w14:paraId="42E950C2" w14:textId="77777777" w:rsidR="003F6B56" w:rsidRPr="00EC78D6" w:rsidRDefault="003F6B56" w:rsidP="00EC78D6"/>
    <w:p w14:paraId="2B92E17D" w14:textId="77777777" w:rsidR="003F6B56" w:rsidRPr="00EC78D6" w:rsidRDefault="003F6B56" w:rsidP="00EC78D6"/>
    <w:p w14:paraId="27268093" w14:textId="77777777" w:rsidR="003F6B56" w:rsidRPr="00EC78D6" w:rsidRDefault="003F6B56" w:rsidP="00725326">
      <w:pPr>
        <w:shd w:val="clear" w:color="auto" w:fill="DEEAF6" w:themeFill="accent1" w:themeFillTint="33"/>
      </w:pPr>
    </w:p>
    <w:p w14:paraId="4D5B3F46" w14:textId="77777777" w:rsidR="003F6B56" w:rsidRPr="00EC78D6" w:rsidRDefault="003F6B56" w:rsidP="00EC78D6"/>
    <w:p w14:paraId="04D9D849" w14:textId="77777777" w:rsidR="003F6B56" w:rsidRPr="00EC78D6" w:rsidRDefault="003F6B56" w:rsidP="00EC78D6"/>
    <w:p w14:paraId="40303ACD" w14:textId="77777777" w:rsidR="003F6B56" w:rsidRPr="00EC78D6" w:rsidRDefault="003F6B56" w:rsidP="00EC78D6"/>
    <w:p w14:paraId="37A48A1B" w14:textId="77777777" w:rsidR="003F6B56" w:rsidRPr="00EC78D6" w:rsidRDefault="003F6B56" w:rsidP="00EC78D6"/>
    <w:p w14:paraId="12FD159C" w14:textId="77777777" w:rsidR="003F6B56" w:rsidRPr="00EC78D6" w:rsidRDefault="003F6B56" w:rsidP="00EC78D6"/>
    <w:p w14:paraId="3D95ED67" w14:textId="77777777" w:rsidR="003F6B56" w:rsidRPr="00EC78D6" w:rsidRDefault="003F6B56" w:rsidP="00EC78D6"/>
    <w:p w14:paraId="0170D75B" w14:textId="77777777" w:rsidR="003F6B56" w:rsidRPr="00EC78D6" w:rsidRDefault="003F6B56" w:rsidP="00EC78D6"/>
    <w:p w14:paraId="655619FF" w14:textId="61027042" w:rsidR="003F6B56" w:rsidRDefault="003F6B56" w:rsidP="003F6B56"/>
    <w:p w14:paraId="359988A4" w14:textId="0F571ABA" w:rsidR="003F6B56" w:rsidRPr="00F453E7" w:rsidRDefault="003F6B56" w:rsidP="00725326">
      <w:pPr>
        <w:jc w:val="center"/>
      </w:pPr>
    </w:p>
    <w:sectPr w:rsidR="003F6B56" w:rsidRPr="00F453E7" w:rsidSect="004B49FC">
      <w:footerReference w:type="default" r:id="rId9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B5F73" w14:textId="77777777" w:rsidR="00ED1E5D" w:rsidRDefault="00ED1E5D">
      <w:r>
        <w:separator/>
      </w:r>
    </w:p>
    <w:p w14:paraId="6B796BA8" w14:textId="77777777" w:rsidR="00ED1E5D" w:rsidRDefault="00ED1E5D"/>
    <w:p w14:paraId="2C2404AB" w14:textId="77777777" w:rsidR="00ED1E5D" w:rsidRDefault="00ED1E5D"/>
  </w:endnote>
  <w:endnote w:type="continuationSeparator" w:id="0">
    <w:p w14:paraId="662C6CC4" w14:textId="77777777" w:rsidR="00ED1E5D" w:rsidRDefault="00ED1E5D">
      <w:r>
        <w:continuationSeparator/>
      </w:r>
    </w:p>
    <w:p w14:paraId="51558839" w14:textId="77777777" w:rsidR="00ED1E5D" w:rsidRDefault="00ED1E5D"/>
    <w:p w14:paraId="5957D78F" w14:textId="77777777" w:rsidR="00ED1E5D" w:rsidRDefault="00ED1E5D"/>
  </w:endnote>
  <w:endnote w:type="continuationNotice" w:id="1">
    <w:p w14:paraId="78AA50B8" w14:textId="77777777" w:rsidR="00ED1E5D" w:rsidRDefault="00ED1E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21531"/>
      <w:docPartObj>
        <w:docPartGallery w:val="Page Numbers (Bottom of Page)"/>
        <w:docPartUnique/>
      </w:docPartObj>
    </w:sdtPr>
    <w:sdtEndPr/>
    <w:sdtContent>
      <w:p w14:paraId="3C6E8108" w14:textId="0338CD49" w:rsidR="004506FD" w:rsidRDefault="004506FD" w:rsidP="00725326">
        <w:pPr>
          <w:pStyle w:val="Footer"/>
          <w:jc w:val="center"/>
        </w:pPr>
        <w:r>
          <w:fldChar w:fldCharType="begin"/>
        </w:r>
        <w:r>
          <w:instrText>PAGE   \* MERGEFORMAT</w:instrText>
        </w:r>
        <w:r>
          <w:fldChar w:fldCharType="separate"/>
        </w:r>
        <w:r w:rsidR="008577EB" w:rsidRPr="008577EB">
          <w:rPr>
            <w:noProof/>
            <w:lang w:val="hr-HR"/>
          </w:rPr>
          <w:t>2</w:t>
        </w:r>
        <w:r>
          <w:fldChar w:fldCharType="end"/>
        </w:r>
      </w:p>
    </w:sdtContent>
  </w:sdt>
  <w:p w14:paraId="42A85D51" w14:textId="77777777" w:rsidR="004506FD" w:rsidRDefault="00450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E64BC" w14:textId="77777777" w:rsidR="00ED1E5D" w:rsidRDefault="00ED1E5D">
      <w:r>
        <w:separator/>
      </w:r>
    </w:p>
  </w:footnote>
  <w:footnote w:type="continuationSeparator" w:id="0">
    <w:p w14:paraId="6CEA2191" w14:textId="77777777" w:rsidR="00ED1E5D" w:rsidRDefault="00ED1E5D">
      <w:r>
        <w:continuationSeparator/>
      </w:r>
    </w:p>
    <w:p w14:paraId="6D16B9D3" w14:textId="77777777" w:rsidR="00ED1E5D" w:rsidRDefault="00ED1E5D"/>
    <w:p w14:paraId="1BE3C120" w14:textId="77777777" w:rsidR="00ED1E5D" w:rsidRDefault="00ED1E5D"/>
  </w:footnote>
  <w:footnote w:type="continuationNotice" w:id="1">
    <w:p w14:paraId="15C30A08" w14:textId="77777777" w:rsidR="00ED1E5D" w:rsidRDefault="00ED1E5D">
      <w:pPr>
        <w:spacing w:before="0" w:after="0" w:line="240" w:lineRule="auto"/>
      </w:pPr>
    </w:p>
  </w:footnote>
  <w:footnote w:id="2">
    <w:p w14:paraId="202EC468" w14:textId="4B31CF82" w:rsidR="004506FD" w:rsidRPr="00286B4C" w:rsidRDefault="004506FD" w:rsidP="003B2254">
      <w:pPr>
        <w:pStyle w:val="FootnoteText"/>
        <w:rPr>
          <w:lang w:val="it-IT"/>
        </w:rPr>
      </w:pPr>
      <w:r>
        <w:rPr>
          <w:rStyle w:val="FootnoteReference"/>
        </w:rPr>
        <w:footnoteRef/>
      </w:r>
      <w:r>
        <w:t xml:space="preserve"> </w:t>
      </w:r>
      <w:r>
        <w:rPr>
          <w:sz w:val="20"/>
        </w:rPr>
        <w:t>I</w:t>
      </w:r>
      <w:r w:rsidRPr="00350841">
        <w:rPr>
          <w:sz w:val="20"/>
        </w:rPr>
        <w:t>skazani cilj za RH je indikativan, a obvezujući je na razini ETS sustava EU</w:t>
      </w:r>
    </w:p>
  </w:footnote>
  <w:footnote w:id="3">
    <w:p w14:paraId="19999F10" w14:textId="77777777" w:rsidR="004506FD" w:rsidRPr="00223709" w:rsidRDefault="004506FD" w:rsidP="00251DFC">
      <w:pPr>
        <w:pStyle w:val="FootnoteText"/>
        <w:rPr>
          <w:lang w:val="it-IT"/>
        </w:rPr>
      </w:pPr>
      <w:r>
        <w:rPr>
          <w:rStyle w:val="FootnoteReference"/>
        </w:rPr>
        <w:footnoteRef/>
      </w:r>
      <w:r>
        <w:t xml:space="preserve"> </w:t>
      </w:r>
      <w:r w:rsidRPr="00223709">
        <w:rPr>
          <w:lang w:val="it-IT"/>
        </w:rPr>
        <w:t>Potrošnja primarne energije, prema smjernicama EUROSTAT-a, definira se kao ukupna potrošnja energije umanjena za neenergetsku potrošnju.</w:t>
      </w:r>
    </w:p>
  </w:footnote>
  <w:footnote w:id="4">
    <w:p w14:paraId="422F7BE1" w14:textId="1DA8C280" w:rsidR="004506FD" w:rsidRPr="00840E2E" w:rsidRDefault="004506FD">
      <w:pPr>
        <w:pStyle w:val="FootnoteText"/>
        <w:rPr>
          <w:lang w:val="en-US"/>
        </w:rPr>
      </w:pPr>
      <w:r>
        <w:rPr>
          <w:rStyle w:val="FootnoteReference"/>
        </w:rPr>
        <w:footnoteRef/>
      </w:r>
      <w:r>
        <w:t xml:space="preserve"> </w:t>
      </w:r>
      <w:r>
        <w:rPr>
          <w:lang w:val="en-US"/>
        </w:rPr>
        <w:t>Prema dimenzijama energetske unije</w:t>
      </w:r>
    </w:p>
  </w:footnote>
  <w:footnote w:id="5">
    <w:p w14:paraId="5B576293" w14:textId="4193D98A" w:rsidR="004506FD" w:rsidRPr="00840E2E" w:rsidRDefault="004506FD">
      <w:pPr>
        <w:pStyle w:val="FootnoteText"/>
        <w:rPr>
          <w:lang w:val="en-US"/>
        </w:rPr>
      </w:pPr>
      <w:r>
        <w:rPr>
          <w:rStyle w:val="FootnoteReference"/>
        </w:rPr>
        <w:footnoteRef/>
      </w:r>
      <w:r>
        <w:t xml:space="preserve"> </w:t>
      </w:r>
      <w:r>
        <w:rPr>
          <w:lang w:val="en-US"/>
        </w:rPr>
        <w:t xml:space="preserve">Prema </w:t>
      </w:r>
      <w:r w:rsidRPr="00352800">
        <w:rPr>
          <w:lang w:val="en-US"/>
        </w:rPr>
        <w:t>sektorskoj podjeli sukladno IPCC metodologiji</w:t>
      </w:r>
      <w:r w:rsidRPr="00352800" w:rsidDel="00352800">
        <w:rPr>
          <w:lang w:val="en-US"/>
        </w:rPr>
        <w:t xml:space="preserve"> </w:t>
      </w:r>
    </w:p>
  </w:footnote>
  <w:footnote w:id="6">
    <w:p w14:paraId="2EDDAA8B" w14:textId="77777777" w:rsidR="004506FD" w:rsidRPr="00154C6D" w:rsidRDefault="004506FD" w:rsidP="00093174">
      <w:pPr>
        <w:pStyle w:val="FootnoteText"/>
        <w:rPr>
          <w:i/>
          <w:lang w:val="de-DE"/>
        </w:rPr>
      </w:pPr>
      <w:r w:rsidRPr="00FE6134">
        <w:rPr>
          <w:rStyle w:val="FootnoteReference"/>
        </w:rPr>
        <w:footnoteRef/>
      </w:r>
      <w:r w:rsidRPr="00FE6134">
        <w:t xml:space="preserve"> </w:t>
      </w:r>
      <w:r w:rsidRPr="00154C6D">
        <w:rPr>
          <w:lang w:val="de-DE"/>
        </w:rPr>
        <w:t xml:space="preserve">Izvor: </w:t>
      </w:r>
      <w:hyperlink r:id="rId1" w:history="1">
        <w:r w:rsidRPr="00154C6D">
          <w:rPr>
            <w:rStyle w:val="Hyperlink"/>
            <w:rFonts w:cs="Myriad Pro"/>
            <w:lang w:val="de-DE"/>
          </w:rPr>
          <w:t>https://mgipu.gov.hr/o-ministarstvu-15/djelokrug/energetska-ucinkovitost-u-zgradarstvu/povelja-o-dekarbonizaciji-zgrada/8915</w:t>
        </w:r>
      </w:hyperlink>
      <w:r w:rsidRPr="00154C6D">
        <w:rPr>
          <w:lang w:val="de-DE"/>
        </w:rPr>
        <w:t xml:space="preserve"> (datum pristupa: 08.11.2019.)</w:t>
      </w:r>
    </w:p>
  </w:footnote>
  <w:footnote w:id="7">
    <w:p w14:paraId="668AF4CF" w14:textId="6D663718" w:rsidR="004506FD" w:rsidRPr="00286B4C" w:rsidRDefault="004506FD">
      <w:pPr>
        <w:pStyle w:val="FootnoteText"/>
        <w:rPr>
          <w:lang w:val="it-IT"/>
        </w:rPr>
      </w:pPr>
      <w:r>
        <w:rPr>
          <w:rStyle w:val="FootnoteReference"/>
        </w:rPr>
        <w:footnoteRef/>
      </w:r>
      <w:r>
        <w:t xml:space="preserve"> </w:t>
      </w:r>
      <w:r w:rsidRPr="009823C4">
        <w:t>https://ec.europa.eu/energy/sites/ener/files/documents/hr_rec_en.pdf</w:t>
      </w:r>
    </w:p>
  </w:footnote>
  <w:footnote w:id="8">
    <w:p w14:paraId="7A4FF2B3" w14:textId="490085C2" w:rsidR="004506FD" w:rsidRPr="00286B4C" w:rsidRDefault="004506FD">
      <w:pPr>
        <w:pStyle w:val="FootnoteText"/>
        <w:rPr>
          <w:lang w:val="it-IT"/>
        </w:rPr>
      </w:pPr>
      <w:r>
        <w:rPr>
          <w:rStyle w:val="FootnoteReference"/>
        </w:rPr>
        <w:footnoteRef/>
      </w:r>
      <w:r>
        <w:t xml:space="preserve"> </w:t>
      </w:r>
      <w:r w:rsidRPr="00350841">
        <w:rPr>
          <w:sz w:val="20"/>
        </w:rPr>
        <w:t>iskazani cilj za RH je indikativan, a obvezujući je na razini ETS sustava EU</w:t>
      </w:r>
    </w:p>
  </w:footnote>
  <w:footnote w:id="9">
    <w:p w14:paraId="042CFFF7" w14:textId="77777777" w:rsidR="004506FD" w:rsidRPr="00602568" w:rsidRDefault="004506FD" w:rsidP="00AE1AFC">
      <w:pPr>
        <w:pStyle w:val="FootnoteText"/>
        <w:rPr>
          <w:lang w:val="it-IT"/>
        </w:rPr>
      </w:pPr>
      <w:r>
        <w:rPr>
          <w:rStyle w:val="FootnoteReference"/>
        </w:rPr>
        <w:footnoteRef/>
      </w:r>
      <w:r>
        <w:t xml:space="preserve"> </w:t>
      </w:r>
      <w:hyperlink r:id="rId2" w:history="1">
        <w:r>
          <w:rPr>
            <w:rStyle w:val="Hyperlink"/>
          </w:rPr>
          <w:t>https://ec.europa.eu/environment/sustainable-development/index_en.htm</w:t>
        </w:r>
      </w:hyperlink>
      <w:r>
        <w:t xml:space="preserve"> </w:t>
      </w:r>
    </w:p>
  </w:footnote>
  <w:footnote w:id="10">
    <w:p w14:paraId="4D644BF8" w14:textId="77777777" w:rsidR="004506FD" w:rsidRPr="00602568" w:rsidRDefault="004506FD" w:rsidP="00AE1AFC">
      <w:pPr>
        <w:pStyle w:val="FootnoteText"/>
        <w:rPr>
          <w:lang w:val="it-IT"/>
        </w:rPr>
      </w:pPr>
      <w:r>
        <w:rPr>
          <w:rStyle w:val="FootnoteReference"/>
        </w:rPr>
        <w:footnoteRef/>
      </w:r>
      <w:r>
        <w:t xml:space="preserve"> https://ec.europa.eu/futurium/en/urban-agenda</w:t>
      </w:r>
    </w:p>
  </w:footnote>
  <w:footnote w:id="11">
    <w:p w14:paraId="501D781F" w14:textId="50C28097" w:rsidR="004506FD" w:rsidRPr="00602568" w:rsidRDefault="004506FD">
      <w:pPr>
        <w:pStyle w:val="FootnoteText"/>
        <w:rPr>
          <w:lang w:val="it-IT"/>
        </w:rPr>
      </w:pPr>
      <w:r>
        <w:rPr>
          <w:rStyle w:val="FootnoteReference"/>
        </w:rPr>
        <w:footnoteRef/>
      </w:r>
      <w:r>
        <w:t xml:space="preserve"> </w:t>
      </w:r>
      <w:r w:rsidRPr="00602568">
        <w:rPr>
          <w:lang w:val="it-IT"/>
        </w:rPr>
        <w:t>Ciljevi su indikativni – očekuju se odstupanja između pojedinih tehnologija OIE</w:t>
      </w:r>
    </w:p>
  </w:footnote>
  <w:footnote w:id="12">
    <w:p w14:paraId="7C393ACC" w14:textId="116DDD90" w:rsidR="004506FD" w:rsidRPr="00840E2E" w:rsidRDefault="004506FD">
      <w:pPr>
        <w:pStyle w:val="FootnoteText"/>
        <w:rPr>
          <w:lang w:val="en-US"/>
        </w:rPr>
      </w:pPr>
      <w:r>
        <w:rPr>
          <w:rStyle w:val="FootnoteReference"/>
        </w:rPr>
        <w:footnoteRef/>
      </w:r>
      <w:r>
        <w:t xml:space="preserve"> </w:t>
      </w:r>
      <w:r w:rsidRPr="00E3290F">
        <w:t xml:space="preserve">Do 2030. godine predviđa se kako će </w:t>
      </w:r>
      <w:r>
        <w:t>barem</w:t>
      </w:r>
      <w:r w:rsidRPr="00E3290F">
        <w:t xml:space="preserve"> 50% instalirane snage biti u kogeneracijskim elektranama.</w:t>
      </w:r>
    </w:p>
  </w:footnote>
  <w:footnote w:id="13">
    <w:p w14:paraId="3B1E90DD" w14:textId="0049C35F" w:rsidR="004506FD" w:rsidRPr="00223709" w:rsidRDefault="004506FD">
      <w:pPr>
        <w:pStyle w:val="FootnoteText"/>
        <w:rPr>
          <w:lang w:val="it-IT"/>
        </w:rPr>
      </w:pPr>
      <w:r>
        <w:rPr>
          <w:rStyle w:val="FootnoteReference"/>
        </w:rPr>
        <w:footnoteRef/>
      </w:r>
      <w:r>
        <w:t xml:space="preserve"> Nije raspoloživo i nije u planu korištenje</w:t>
      </w:r>
    </w:p>
  </w:footnote>
  <w:footnote w:id="14">
    <w:p w14:paraId="4DC41925" w14:textId="7979D97C" w:rsidR="004506FD" w:rsidRPr="00602568" w:rsidRDefault="004506FD">
      <w:pPr>
        <w:pStyle w:val="FootnoteText"/>
        <w:rPr>
          <w:lang w:val="it-IT"/>
        </w:rPr>
      </w:pPr>
      <w:r>
        <w:rPr>
          <w:rStyle w:val="FootnoteReference"/>
        </w:rPr>
        <w:footnoteRef/>
      </w:r>
      <w:r>
        <w:t xml:space="preserve"> </w:t>
      </w:r>
      <w:bookmarkStart w:id="249" w:name="_Hlk19871208"/>
      <w:r w:rsidRPr="00A47F06">
        <w:t>jedan agregat u HE Dubrovnik (126 MW) izravno</w:t>
      </w:r>
      <w:r>
        <w:t xml:space="preserve"> je</w:t>
      </w:r>
      <w:r w:rsidRPr="00A47F06">
        <w:t xml:space="preserve"> priključen na prijenosnu mrežu elektroenergetskog sustava BiH</w:t>
      </w:r>
      <w:bookmarkEnd w:id="249"/>
    </w:p>
  </w:footnote>
  <w:footnote w:id="15">
    <w:p w14:paraId="66C080CC" w14:textId="54B55014" w:rsidR="004506FD" w:rsidRPr="00602568" w:rsidRDefault="004506FD">
      <w:pPr>
        <w:pStyle w:val="FootnoteText"/>
        <w:rPr>
          <w:lang w:val="it-IT"/>
        </w:rPr>
      </w:pPr>
      <w:r>
        <w:rPr>
          <w:rStyle w:val="FootnoteReference"/>
        </w:rPr>
        <w:footnoteRef/>
      </w:r>
      <w:r>
        <w:t xml:space="preserve"> </w:t>
      </w:r>
      <w:r w:rsidRPr="00902BB6">
        <w:rPr>
          <w:i/>
          <w:sz w:val="18"/>
          <w:szCs w:val="18"/>
        </w:rPr>
        <w:t xml:space="preserve">ukupna potrošnja </w:t>
      </w:r>
      <w:r>
        <w:rPr>
          <w:i/>
          <w:sz w:val="18"/>
          <w:szCs w:val="18"/>
        </w:rPr>
        <w:t xml:space="preserve">energije </w:t>
      </w:r>
      <w:r w:rsidRPr="00902BB6">
        <w:rPr>
          <w:i/>
          <w:sz w:val="18"/>
          <w:szCs w:val="18"/>
        </w:rPr>
        <w:t>bez neenergetske potrošnje</w:t>
      </w:r>
    </w:p>
  </w:footnote>
  <w:footnote w:id="16">
    <w:p w14:paraId="22C122C5" w14:textId="602CB7D7" w:rsidR="004506FD" w:rsidRPr="00223709" w:rsidRDefault="004506FD">
      <w:pPr>
        <w:pStyle w:val="FootnoteText"/>
        <w:rPr>
          <w:lang w:val="it-IT"/>
        </w:rPr>
      </w:pPr>
      <w:r>
        <w:rPr>
          <w:rStyle w:val="FootnoteReference"/>
        </w:rPr>
        <w:footnoteRef/>
      </w:r>
      <w:r>
        <w:t xml:space="preserve"> </w:t>
      </w:r>
      <w:r w:rsidRPr="00223709">
        <w:rPr>
          <w:lang w:val="it-IT"/>
        </w:rPr>
        <w:t>Izvor: 4. Nacionalni akcijski plan energetske učinkovitosti za razdoblje do kraja 2019. godine, MZOE, siječanj 2019.</w:t>
      </w:r>
    </w:p>
  </w:footnote>
  <w:footnote w:id="17">
    <w:p w14:paraId="595D7244" w14:textId="1708B62F" w:rsidR="0085010C" w:rsidRPr="0085010C" w:rsidRDefault="0085010C">
      <w:pPr>
        <w:pStyle w:val="FootnoteText"/>
        <w:rPr>
          <w:lang w:val="en-US"/>
        </w:rPr>
      </w:pPr>
      <w:r>
        <w:rPr>
          <w:rStyle w:val="FootnoteReference"/>
        </w:rPr>
        <w:footnoteRef/>
      </w:r>
      <w:r>
        <w:t xml:space="preserve"> O</w:t>
      </w:r>
      <w:r w:rsidRPr="0085010C">
        <w:t>dnosi se na osiguranje programa certificiranja ili istovrijedni program kvalifikacije za instalatere sustava obnovljivih izvora energije: fotonaponskih sustava, solarnih toplinskih sustava, plitkih geotermalnih sustava i dizalica topline, te manjih kotlova i peći na biomasu</w:t>
      </w:r>
    </w:p>
  </w:footnote>
  <w:footnote w:id="18">
    <w:p w14:paraId="22735DDA" w14:textId="15A8D5E8" w:rsidR="004506FD" w:rsidRPr="00976062" w:rsidRDefault="004506FD">
      <w:pPr>
        <w:pStyle w:val="FootnoteText"/>
      </w:pPr>
      <w:r>
        <w:rPr>
          <w:rStyle w:val="FootnoteReference"/>
        </w:rPr>
        <w:footnoteRef/>
      </w:r>
      <w:r>
        <w:t xml:space="preserve"> </w:t>
      </w:r>
      <w:r w:rsidRPr="00976062">
        <w:t xml:space="preserve">Sva izvješća prema članku 5(2) Direktive 2010/31/EU i članku 6 Uredbe (EU) 244/2012 od 16.1.2012 o minimalnim zahtjevima na energetsko svojstvo navedenih vrsta zgrada dostupni su na mrežnim stranicama MGIPU: </w:t>
      </w:r>
      <w:hyperlink r:id="rId3" w:history="1">
        <w:r w:rsidRPr="00976062">
          <w:rPr>
            <w:rStyle w:val="Hyperlink"/>
          </w:rPr>
          <w:t>http://mgipu.hr/default.aspx?id=12841</w:t>
        </w:r>
      </w:hyperlink>
      <w:r w:rsidRPr="00976062">
        <w:t xml:space="preserve"> (datum pristupa: 27.11.2018.)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26E7B28"/>
    <w:lvl w:ilvl="0">
      <w:start w:val="1"/>
      <w:numFmt w:val="bullet"/>
      <w:pStyle w:val="Literatura"/>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DB6408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3149F"/>
    <w:multiLevelType w:val="hybridMultilevel"/>
    <w:tmpl w:val="397CAADE"/>
    <w:lvl w:ilvl="0" w:tplc="7F7419D4">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05A305B"/>
    <w:multiLevelType w:val="hybridMultilevel"/>
    <w:tmpl w:val="7FF420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1BD56BC"/>
    <w:multiLevelType w:val="hybridMultilevel"/>
    <w:tmpl w:val="7A9C2A7E"/>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04F13EBF"/>
    <w:multiLevelType w:val="hybridMultilevel"/>
    <w:tmpl w:val="CF20B962"/>
    <w:lvl w:ilvl="0" w:tplc="041A001B">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6CD24C4"/>
    <w:multiLevelType w:val="hybridMultilevel"/>
    <w:tmpl w:val="628E3CB0"/>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879396F"/>
    <w:multiLevelType w:val="multilevel"/>
    <w:tmpl w:val="137E05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A02CD2"/>
    <w:multiLevelType w:val="hybridMultilevel"/>
    <w:tmpl w:val="568CB6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C6B228E"/>
    <w:multiLevelType w:val="hybridMultilevel"/>
    <w:tmpl w:val="D44288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CDE4A4A"/>
    <w:multiLevelType w:val="hybridMultilevel"/>
    <w:tmpl w:val="1B3E965E"/>
    <w:lvl w:ilvl="0" w:tplc="A62A47F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0EF74AB9"/>
    <w:multiLevelType w:val="hybridMultilevel"/>
    <w:tmpl w:val="89D2C472"/>
    <w:lvl w:ilvl="0" w:tplc="CC847622">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0EFD36ED"/>
    <w:multiLevelType w:val="hybridMultilevel"/>
    <w:tmpl w:val="E13AF29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0FD16E90"/>
    <w:multiLevelType w:val="hybridMultilevel"/>
    <w:tmpl w:val="C18802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20615F"/>
    <w:multiLevelType w:val="hybridMultilevel"/>
    <w:tmpl w:val="C512BDA2"/>
    <w:lvl w:ilvl="0" w:tplc="68E48182">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10D43614"/>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713F9E"/>
    <w:multiLevelType w:val="hybridMultilevel"/>
    <w:tmpl w:val="981E6034"/>
    <w:lvl w:ilvl="0" w:tplc="E54651C6">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4937EE6"/>
    <w:multiLevelType w:val="hybridMultilevel"/>
    <w:tmpl w:val="F0D825FA"/>
    <w:lvl w:ilvl="0" w:tplc="D0E2028C">
      <w:start w:val="1"/>
      <w:numFmt w:val="bullet"/>
      <w:pStyle w:val="Bullets"/>
      <w:lvlText w:val=""/>
      <w:lvlJc w:val="left"/>
      <w:pPr>
        <w:tabs>
          <w:tab w:val="num" w:pos="643"/>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0D5255"/>
    <w:multiLevelType w:val="hybridMultilevel"/>
    <w:tmpl w:val="81503F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61A12E2"/>
    <w:multiLevelType w:val="hybridMultilevel"/>
    <w:tmpl w:val="2EAA9E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6D52583"/>
    <w:multiLevelType w:val="hybridMultilevel"/>
    <w:tmpl w:val="B5F62A48"/>
    <w:lvl w:ilvl="0" w:tplc="5DC25B5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1BCF7B5B"/>
    <w:multiLevelType w:val="hybridMultilevel"/>
    <w:tmpl w:val="D9DA0654"/>
    <w:lvl w:ilvl="0" w:tplc="195AE89A">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CB74A35"/>
    <w:multiLevelType w:val="hybridMultilevel"/>
    <w:tmpl w:val="2F204C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D237CDE"/>
    <w:multiLevelType w:val="hybridMultilevel"/>
    <w:tmpl w:val="6E1A67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F1C3AC1"/>
    <w:multiLevelType w:val="hybridMultilevel"/>
    <w:tmpl w:val="9A7AC7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FBF22FE"/>
    <w:multiLevelType w:val="hybridMultilevel"/>
    <w:tmpl w:val="68DE9A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0103B18"/>
    <w:multiLevelType w:val="hybridMultilevel"/>
    <w:tmpl w:val="73389370"/>
    <w:lvl w:ilvl="0" w:tplc="19DC78CA">
      <w:start w:val="3"/>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23290ECA"/>
    <w:multiLevelType w:val="hybridMultilevel"/>
    <w:tmpl w:val="40B2380E"/>
    <w:lvl w:ilvl="0" w:tplc="041A0001">
      <w:start w:val="1"/>
      <w:numFmt w:val="bullet"/>
      <w:lvlText w:val=""/>
      <w:lvlJc w:val="left"/>
      <w:pPr>
        <w:ind w:left="720" w:hanging="360"/>
      </w:pPr>
      <w:rPr>
        <w:rFonts w:ascii="Symbol" w:hAnsi="Symbol" w:hint="default"/>
      </w:rPr>
    </w:lvl>
    <w:lvl w:ilvl="1" w:tplc="C9D802BE">
      <w:start w:val="4"/>
      <w:numFmt w:val="bullet"/>
      <w:lvlText w:val="-"/>
      <w:lvlJc w:val="left"/>
      <w:pPr>
        <w:ind w:left="1440" w:hanging="360"/>
      </w:pPr>
      <w:rPr>
        <w:rFonts w:ascii="Calibri" w:eastAsia="Calibri" w:hAnsi="Calibri" w:cs="Calibri"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8" w15:restartNumberingAfterBreak="0">
    <w:nsid w:val="234A7C43"/>
    <w:multiLevelType w:val="hybridMultilevel"/>
    <w:tmpl w:val="DFE8540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238E3117"/>
    <w:multiLevelType w:val="hybridMultilevel"/>
    <w:tmpl w:val="F09C207E"/>
    <w:lvl w:ilvl="0" w:tplc="2E0E516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5363BBF"/>
    <w:multiLevelType w:val="hybridMultilevel"/>
    <w:tmpl w:val="52F60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25FE4560"/>
    <w:multiLevelType w:val="multilevel"/>
    <w:tmpl w:val="C21C2CEA"/>
    <w:lvl w:ilvl="0">
      <w:start w:val="1"/>
      <w:numFmt w:val="decimal"/>
      <w:pStyle w:val="ListBullet5"/>
      <w:lvlText w:val="%1"/>
      <w:lvlJc w:val="left"/>
      <w:pPr>
        <w:tabs>
          <w:tab w:val="num" w:pos="255"/>
        </w:tabs>
        <w:ind w:left="0" w:firstLine="0"/>
      </w:pPr>
      <w:rPr>
        <w:rFonts w:ascii="Myriad Pro Cond" w:hAnsi="Myriad Pro Cond" w:cs="Myriad Pro Cond" w:hint="default"/>
        <w:spacing w:val="0"/>
        <w:w w:val="100"/>
        <w:kern w:val="16"/>
        <w:position w:val="0"/>
        <w:sz w:val="144"/>
        <w:szCs w:val="144"/>
      </w:rPr>
    </w:lvl>
    <w:lvl w:ilvl="1">
      <w:start w:val="1"/>
      <w:numFmt w:val="decimal"/>
      <w:lvlRestart w:val="0"/>
      <w:lvlText w:val="%1.%2"/>
      <w:lvlJc w:val="left"/>
      <w:pPr>
        <w:tabs>
          <w:tab w:val="num" w:pos="-339"/>
        </w:tabs>
        <w:ind w:left="5160" w:hanging="4196"/>
      </w:pPr>
      <w:rPr>
        <w:rFonts w:hint="default"/>
      </w:rPr>
    </w:lvl>
    <w:lvl w:ilvl="2">
      <w:start w:val="1"/>
      <w:numFmt w:val="decimal"/>
      <w:lvlRestart w:val="0"/>
      <w:lvlText w:val="%1.%2.%3"/>
      <w:lvlJc w:val="left"/>
      <w:pPr>
        <w:tabs>
          <w:tab w:val="num" w:pos="-339"/>
        </w:tabs>
        <w:ind w:left="-339" w:hanging="851"/>
      </w:pPr>
      <w:rPr>
        <w:rFonts w:hint="default"/>
      </w:rPr>
    </w:lvl>
    <w:lvl w:ilvl="3">
      <w:start w:val="1"/>
      <w:numFmt w:val="decimal"/>
      <w:lvlText w:val="%1.%2.%3.%4"/>
      <w:lvlJc w:val="left"/>
      <w:pPr>
        <w:tabs>
          <w:tab w:val="num" w:pos="331"/>
        </w:tabs>
        <w:ind w:left="330" w:hanging="850"/>
      </w:pPr>
      <w:rPr>
        <w:rFonts w:hint="default"/>
      </w:rPr>
    </w:lvl>
    <w:lvl w:ilvl="4">
      <w:start w:val="1"/>
      <w:numFmt w:val="decimal"/>
      <w:lvlText w:val="%1.%2.%3.%4.%5"/>
      <w:lvlJc w:val="left"/>
      <w:pPr>
        <w:tabs>
          <w:tab w:val="num" w:pos="488"/>
        </w:tabs>
        <w:ind w:left="488" w:hanging="1008"/>
      </w:pPr>
      <w:rPr>
        <w:rFonts w:hint="default"/>
      </w:rPr>
    </w:lvl>
    <w:lvl w:ilvl="5">
      <w:start w:val="1"/>
      <w:numFmt w:val="decimal"/>
      <w:lvlText w:val="%1.%2.%3.%4.%5.%6"/>
      <w:lvlJc w:val="left"/>
      <w:pPr>
        <w:tabs>
          <w:tab w:val="num" w:pos="632"/>
        </w:tabs>
        <w:ind w:left="632" w:hanging="1152"/>
      </w:pPr>
      <w:rPr>
        <w:rFonts w:hint="default"/>
      </w:rPr>
    </w:lvl>
    <w:lvl w:ilvl="6">
      <w:start w:val="1"/>
      <w:numFmt w:val="decimal"/>
      <w:lvlText w:val="%1.%2.%3.%4.%5.%6.%7"/>
      <w:lvlJc w:val="left"/>
      <w:pPr>
        <w:tabs>
          <w:tab w:val="num" w:pos="776"/>
        </w:tabs>
        <w:ind w:left="776" w:hanging="1296"/>
      </w:pPr>
      <w:rPr>
        <w:rFonts w:hint="default"/>
      </w:rPr>
    </w:lvl>
    <w:lvl w:ilvl="7">
      <w:start w:val="1"/>
      <w:numFmt w:val="decimal"/>
      <w:lvlText w:val="%1.%2.%3.%4.%5.%6.%7.%8"/>
      <w:lvlJc w:val="left"/>
      <w:pPr>
        <w:tabs>
          <w:tab w:val="num" w:pos="920"/>
        </w:tabs>
        <w:ind w:left="920" w:hanging="1440"/>
      </w:pPr>
      <w:rPr>
        <w:rFonts w:hint="default"/>
      </w:rPr>
    </w:lvl>
    <w:lvl w:ilvl="8">
      <w:start w:val="1"/>
      <w:numFmt w:val="decimal"/>
      <w:lvlText w:val="%1.%2.%3.%4.%5.%6.%7.%8.%9"/>
      <w:lvlJc w:val="left"/>
      <w:pPr>
        <w:tabs>
          <w:tab w:val="num" w:pos="1064"/>
        </w:tabs>
        <w:ind w:left="1064" w:hanging="1584"/>
      </w:pPr>
      <w:rPr>
        <w:rFonts w:hint="default"/>
      </w:rPr>
    </w:lvl>
  </w:abstractNum>
  <w:abstractNum w:abstractNumId="32" w15:restartNumberingAfterBreak="0">
    <w:nsid w:val="26861C5C"/>
    <w:multiLevelType w:val="hybridMultilevel"/>
    <w:tmpl w:val="232CAADC"/>
    <w:lvl w:ilvl="0" w:tplc="3DFA2FE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268E3EDB"/>
    <w:multiLevelType w:val="hybridMultilevel"/>
    <w:tmpl w:val="A42478AC"/>
    <w:lvl w:ilvl="0" w:tplc="9AD43098">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26BE086D"/>
    <w:multiLevelType w:val="hybridMultilevel"/>
    <w:tmpl w:val="77741E9E"/>
    <w:lvl w:ilvl="0" w:tplc="DC5C5EC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278127FE"/>
    <w:multiLevelType w:val="hybridMultilevel"/>
    <w:tmpl w:val="71228F5E"/>
    <w:lvl w:ilvl="0" w:tplc="5B9CFE0A">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2936474D"/>
    <w:multiLevelType w:val="hybridMultilevel"/>
    <w:tmpl w:val="555048F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7" w15:restartNumberingAfterBreak="0">
    <w:nsid w:val="29DB739E"/>
    <w:multiLevelType w:val="hybridMultilevel"/>
    <w:tmpl w:val="742087DA"/>
    <w:lvl w:ilvl="0" w:tplc="7E16A474">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2A89734B"/>
    <w:multiLevelType w:val="hybridMultilevel"/>
    <w:tmpl w:val="85CA2406"/>
    <w:lvl w:ilvl="0" w:tplc="11625C32">
      <w:numFmt w:val="bullet"/>
      <w:lvlText w:val="-"/>
      <w:lvlJc w:val="left"/>
      <w:pPr>
        <w:ind w:left="1065" w:hanging="360"/>
      </w:pPr>
      <w:rPr>
        <w:rFonts w:ascii="Calibri" w:eastAsiaTheme="minorHAnsi" w:hAnsi="Calibri" w:cs="Calibri"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9" w15:restartNumberingAfterBreak="0">
    <w:nsid w:val="2B883B97"/>
    <w:multiLevelType w:val="multilevel"/>
    <w:tmpl w:val="0054FFB0"/>
    <w:lvl w:ilvl="0">
      <w:start w:val="5"/>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0" w15:restartNumberingAfterBreak="0">
    <w:nsid w:val="2D247C3E"/>
    <w:multiLevelType w:val="hybridMultilevel"/>
    <w:tmpl w:val="0090F51C"/>
    <w:lvl w:ilvl="0" w:tplc="BBB8FCC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2D635E8D"/>
    <w:multiLevelType w:val="hybridMultilevel"/>
    <w:tmpl w:val="3766C4B4"/>
    <w:lvl w:ilvl="0" w:tplc="5010D816">
      <w:start w:val="4"/>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DD73A97"/>
    <w:multiLevelType w:val="hybridMultilevel"/>
    <w:tmpl w:val="0B56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F3A7C30"/>
    <w:multiLevelType w:val="hybridMultilevel"/>
    <w:tmpl w:val="72D02554"/>
    <w:lvl w:ilvl="0" w:tplc="041A000F">
      <w:start w:val="1"/>
      <w:numFmt w:val="decimal"/>
      <w:lvlText w:val="%1."/>
      <w:lvlJc w:val="left"/>
      <w:pPr>
        <w:ind w:left="1440" w:hanging="360"/>
      </w:pPr>
    </w:lvl>
    <w:lvl w:ilvl="1" w:tplc="51742EEC">
      <w:start w:val="6"/>
      <w:numFmt w:val="bullet"/>
      <w:lvlText w:val="-"/>
      <w:lvlJc w:val="left"/>
      <w:pPr>
        <w:ind w:left="2160" w:hanging="360"/>
      </w:pPr>
      <w:rPr>
        <w:rFonts w:ascii="Calibri" w:eastAsia="Calibri" w:hAnsi="Calibri" w:cs="Calibri" w:hint="default"/>
      </w:rPr>
    </w:lvl>
    <w:lvl w:ilvl="2" w:tplc="041A001B">
      <w:start w:val="1"/>
      <w:numFmt w:val="lowerRoman"/>
      <w:lvlText w:val="%3."/>
      <w:lvlJc w:val="right"/>
      <w:pPr>
        <w:ind w:left="2880" w:hanging="180"/>
      </w:pPr>
    </w:lvl>
    <w:lvl w:ilvl="3" w:tplc="041A000F">
      <w:start w:val="1"/>
      <w:numFmt w:val="decimal"/>
      <w:lvlText w:val="%4."/>
      <w:lvlJc w:val="left"/>
      <w:pPr>
        <w:ind w:left="3600" w:hanging="360"/>
      </w:pPr>
    </w:lvl>
    <w:lvl w:ilvl="4" w:tplc="041A0019">
      <w:start w:val="1"/>
      <w:numFmt w:val="lowerLetter"/>
      <w:lvlText w:val="%5."/>
      <w:lvlJc w:val="left"/>
      <w:pPr>
        <w:ind w:left="4320" w:hanging="360"/>
      </w:pPr>
    </w:lvl>
    <w:lvl w:ilvl="5" w:tplc="041A001B">
      <w:start w:val="1"/>
      <w:numFmt w:val="lowerRoman"/>
      <w:lvlText w:val="%6."/>
      <w:lvlJc w:val="right"/>
      <w:pPr>
        <w:ind w:left="5040" w:hanging="180"/>
      </w:pPr>
    </w:lvl>
    <w:lvl w:ilvl="6" w:tplc="041A000F">
      <w:start w:val="1"/>
      <w:numFmt w:val="decimal"/>
      <w:lvlText w:val="%7."/>
      <w:lvlJc w:val="left"/>
      <w:pPr>
        <w:ind w:left="5760" w:hanging="360"/>
      </w:pPr>
    </w:lvl>
    <w:lvl w:ilvl="7" w:tplc="041A0019">
      <w:start w:val="1"/>
      <w:numFmt w:val="lowerLetter"/>
      <w:lvlText w:val="%8."/>
      <w:lvlJc w:val="left"/>
      <w:pPr>
        <w:ind w:left="6480" w:hanging="360"/>
      </w:pPr>
    </w:lvl>
    <w:lvl w:ilvl="8" w:tplc="041A001B">
      <w:start w:val="1"/>
      <w:numFmt w:val="lowerRoman"/>
      <w:lvlText w:val="%9."/>
      <w:lvlJc w:val="right"/>
      <w:pPr>
        <w:ind w:left="7200" w:hanging="180"/>
      </w:pPr>
    </w:lvl>
  </w:abstractNum>
  <w:abstractNum w:abstractNumId="44" w15:restartNumberingAfterBreak="0">
    <w:nsid w:val="2FEA5B53"/>
    <w:multiLevelType w:val="hybridMultilevel"/>
    <w:tmpl w:val="87BA68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0160506"/>
    <w:multiLevelType w:val="hybridMultilevel"/>
    <w:tmpl w:val="E63ADA3E"/>
    <w:lvl w:ilvl="0" w:tplc="1D9066C8">
      <w:start w:val="4"/>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303F1206"/>
    <w:multiLevelType w:val="hybridMultilevel"/>
    <w:tmpl w:val="45C28192"/>
    <w:lvl w:ilvl="0" w:tplc="041A0001">
      <w:start w:val="1"/>
      <w:numFmt w:val="bullet"/>
      <w:lvlText w:val=""/>
      <w:lvlJc w:val="left"/>
      <w:pPr>
        <w:ind w:left="720" w:hanging="360"/>
      </w:pPr>
      <w:rPr>
        <w:rFonts w:ascii="Symbol" w:hAnsi="Symbol" w:hint="default"/>
      </w:rPr>
    </w:lvl>
    <w:lvl w:ilvl="1" w:tplc="AE7E9674">
      <w:start w:val="1"/>
      <w:numFmt w:val="bullet"/>
      <w:lvlText w:val="-"/>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7" w15:restartNumberingAfterBreak="0">
    <w:nsid w:val="310559D5"/>
    <w:multiLevelType w:val="hybridMultilevel"/>
    <w:tmpl w:val="FC1EC53A"/>
    <w:lvl w:ilvl="0" w:tplc="B69E4C52">
      <w:start w:val="3"/>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312101BE"/>
    <w:multiLevelType w:val="hybridMultilevel"/>
    <w:tmpl w:val="ECD2DC06"/>
    <w:lvl w:ilvl="0" w:tplc="041A0001">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49" w15:restartNumberingAfterBreak="0">
    <w:nsid w:val="32396994"/>
    <w:multiLevelType w:val="hybridMultilevel"/>
    <w:tmpl w:val="E07E065A"/>
    <w:lvl w:ilvl="0" w:tplc="6A28E49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34171F4B"/>
    <w:multiLevelType w:val="hybridMultilevel"/>
    <w:tmpl w:val="6BB470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4902C18"/>
    <w:multiLevelType w:val="hybridMultilevel"/>
    <w:tmpl w:val="82D4984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2" w15:restartNumberingAfterBreak="0">
    <w:nsid w:val="365644DB"/>
    <w:multiLevelType w:val="hybridMultilevel"/>
    <w:tmpl w:val="F7448758"/>
    <w:lvl w:ilvl="0" w:tplc="955C94DA">
      <w:start w:val="3"/>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37BA0B43"/>
    <w:multiLevelType w:val="hybridMultilevel"/>
    <w:tmpl w:val="937688DC"/>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37D34E4E"/>
    <w:multiLevelType w:val="hybridMultilevel"/>
    <w:tmpl w:val="5EFC78D0"/>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55" w15:restartNumberingAfterBreak="0">
    <w:nsid w:val="390C3550"/>
    <w:multiLevelType w:val="hybridMultilevel"/>
    <w:tmpl w:val="BBBCCA26"/>
    <w:lvl w:ilvl="0" w:tplc="71A4403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39900C0C"/>
    <w:multiLevelType w:val="hybridMultilevel"/>
    <w:tmpl w:val="45F88F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9C57173"/>
    <w:multiLevelType w:val="hybridMultilevel"/>
    <w:tmpl w:val="314A6FE4"/>
    <w:lvl w:ilvl="0" w:tplc="041A0001">
      <w:start w:val="1"/>
      <w:numFmt w:val="bullet"/>
      <w:lvlText w:val=""/>
      <w:lvlJc w:val="left"/>
      <w:pPr>
        <w:ind w:left="720" w:hanging="360"/>
      </w:pPr>
      <w:rPr>
        <w:rFonts w:ascii="Symbol" w:hAnsi="Symbol" w:hint="default"/>
      </w:rPr>
    </w:lvl>
    <w:lvl w:ilvl="1" w:tplc="041A000F">
      <w:start w:val="1"/>
      <w:numFmt w:val="decimal"/>
      <w:lvlText w:val="%2."/>
      <w:lvlJc w:val="left"/>
      <w:pPr>
        <w:ind w:left="1440" w:hanging="360"/>
      </w:p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8" w15:restartNumberingAfterBreak="0">
    <w:nsid w:val="3B6F3FC8"/>
    <w:multiLevelType w:val="hybridMultilevel"/>
    <w:tmpl w:val="46407E10"/>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3D0D511D"/>
    <w:multiLevelType w:val="hybridMultilevel"/>
    <w:tmpl w:val="188AB0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DA949E1"/>
    <w:multiLevelType w:val="hybridMultilevel"/>
    <w:tmpl w:val="DDCC7A8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3E3778E1"/>
    <w:multiLevelType w:val="hybridMultilevel"/>
    <w:tmpl w:val="47E20F92"/>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62" w15:restartNumberingAfterBreak="0">
    <w:nsid w:val="3E574C5B"/>
    <w:multiLevelType w:val="hybridMultilevel"/>
    <w:tmpl w:val="03AA07E4"/>
    <w:lvl w:ilvl="0" w:tplc="042C55EE">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3FAC63F8"/>
    <w:multiLevelType w:val="hybridMultilevel"/>
    <w:tmpl w:val="CC321E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3FF85D5D"/>
    <w:multiLevelType w:val="hybridMultilevel"/>
    <w:tmpl w:val="E728A3E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400E2C9D"/>
    <w:multiLevelType w:val="hybridMultilevel"/>
    <w:tmpl w:val="5A362F6C"/>
    <w:lvl w:ilvl="0" w:tplc="041A000F">
      <w:start w:val="1"/>
      <w:numFmt w:val="decimal"/>
      <w:lvlText w:val="%1."/>
      <w:lvlJc w:val="left"/>
      <w:pPr>
        <w:ind w:left="1014" w:hanging="360"/>
      </w:pPr>
    </w:lvl>
    <w:lvl w:ilvl="1" w:tplc="041A0019" w:tentative="1">
      <w:start w:val="1"/>
      <w:numFmt w:val="lowerLetter"/>
      <w:lvlText w:val="%2."/>
      <w:lvlJc w:val="left"/>
      <w:pPr>
        <w:ind w:left="1734" w:hanging="360"/>
      </w:pPr>
    </w:lvl>
    <w:lvl w:ilvl="2" w:tplc="041A001B" w:tentative="1">
      <w:start w:val="1"/>
      <w:numFmt w:val="lowerRoman"/>
      <w:lvlText w:val="%3."/>
      <w:lvlJc w:val="right"/>
      <w:pPr>
        <w:ind w:left="2454" w:hanging="180"/>
      </w:pPr>
    </w:lvl>
    <w:lvl w:ilvl="3" w:tplc="041A000F" w:tentative="1">
      <w:start w:val="1"/>
      <w:numFmt w:val="decimal"/>
      <w:lvlText w:val="%4."/>
      <w:lvlJc w:val="left"/>
      <w:pPr>
        <w:ind w:left="3174" w:hanging="360"/>
      </w:pPr>
    </w:lvl>
    <w:lvl w:ilvl="4" w:tplc="041A0019" w:tentative="1">
      <w:start w:val="1"/>
      <w:numFmt w:val="lowerLetter"/>
      <w:lvlText w:val="%5."/>
      <w:lvlJc w:val="left"/>
      <w:pPr>
        <w:ind w:left="3894" w:hanging="360"/>
      </w:pPr>
    </w:lvl>
    <w:lvl w:ilvl="5" w:tplc="041A001B" w:tentative="1">
      <w:start w:val="1"/>
      <w:numFmt w:val="lowerRoman"/>
      <w:lvlText w:val="%6."/>
      <w:lvlJc w:val="right"/>
      <w:pPr>
        <w:ind w:left="4614" w:hanging="180"/>
      </w:pPr>
    </w:lvl>
    <w:lvl w:ilvl="6" w:tplc="041A000F" w:tentative="1">
      <w:start w:val="1"/>
      <w:numFmt w:val="decimal"/>
      <w:lvlText w:val="%7."/>
      <w:lvlJc w:val="left"/>
      <w:pPr>
        <w:ind w:left="5334" w:hanging="360"/>
      </w:pPr>
    </w:lvl>
    <w:lvl w:ilvl="7" w:tplc="041A0019" w:tentative="1">
      <w:start w:val="1"/>
      <w:numFmt w:val="lowerLetter"/>
      <w:lvlText w:val="%8."/>
      <w:lvlJc w:val="left"/>
      <w:pPr>
        <w:ind w:left="6054" w:hanging="360"/>
      </w:pPr>
    </w:lvl>
    <w:lvl w:ilvl="8" w:tplc="041A001B" w:tentative="1">
      <w:start w:val="1"/>
      <w:numFmt w:val="lowerRoman"/>
      <w:lvlText w:val="%9."/>
      <w:lvlJc w:val="right"/>
      <w:pPr>
        <w:ind w:left="6774" w:hanging="180"/>
      </w:pPr>
    </w:lvl>
  </w:abstractNum>
  <w:abstractNum w:abstractNumId="66" w15:restartNumberingAfterBreak="0">
    <w:nsid w:val="4026231B"/>
    <w:multiLevelType w:val="hybridMultilevel"/>
    <w:tmpl w:val="660C5F5A"/>
    <w:lvl w:ilvl="0" w:tplc="7EBC7A3A">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41552830"/>
    <w:multiLevelType w:val="hybridMultilevel"/>
    <w:tmpl w:val="0BD40D9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41F21E56"/>
    <w:multiLevelType w:val="hybridMultilevel"/>
    <w:tmpl w:val="F112D8EE"/>
    <w:name w:val="Headings"/>
    <w:lvl w:ilvl="0" w:tplc="FFFFFFFF">
      <w:start w:val="20"/>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27B2F36"/>
    <w:multiLevelType w:val="hybridMultilevel"/>
    <w:tmpl w:val="DE46E32A"/>
    <w:lvl w:ilvl="0" w:tplc="041A000F">
      <w:start w:val="1"/>
      <w:numFmt w:val="decimal"/>
      <w:lvlText w:val="%1."/>
      <w:lvlJc w:val="left"/>
      <w:pPr>
        <w:ind w:left="1068" w:hanging="360"/>
      </w:p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70" w15:restartNumberingAfterBreak="0">
    <w:nsid w:val="42C3023D"/>
    <w:multiLevelType w:val="hybridMultilevel"/>
    <w:tmpl w:val="1A6016E4"/>
    <w:lvl w:ilvl="0" w:tplc="FFFFFFFF">
      <w:start w:val="1"/>
      <w:numFmt w:val="decimal"/>
      <w:pStyle w:val="zaglavlje"/>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42D05A1F"/>
    <w:multiLevelType w:val="hybridMultilevel"/>
    <w:tmpl w:val="1F3EED6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44193858"/>
    <w:multiLevelType w:val="hybridMultilevel"/>
    <w:tmpl w:val="CC22AD40"/>
    <w:lvl w:ilvl="0" w:tplc="60D40E3E">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3" w15:restartNumberingAfterBreak="0">
    <w:nsid w:val="44912D69"/>
    <w:multiLevelType w:val="hybridMultilevel"/>
    <w:tmpl w:val="B85C14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44F11C31"/>
    <w:multiLevelType w:val="hybridMultilevel"/>
    <w:tmpl w:val="92FA18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15:restartNumberingAfterBreak="0">
    <w:nsid w:val="45EB16B6"/>
    <w:multiLevelType w:val="hybridMultilevel"/>
    <w:tmpl w:val="EEFE2294"/>
    <w:lvl w:ilvl="0" w:tplc="2EE8D94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467A7504"/>
    <w:multiLevelType w:val="hybridMultilevel"/>
    <w:tmpl w:val="BD7E0A5E"/>
    <w:lvl w:ilvl="0" w:tplc="041A001B">
      <w:start w:val="1"/>
      <w:numFmt w:val="lowerRoman"/>
      <w:lvlText w:val="%1."/>
      <w:lvlJc w:val="righ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75A001C"/>
    <w:multiLevelType w:val="hybridMultilevel"/>
    <w:tmpl w:val="B088D8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475D036A"/>
    <w:multiLevelType w:val="hybridMultilevel"/>
    <w:tmpl w:val="7310C374"/>
    <w:lvl w:ilvl="0" w:tplc="041A0019">
      <w:start w:val="1"/>
      <w:numFmt w:val="lowerLetter"/>
      <w:lvlText w:val="%1."/>
      <w:lvlJc w:val="left"/>
      <w:pPr>
        <w:ind w:left="720" w:hanging="360"/>
      </w:pPr>
      <w:rPr>
        <w:rFonts w:hint="default"/>
      </w:rPr>
    </w:lvl>
    <w:lvl w:ilvl="1" w:tplc="7162372E">
      <w:numFmt w:val="bullet"/>
      <w:lvlText w:val="–"/>
      <w:lvlJc w:val="left"/>
      <w:pPr>
        <w:ind w:left="1440" w:hanging="360"/>
      </w:pPr>
      <w:rPr>
        <w:rFonts w:ascii="Arial Unicode MS" w:eastAsia="Arial Unicode MS" w:hAnsi="Arial Unicode MS" w:cs="Arial Unicode MS" w:hint="eastAsia"/>
      </w:rPr>
    </w:lvl>
    <w:lvl w:ilvl="2" w:tplc="C5CA4C1E">
      <w:numFmt w:val="bullet"/>
      <w:lvlText w:val="-"/>
      <w:lvlJc w:val="left"/>
      <w:pPr>
        <w:ind w:left="2340" w:hanging="360"/>
      </w:pPr>
      <w:rPr>
        <w:rFonts w:ascii="Arial Unicode MS" w:eastAsia="Arial Unicode MS" w:hAnsi="Arial Unicode MS" w:cs="Arial Unicode MS" w:hint="eastAsi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6D6472"/>
    <w:multiLevelType w:val="multilevel"/>
    <w:tmpl w:val="35AE9C34"/>
    <w:lvl w:ilvl="0">
      <w:start w:val="1"/>
      <w:numFmt w:val="decimal"/>
      <w:lvlText w:val="%1."/>
      <w:lvlJc w:val="left"/>
      <w:pPr>
        <w:ind w:left="432" w:hanging="432"/>
      </w:pPr>
      <w:rPr>
        <w:rFonts w:hint="default"/>
        <w:color w:val="C00000"/>
      </w:rPr>
    </w:lvl>
    <w:lvl w:ilvl="1">
      <w:start w:val="1"/>
      <w:numFmt w:val="decimal"/>
      <w:lvlText w:val="%1.%2."/>
      <w:lvlJc w:val="left"/>
      <w:pPr>
        <w:ind w:left="576" w:hanging="576"/>
      </w:pPr>
      <w:rPr>
        <w:rFonts w:hint="default"/>
        <w:strike w:val="0"/>
      </w:rPr>
    </w:lvl>
    <w:lvl w:ilvl="2">
      <w:start w:val="1"/>
      <w:numFmt w:val="decimal"/>
      <w:lvlText w:val="%1.%2.%3."/>
      <w:lvlJc w:val="left"/>
      <w:pPr>
        <w:ind w:left="341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48F64419"/>
    <w:multiLevelType w:val="hybridMultilevel"/>
    <w:tmpl w:val="8C029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493B1596"/>
    <w:multiLevelType w:val="hybridMultilevel"/>
    <w:tmpl w:val="9BA22334"/>
    <w:lvl w:ilvl="0" w:tplc="4D868F6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497838AE"/>
    <w:multiLevelType w:val="hybridMultilevel"/>
    <w:tmpl w:val="DBE6C696"/>
    <w:lvl w:ilvl="0" w:tplc="1FE03F6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4B606AEC"/>
    <w:multiLevelType w:val="hybridMultilevel"/>
    <w:tmpl w:val="5726E862"/>
    <w:lvl w:ilvl="0" w:tplc="446C6824">
      <w:numFmt w:val="bullet"/>
      <w:lvlText w:val="-"/>
      <w:lvlJc w:val="left"/>
      <w:pPr>
        <w:ind w:left="720" w:hanging="360"/>
      </w:pPr>
      <w:rPr>
        <w:rFonts w:ascii="Myriad Pro" w:eastAsia="Myriad Pro" w:hAnsi="Myriad Pro" w:cs="Myriad Pro"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C62099E"/>
    <w:multiLevelType w:val="hybridMultilevel"/>
    <w:tmpl w:val="3C760E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4CC73469"/>
    <w:multiLevelType w:val="hybridMultilevel"/>
    <w:tmpl w:val="ADF05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DAE5F27"/>
    <w:multiLevelType w:val="hybridMultilevel"/>
    <w:tmpl w:val="710413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4E9A30C0"/>
    <w:multiLevelType w:val="hybridMultilevel"/>
    <w:tmpl w:val="DAD6F2CC"/>
    <w:lvl w:ilvl="0" w:tplc="AE7E9674">
      <w:start w:val="1"/>
      <w:numFmt w:val="bullet"/>
      <w:lvlText w:val="-"/>
      <w:lvlJc w:val="left"/>
      <w:pPr>
        <w:ind w:left="801" w:hanging="360"/>
      </w:pPr>
      <w:rPr>
        <w:rFonts w:ascii="Courier New" w:hAnsi="Courier New" w:cs="Times New Roman" w:hint="default"/>
      </w:rPr>
    </w:lvl>
    <w:lvl w:ilvl="1" w:tplc="041A0003">
      <w:start w:val="1"/>
      <w:numFmt w:val="bullet"/>
      <w:lvlText w:val="o"/>
      <w:lvlJc w:val="left"/>
      <w:pPr>
        <w:ind w:left="1521" w:hanging="360"/>
      </w:pPr>
      <w:rPr>
        <w:rFonts w:ascii="Courier New" w:hAnsi="Courier New" w:cs="Courier New" w:hint="default"/>
      </w:rPr>
    </w:lvl>
    <w:lvl w:ilvl="2" w:tplc="041A0005">
      <w:start w:val="1"/>
      <w:numFmt w:val="bullet"/>
      <w:lvlText w:val=""/>
      <w:lvlJc w:val="left"/>
      <w:pPr>
        <w:ind w:left="2241" w:hanging="360"/>
      </w:pPr>
      <w:rPr>
        <w:rFonts w:ascii="Wingdings" w:hAnsi="Wingdings" w:hint="default"/>
      </w:rPr>
    </w:lvl>
    <w:lvl w:ilvl="3" w:tplc="041A0001">
      <w:start w:val="1"/>
      <w:numFmt w:val="bullet"/>
      <w:lvlText w:val=""/>
      <w:lvlJc w:val="left"/>
      <w:pPr>
        <w:ind w:left="2961" w:hanging="360"/>
      </w:pPr>
      <w:rPr>
        <w:rFonts w:ascii="Symbol" w:hAnsi="Symbol" w:hint="default"/>
      </w:rPr>
    </w:lvl>
    <w:lvl w:ilvl="4" w:tplc="041A0003">
      <w:start w:val="1"/>
      <w:numFmt w:val="bullet"/>
      <w:lvlText w:val="o"/>
      <w:lvlJc w:val="left"/>
      <w:pPr>
        <w:ind w:left="3681" w:hanging="360"/>
      </w:pPr>
      <w:rPr>
        <w:rFonts w:ascii="Courier New" w:hAnsi="Courier New" w:cs="Courier New" w:hint="default"/>
      </w:rPr>
    </w:lvl>
    <w:lvl w:ilvl="5" w:tplc="041A0005">
      <w:start w:val="1"/>
      <w:numFmt w:val="bullet"/>
      <w:lvlText w:val=""/>
      <w:lvlJc w:val="left"/>
      <w:pPr>
        <w:ind w:left="4401" w:hanging="360"/>
      </w:pPr>
      <w:rPr>
        <w:rFonts w:ascii="Wingdings" w:hAnsi="Wingdings" w:hint="default"/>
      </w:rPr>
    </w:lvl>
    <w:lvl w:ilvl="6" w:tplc="041A0001">
      <w:start w:val="1"/>
      <w:numFmt w:val="bullet"/>
      <w:lvlText w:val=""/>
      <w:lvlJc w:val="left"/>
      <w:pPr>
        <w:ind w:left="5121" w:hanging="360"/>
      </w:pPr>
      <w:rPr>
        <w:rFonts w:ascii="Symbol" w:hAnsi="Symbol" w:hint="default"/>
      </w:rPr>
    </w:lvl>
    <w:lvl w:ilvl="7" w:tplc="041A0003">
      <w:start w:val="1"/>
      <w:numFmt w:val="bullet"/>
      <w:lvlText w:val="o"/>
      <w:lvlJc w:val="left"/>
      <w:pPr>
        <w:ind w:left="5841" w:hanging="360"/>
      </w:pPr>
      <w:rPr>
        <w:rFonts w:ascii="Courier New" w:hAnsi="Courier New" w:cs="Courier New" w:hint="default"/>
      </w:rPr>
    </w:lvl>
    <w:lvl w:ilvl="8" w:tplc="041A0005">
      <w:start w:val="1"/>
      <w:numFmt w:val="bullet"/>
      <w:lvlText w:val=""/>
      <w:lvlJc w:val="left"/>
      <w:pPr>
        <w:ind w:left="6561" w:hanging="360"/>
      </w:pPr>
      <w:rPr>
        <w:rFonts w:ascii="Wingdings" w:hAnsi="Wingdings" w:hint="default"/>
      </w:rPr>
    </w:lvl>
  </w:abstractNum>
  <w:abstractNum w:abstractNumId="88" w15:restartNumberingAfterBreak="0">
    <w:nsid w:val="4EB11CE5"/>
    <w:multiLevelType w:val="hybridMultilevel"/>
    <w:tmpl w:val="84CC03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2CD392F"/>
    <w:multiLevelType w:val="hybridMultilevel"/>
    <w:tmpl w:val="F37215F4"/>
    <w:lvl w:ilvl="0" w:tplc="10EEC21C">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5311092A"/>
    <w:multiLevelType w:val="hybridMultilevel"/>
    <w:tmpl w:val="A1163800"/>
    <w:lvl w:ilvl="0" w:tplc="99EA51DA">
      <w:start w:val="3"/>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1" w15:restartNumberingAfterBreak="0">
    <w:nsid w:val="54132476"/>
    <w:multiLevelType w:val="hybridMultilevel"/>
    <w:tmpl w:val="D71CD234"/>
    <w:lvl w:ilvl="0" w:tplc="AE7E9674">
      <w:start w:val="1"/>
      <w:numFmt w:val="bullet"/>
      <w:lvlText w:val="-"/>
      <w:lvlJc w:val="left"/>
      <w:pPr>
        <w:ind w:left="1440" w:hanging="360"/>
      </w:pPr>
      <w:rPr>
        <w:rFonts w:ascii="Courier New" w:hAnsi="Courier New" w:cs="Times New Roman" w:hint="default"/>
      </w:rPr>
    </w:lvl>
    <w:lvl w:ilvl="1" w:tplc="51742EEC">
      <w:start w:val="6"/>
      <w:numFmt w:val="bullet"/>
      <w:lvlText w:val="-"/>
      <w:lvlJc w:val="left"/>
      <w:pPr>
        <w:ind w:left="2160" w:hanging="360"/>
      </w:pPr>
      <w:rPr>
        <w:rFonts w:ascii="Calibri" w:eastAsia="Calibri" w:hAnsi="Calibri" w:cs="Calibri" w:hint="default"/>
      </w:rPr>
    </w:lvl>
    <w:lvl w:ilvl="2" w:tplc="CFF68AD6">
      <w:start w:val="6"/>
      <w:numFmt w:val="bullet"/>
      <w:lvlText w:val="•"/>
      <w:lvlJc w:val="left"/>
      <w:pPr>
        <w:ind w:left="3060" w:hanging="360"/>
      </w:pPr>
      <w:rPr>
        <w:rFonts w:ascii="Calibri" w:eastAsia="Calibri" w:hAnsi="Calibri" w:cs="Calibri" w:hint="default"/>
      </w:rPr>
    </w:lvl>
    <w:lvl w:ilvl="3" w:tplc="041A000F">
      <w:start w:val="1"/>
      <w:numFmt w:val="decimal"/>
      <w:lvlText w:val="%4."/>
      <w:lvlJc w:val="left"/>
      <w:pPr>
        <w:ind w:left="3600" w:hanging="360"/>
      </w:pPr>
    </w:lvl>
    <w:lvl w:ilvl="4" w:tplc="041A0019">
      <w:start w:val="1"/>
      <w:numFmt w:val="lowerLetter"/>
      <w:lvlText w:val="%5."/>
      <w:lvlJc w:val="left"/>
      <w:pPr>
        <w:ind w:left="4320" w:hanging="360"/>
      </w:pPr>
    </w:lvl>
    <w:lvl w:ilvl="5" w:tplc="041A001B">
      <w:start w:val="1"/>
      <w:numFmt w:val="lowerRoman"/>
      <w:lvlText w:val="%6."/>
      <w:lvlJc w:val="right"/>
      <w:pPr>
        <w:ind w:left="5040" w:hanging="180"/>
      </w:pPr>
    </w:lvl>
    <w:lvl w:ilvl="6" w:tplc="041A000F">
      <w:start w:val="1"/>
      <w:numFmt w:val="decimal"/>
      <w:lvlText w:val="%7."/>
      <w:lvlJc w:val="left"/>
      <w:pPr>
        <w:ind w:left="5760" w:hanging="360"/>
      </w:pPr>
    </w:lvl>
    <w:lvl w:ilvl="7" w:tplc="041A0019">
      <w:start w:val="1"/>
      <w:numFmt w:val="lowerLetter"/>
      <w:lvlText w:val="%8."/>
      <w:lvlJc w:val="left"/>
      <w:pPr>
        <w:ind w:left="6480" w:hanging="360"/>
      </w:pPr>
    </w:lvl>
    <w:lvl w:ilvl="8" w:tplc="041A001B">
      <w:start w:val="1"/>
      <w:numFmt w:val="lowerRoman"/>
      <w:lvlText w:val="%9."/>
      <w:lvlJc w:val="right"/>
      <w:pPr>
        <w:ind w:left="7200" w:hanging="180"/>
      </w:pPr>
    </w:lvl>
  </w:abstractNum>
  <w:abstractNum w:abstractNumId="92" w15:restartNumberingAfterBreak="0">
    <w:nsid w:val="54A4675A"/>
    <w:multiLevelType w:val="hybridMultilevel"/>
    <w:tmpl w:val="71F8BC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557C5030"/>
    <w:multiLevelType w:val="hybridMultilevel"/>
    <w:tmpl w:val="BAACFB90"/>
    <w:lvl w:ilvl="0" w:tplc="A3DC9E34">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4" w15:restartNumberingAfterBreak="0">
    <w:nsid w:val="55AD1785"/>
    <w:multiLevelType w:val="hybridMultilevel"/>
    <w:tmpl w:val="B69AB3C8"/>
    <w:lvl w:ilvl="0" w:tplc="1AFA46C8">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5" w15:restartNumberingAfterBreak="0">
    <w:nsid w:val="567D335E"/>
    <w:multiLevelType w:val="hybridMultilevel"/>
    <w:tmpl w:val="D114A7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575E69C6"/>
    <w:multiLevelType w:val="hybridMultilevel"/>
    <w:tmpl w:val="15E44A3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57B73DBB"/>
    <w:multiLevelType w:val="hybridMultilevel"/>
    <w:tmpl w:val="F552DC5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8" w15:restartNumberingAfterBreak="0">
    <w:nsid w:val="58FC7616"/>
    <w:multiLevelType w:val="hybridMultilevel"/>
    <w:tmpl w:val="D9F64D8E"/>
    <w:styleLink w:val="1ai"/>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9" w15:restartNumberingAfterBreak="0">
    <w:nsid w:val="597513EE"/>
    <w:multiLevelType w:val="hybridMultilevel"/>
    <w:tmpl w:val="92566A2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0" w15:restartNumberingAfterBreak="0">
    <w:nsid w:val="59F12910"/>
    <w:multiLevelType w:val="hybridMultilevel"/>
    <w:tmpl w:val="082283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5A955C5B"/>
    <w:multiLevelType w:val="hybridMultilevel"/>
    <w:tmpl w:val="5ECC1F34"/>
    <w:lvl w:ilvl="0" w:tplc="DF4619A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2" w15:restartNumberingAfterBreak="0">
    <w:nsid w:val="5C48123F"/>
    <w:multiLevelType w:val="hybridMultilevel"/>
    <w:tmpl w:val="499418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5EC211AE"/>
    <w:multiLevelType w:val="hybridMultilevel"/>
    <w:tmpl w:val="FAE25A50"/>
    <w:lvl w:ilvl="0" w:tplc="041A0001">
      <w:start w:val="1"/>
      <w:numFmt w:val="bullet"/>
      <w:lvlText w:val=""/>
      <w:lvlJc w:val="left"/>
      <w:pPr>
        <w:ind w:left="720" w:hanging="360"/>
      </w:pPr>
      <w:rPr>
        <w:rFonts w:ascii="Symbol" w:hAnsi="Symbol" w:hint="default"/>
      </w:rPr>
    </w:lvl>
    <w:lvl w:ilvl="1" w:tplc="AE7E9674">
      <w:start w:val="1"/>
      <w:numFmt w:val="bullet"/>
      <w:lvlText w:val="-"/>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4" w15:restartNumberingAfterBreak="0">
    <w:nsid w:val="60DA6930"/>
    <w:multiLevelType w:val="hybridMultilevel"/>
    <w:tmpl w:val="0890CE56"/>
    <w:lvl w:ilvl="0" w:tplc="9FC6FE3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61664483"/>
    <w:multiLevelType w:val="hybridMultilevel"/>
    <w:tmpl w:val="756415C6"/>
    <w:lvl w:ilvl="0" w:tplc="3F48FA0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6" w15:restartNumberingAfterBreak="0">
    <w:nsid w:val="61A84661"/>
    <w:multiLevelType w:val="hybridMultilevel"/>
    <w:tmpl w:val="8EE8022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15:restartNumberingAfterBreak="0">
    <w:nsid w:val="62D60734"/>
    <w:multiLevelType w:val="hybridMultilevel"/>
    <w:tmpl w:val="4F8C444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62E70AA2"/>
    <w:multiLevelType w:val="multilevel"/>
    <w:tmpl w:val="C3E6D92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4974085"/>
    <w:multiLevelType w:val="hybridMultilevel"/>
    <w:tmpl w:val="D5CA39E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64B12422"/>
    <w:multiLevelType w:val="hybridMultilevel"/>
    <w:tmpl w:val="B2EECABA"/>
    <w:styleLink w:val="111111"/>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1" w15:restartNumberingAfterBreak="0">
    <w:nsid w:val="64CC2921"/>
    <w:multiLevelType w:val="hybridMultilevel"/>
    <w:tmpl w:val="8B3E425A"/>
    <w:lvl w:ilvl="0" w:tplc="CB46D8E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667B44AA"/>
    <w:multiLevelType w:val="hybridMultilevel"/>
    <w:tmpl w:val="D75222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67491EA7"/>
    <w:multiLevelType w:val="hybridMultilevel"/>
    <w:tmpl w:val="4D4245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683E6202"/>
    <w:multiLevelType w:val="hybridMultilevel"/>
    <w:tmpl w:val="8E34C4F8"/>
    <w:lvl w:ilvl="0" w:tplc="7EC26992">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68C47DAC"/>
    <w:multiLevelType w:val="hybridMultilevel"/>
    <w:tmpl w:val="0F9076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692C7CD2"/>
    <w:multiLevelType w:val="hybridMultilevel"/>
    <w:tmpl w:val="B56EB5B2"/>
    <w:lvl w:ilvl="0" w:tplc="041A0001">
      <w:start w:val="1"/>
      <w:numFmt w:val="bullet"/>
      <w:lvlText w:val=""/>
      <w:lvlJc w:val="left"/>
      <w:pPr>
        <w:ind w:left="1077" w:hanging="360"/>
      </w:pPr>
      <w:rPr>
        <w:rFonts w:ascii="Symbol" w:hAnsi="Symbol" w:hint="default"/>
      </w:rPr>
    </w:lvl>
    <w:lvl w:ilvl="1" w:tplc="041A0003" w:tentative="1">
      <w:start w:val="1"/>
      <w:numFmt w:val="bullet"/>
      <w:lvlText w:val="o"/>
      <w:lvlJc w:val="left"/>
      <w:pPr>
        <w:ind w:left="1797" w:hanging="360"/>
      </w:pPr>
      <w:rPr>
        <w:rFonts w:ascii="Courier New" w:hAnsi="Courier New" w:cs="Courier New" w:hint="default"/>
      </w:rPr>
    </w:lvl>
    <w:lvl w:ilvl="2" w:tplc="041A0005" w:tentative="1">
      <w:start w:val="1"/>
      <w:numFmt w:val="bullet"/>
      <w:lvlText w:val=""/>
      <w:lvlJc w:val="left"/>
      <w:pPr>
        <w:ind w:left="2517" w:hanging="360"/>
      </w:pPr>
      <w:rPr>
        <w:rFonts w:ascii="Wingdings" w:hAnsi="Wingdings" w:hint="default"/>
      </w:rPr>
    </w:lvl>
    <w:lvl w:ilvl="3" w:tplc="041A0001" w:tentative="1">
      <w:start w:val="1"/>
      <w:numFmt w:val="bullet"/>
      <w:lvlText w:val=""/>
      <w:lvlJc w:val="left"/>
      <w:pPr>
        <w:ind w:left="3237" w:hanging="360"/>
      </w:pPr>
      <w:rPr>
        <w:rFonts w:ascii="Symbol" w:hAnsi="Symbol" w:hint="default"/>
      </w:rPr>
    </w:lvl>
    <w:lvl w:ilvl="4" w:tplc="041A0003" w:tentative="1">
      <w:start w:val="1"/>
      <w:numFmt w:val="bullet"/>
      <w:lvlText w:val="o"/>
      <w:lvlJc w:val="left"/>
      <w:pPr>
        <w:ind w:left="3957" w:hanging="360"/>
      </w:pPr>
      <w:rPr>
        <w:rFonts w:ascii="Courier New" w:hAnsi="Courier New" w:cs="Courier New" w:hint="default"/>
      </w:rPr>
    </w:lvl>
    <w:lvl w:ilvl="5" w:tplc="041A0005" w:tentative="1">
      <w:start w:val="1"/>
      <w:numFmt w:val="bullet"/>
      <w:lvlText w:val=""/>
      <w:lvlJc w:val="left"/>
      <w:pPr>
        <w:ind w:left="4677" w:hanging="360"/>
      </w:pPr>
      <w:rPr>
        <w:rFonts w:ascii="Wingdings" w:hAnsi="Wingdings" w:hint="default"/>
      </w:rPr>
    </w:lvl>
    <w:lvl w:ilvl="6" w:tplc="041A0001" w:tentative="1">
      <w:start w:val="1"/>
      <w:numFmt w:val="bullet"/>
      <w:lvlText w:val=""/>
      <w:lvlJc w:val="left"/>
      <w:pPr>
        <w:ind w:left="5397" w:hanging="360"/>
      </w:pPr>
      <w:rPr>
        <w:rFonts w:ascii="Symbol" w:hAnsi="Symbol" w:hint="default"/>
      </w:rPr>
    </w:lvl>
    <w:lvl w:ilvl="7" w:tplc="041A0003" w:tentative="1">
      <w:start w:val="1"/>
      <w:numFmt w:val="bullet"/>
      <w:lvlText w:val="o"/>
      <w:lvlJc w:val="left"/>
      <w:pPr>
        <w:ind w:left="6117" w:hanging="360"/>
      </w:pPr>
      <w:rPr>
        <w:rFonts w:ascii="Courier New" w:hAnsi="Courier New" w:cs="Courier New" w:hint="default"/>
      </w:rPr>
    </w:lvl>
    <w:lvl w:ilvl="8" w:tplc="041A0005" w:tentative="1">
      <w:start w:val="1"/>
      <w:numFmt w:val="bullet"/>
      <w:lvlText w:val=""/>
      <w:lvlJc w:val="left"/>
      <w:pPr>
        <w:ind w:left="6837" w:hanging="360"/>
      </w:pPr>
      <w:rPr>
        <w:rFonts w:ascii="Wingdings" w:hAnsi="Wingdings" w:hint="default"/>
      </w:rPr>
    </w:lvl>
  </w:abstractNum>
  <w:abstractNum w:abstractNumId="117" w15:restartNumberingAfterBreak="0">
    <w:nsid w:val="6AD5386D"/>
    <w:multiLevelType w:val="hybridMultilevel"/>
    <w:tmpl w:val="E55E040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8" w15:restartNumberingAfterBreak="0">
    <w:nsid w:val="6B684664"/>
    <w:multiLevelType w:val="hybridMultilevel"/>
    <w:tmpl w:val="B8FC1F10"/>
    <w:lvl w:ilvl="0" w:tplc="0012204E">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15:restartNumberingAfterBreak="0">
    <w:nsid w:val="6B8106AE"/>
    <w:multiLevelType w:val="hybridMultilevel"/>
    <w:tmpl w:val="E83CF7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6BB84F45"/>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6C2801DF"/>
    <w:multiLevelType w:val="hybridMultilevel"/>
    <w:tmpl w:val="FCA4D110"/>
    <w:lvl w:ilvl="0" w:tplc="F17A9F5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6C9F4D35"/>
    <w:multiLevelType w:val="hybridMultilevel"/>
    <w:tmpl w:val="3BCC79C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3" w15:restartNumberingAfterBreak="0">
    <w:nsid w:val="6CFE0D62"/>
    <w:multiLevelType w:val="hybridMultilevel"/>
    <w:tmpl w:val="0AC0CD88"/>
    <w:styleLink w:val="StyleBulleted"/>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24" w15:restartNumberingAfterBreak="0">
    <w:nsid w:val="6F196825"/>
    <w:multiLevelType w:val="hybridMultilevel"/>
    <w:tmpl w:val="2422A91A"/>
    <w:lvl w:ilvl="0" w:tplc="E41CB55C">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15:restartNumberingAfterBreak="0">
    <w:nsid w:val="70BB7602"/>
    <w:multiLevelType w:val="hybridMultilevel"/>
    <w:tmpl w:val="FC9A62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70F65C1A"/>
    <w:multiLevelType w:val="multilevel"/>
    <w:tmpl w:val="2354CA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7" w15:restartNumberingAfterBreak="0">
    <w:nsid w:val="71301BBB"/>
    <w:multiLevelType w:val="hybridMultilevel"/>
    <w:tmpl w:val="0F64E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717E4557"/>
    <w:multiLevelType w:val="hybridMultilevel"/>
    <w:tmpl w:val="BC36F2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722D76A0"/>
    <w:multiLevelType w:val="hybridMultilevel"/>
    <w:tmpl w:val="4B4E69AE"/>
    <w:lvl w:ilvl="0" w:tplc="AE7E9674">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733052A9"/>
    <w:multiLevelType w:val="hybridMultilevel"/>
    <w:tmpl w:val="F1AC011E"/>
    <w:lvl w:ilvl="0" w:tplc="F27E6F0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738C0117"/>
    <w:multiLevelType w:val="hybridMultilevel"/>
    <w:tmpl w:val="836091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2" w15:restartNumberingAfterBreak="0">
    <w:nsid w:val="74204F93"/>
    <w:multiLevelType w:val="hybridMultilevel"/>
    <w:tmpl w:val="F802FC80"/>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133" w15:restartNumberingAfterBreak="0">
    <w:nsid w:val="747F0182"/>
    <w:multiLevelType w:val="hybridMultilevel"/>
    <w:tmpl w:val="21E49ACE"/>
    <w:lvl w:ilvl="0" w:tplc="C3E6E576">
      <w:numFmt w:val="bullet"/>
      <w:lvlText w:val="-"/>
      <w:lvlJc w:val="left"/>
      <w:pPr>
        <w:ind w:left="791" w:hanging="360"/>
      </w:pPr>
      <w:rPr>
        <w:rFonts w:ascii="Calibri" w:eastAsiaTheme="minorHAnsi" w:hAnsi="Calibri" w:cs="Calibri" w:hint="default"/>
      </w:rPr>
    </w:lvl>
    <w:lvl w:ilvl="1" w:tplc="041A0003" w:tentative="1">
      <w:start w:val="1"/>
      <w:numFmt w:val="bullet"/>
      <w:lvlText w:val="o"/>
      <w:lvlJc w:val="left"/>
      <w:pPr>
        <w:ind w:left="1511" w:hanging="360"/>
      </w:pPr>
      <w:rPr>
        <w:rFonts w:ascii="Courier New" w:hAnsi="Courier New" w:cs="Courier New" w:hint="default"/>
      </w:rPr>
    </w:lvl>
    <w:lvl w:ilvl="2" w:tplc="041A0005" w:tentative="1">
      <w:start w:val="1"/>
      <w:numFmt w:val="bullet"/>
      <w:lvlText w:val=""/>
      <w:lvlJc w:val="left"/>
      <w:pPr>
        <w:ind w:left="2231" w:hanging="360"/>
      </w:pPr>
      <w:rPr>
        <w:rFonts w:ascii="Wingdings" w:hAnsi="Wingdings" w:hint="default"/>
      </w:rPr>
    </w:lvl>
    <w:lvl w:ilvl="3" w:tplc="041A0001" w:tentative="1">
      <w:start w:val="1"/>
      <w:numFmt w:val="bullet"/>
      <w:lvlText w:val=""/>
      <w:lvlJc w:val="left"/>
      <w:pPr>
        <w:ind w:left="2951" w:hanging="360"/>
      </w:pPr>
      <w:rPr>
        <w:rFonts w:ascii="Symbol" w:hAnsi="Symbol" w:hint="default"/>
      </w:rPr>
    </w:lvl>
    <w:lvl w:ilvl="4" w:tplc="041A0003" w:tentative="1">
      <w:start w:val="1"/>
      <w:numFmt w:val="bullet"/>
      <w:lvlText w:val="o"/>
      <w:lvlJc w:val="left"/>
      <w:pPr>
        <w:ind w:left="3671" w:hanging="360"/>
      </w:pPr>
      <w:rPr>
        <w:rFonts w:ascii="Courier New" w:hAnsi="Courier New" w:cs="Courier New" w:hint="default"/>
      </w:rPr>
    </w:lvl>
    <w:lvl w:ilvl="5" w:tplc="041A0005" w:tentative="1">
      <w:start w:val="1"/>
      <w:numFmt w:val="bullet"/>
      <w:lvlText w:val=""/>
      <w:lvlJc w:val="left"/>
      <w:pPr>
        <w:ind w:left="4391" w:hanging="360"/>
      </w:pPr>
      <w:rPr>
        <w:rFonts w:ascii="Wingdings" w:hAnsi="Wingdings" w:hint="default"/>
      </w:rPr>
    </w:lvl>
    <w:lvl w:ilvl="6" w:tplc="041A0001" w:tentative="1">
      <w:start w:val="1"/>
      <w:numFmt w:val="bullet"/>
      <w:lvlText w:val=""/>
      <w:lvlJc w:val="left"/>
      <w:pPr>
        <w:ind w:left="5111" w:hanging="360"/>
      </w:pPr>
      <w:rPr>
        <w:rFonts w:ascii="Symbol" w:hAnsi="Symbol" w:hint="default"/>
      </w:rPr>
    </w:lvl>
    <w:lvl w:ilvl="7" w:tplc="041A0003" w:tentative="1">
      <w:start w:val="1"/>
      <w:numFmt w:val="bullet"/>
      <w:lvlText w:val="o"/>
      <w:lvlJc w:val="left"/>
      <w:pPr>
        <w:ind w:left="5831" w:hanging="360"/>
      </w:pPr>
      <w:rPr>
        <w:rFonts w:ascii="Courier New" w:hAnsi="Courier New" w:cs="Courier New" w:hint="default"/>
      </w:rPr>
    </w:lvl>
    <w:lvl w:ilvl="8" w:tplc="041A0005" w:tentative="1">
      <w:start w:val="1"/>
      <w:numFmt w:val="bullet"/>
      <w:lvlText w:val=""/>
      <w:lvlJc w:val="left"/>
      <w:pPr>
        <w:ind w:left="6551" w:hanging="360"/>
      </w:pPr>
      <w:rPr>
        <w:rFonts w:ascii="Wingdings" w:hAnsi="Wingdings" w:hint="default"/>
      </w:rPr>
    </w:lvl>
  </w:abstractNum>
  <w:abstractNum w:abstractNumId="134" w15:restartNumberingAfterBreak="0">
    <w:nsid w:val="7645190D"/>
    <w:multiLevelType w:val="hybridMultilevel"/>
    <w:tmpl w:val="9D16FB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15:restartNumberingAfterBreak="0">
    <w:nsid w:val="774A11E3"/>
    <w:multiLevelType w:val="hybridMultilevel"/>
    <w:tmpl w:val="B95EE8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80A6924"/>
    <w:multiLevelType w:val="hybridMultilevel"/>
    <w:tmpl w:val="01B61720"/>
    <w:lvl w:ilvl="0" w:tplc="887A41F0">
      <w:start w:val="1"/>
      <w:numFmt w:val="lowerRoman"/>
      <w:lvlText w:val="%1."/>
      <w:lvlJc w:val="righ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70"/>
  </w:num>
  <w:num w:numId="3">
    <w:abstractNumId w:val="31"/>
  </w:num>
  <w:num w:numId="4">
    <w:abstractNumId w:val="1"/>
  </w:num>
  <w:num w:numId="5">
    <w:abstractNumId w:val="17"/>
  </w:num>
  <w:num w:numId="6">
    <w:abstractNumId w:val="36"/>
  </w:num>
  <w:num w:numId="7">
    <w:abstractNumId w:val="123"/>
  </w:num>
  <w:num w:numId="8">
    <w:abstractNumId w:val="110"/>
  </w:num>
  <w:num w:numId="9">
    <w:abstractNumId w:val="98"/>
  </w:num>
  <w:num w:numId="10">
    <w:abstractNumId w:val="6"/>
  </w:num>
  <w:num w:numId="11">
    <w:abstractNumId w:val="76"/>
  </w:num>
  <w:num w:numId="12">
    <w:abstractNumId w:val="89"/>
  </w:num>
  <w:num w:numId="13">
    <w:abstractNumId w:val="13"/>
  </w:num>
  <w:num w:numId="14">
    <w:abstractNumId w:val="3"/>
  </w:num>
  <w:num w:numId="15">
    <w:abstractNumId w:val="129"/>
  </w:num>
  <w:num w:numId="16">
    <w:abstractNumId w:val="127"/>
  </w:num>
  <w:num w:numId="17">
    <w:abstractNumId w:val="86"/>
  </w:num>
  <w:num w:numId="18">
    <w:abstractNumId w:val="22"/>
  </w:num>
  <w:num w:numId="19">
    <w:abstractNumId w:val="42"/>
  </w:num>
  <w:num w:numId="20">
    <w:abstractNumId w:val="51"/>
  </w:num>
  <w:num w:numId="21">
    <w:abstractNumId w:val="97"/>
  </w:num>
  <w:num w:numId="22">
    <w:abstractNumId w:val="54"/>
  </w:num>
  <w:num w:numId="23">
    <w:abstractNumId w:val="53"/>
  </w:num>
  <w:num w:numId="24">
    <w:abstractNumId w:val="58"/>
  </w:num>
  <w:num w:numId="25">
    <w:abstractNumId w:val="83"/>
  </w:num>
  <w:num w:numId="26">
    <w:abstractNumId w:val="87"/>
  </w:num>
  <w:num w:numId="27">
    <w:abstractNumId w:val="132"/>
  </w:num>
  <w:num w:numId="28">
    <w:abstractNumId w:val="133"/>
  </w:num>
  <w:num w:numId="29">
    <w:abstractNumId w:val="85"/>
  </w:num>
  <w:num w:numId="30">
    <w:abstractNumId w:val="38"/>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num>
  <w:num w:numId="33">
    <w:abstractNumId w:val="32"/>
  </w:num>
  <w:num w:numId="34">
    <w:abstractNumId w:val="23"/>
  </w:num>
  <w:num w:numId="35">
    <w:abstractNumId w:val="44"/>
  </w:num>
  <w:num w:numId="36">
    <w:abstractNumId w:val="77"/>
  </w:num>
  <w:num w:numId="37">
    <w:abstractNumId w:val="116"/>
  </w:num>
  <w:num w:numId="38">
    <w:abstractNumId w:val="48"/>
  </w:num>
  <w:num w:numId="39">
    <w:abstractNumId w:val="67"/>
  </w:num>
  <w:num w:numId="40">
    <w:abstractNumId w:val="109"/>
  </w:num>
  <w:num w:numId="41">
    <w:abstractNumId w:val="134"/>
  </w:num>
  <w:num w:numId="42">
    <w:abstractNumId w:val="39"/>
  </w:num>
  <w:num w:numId="43">
    <w:abstractNumId w:val="108"/>
  </w:num>
  <w:num w:numId="44">
    <w:abstractNumId w:val="102"/>
  </w:num>
  <w:num w:numId="45">
    <w:abstractNumId w:val="19"/>
  </w:num>
  <w:num w:numId="46">
    <w:abstractNumId w:val="112"/>
  </w:num>
  <w:num w:numId="47">
    <w:abstractNumId w:val="135"/>
  </w:num>
  <w:num w:numId="48">
    <w:abstractNumId w:val="25"/>
  </w:num>
  <w:num w:numId="49">
    <w:abstractNumId w:val="128"/>
  </w:num>
  <w:num w:numId="50">
    <w:abstractNumId w:val="63"/>
  </w:num>
  <w:num w:numId="51">
    <w:abstractNumId w:val="78"/>
  </w:num>
  <w:num w:numId="52">
    <w:abstractNumId w:val="99"/>
  </w:num>
  <w:num w:numId="53">
    <w:abstractNumId w:val="4"/>
  </w:num>
  <w:num w:numId="54">
    <w:abstractNumId w:val="82"/>
  </w:num>
  <w:num w:numId="55">
    <w:abstractNumId w:val="90"/>
  </w:num>
  <w:num w:numId="56">
    <w:abstractNumId w:val="124"/>
  </w:num>
  <w:num w:numId="57">
    <w:abstractNumId w:val="52"/>
  </w:num>
  <w:num w:numId="58">
    <w:abstractNumId w:val="114"/>
  </w:num>
  <w:num w:numId="59">
    <w:abstractNumId w:val="29"/>
  </w:num>
  <w:num w:numId="60">
    <w:abstractNumId w:val="55"/>
  </w:num>
  <w:num w:numId="61">
    <w:abstractNumId w:val="49"/>
  </w:num>
  <w:num w:numId="62">
    <w:abstractNumId w:val="62"/>
  </w:num>
  <w:num w:numId="63">
    <w:abstractNumId w:val="5"/>
  </w:num>
  <w:num w:numId="64">
    <w:abstractNumId w:val="20"/>
  </w:num>
  <w:num w:numId="65">
    <w:abstractNumId w:val="130"/>
  </w:num>
  <w:num w:numId="66">
    <w:abstractNumId w:val="40"/>
  </w:num>
  <w:num w:numId="67">
    <w:abstractNumId w:val="34"/>
  </w:num>
  <w:num w:numId="68">
    <w:abstractNumId w:val="11"/>
  </w:num>
  <w:num w:numId="69">
    <w:abstractNumId w:val="121"/>
  </w:num>
  <w:num w:numId="70">
    <w:abstractNumId w:val="10"/>
  </w:num>
  <w:num w:numId="71">
    <w:abstractNumId w:val="136"/>
  </w:num>
  <w:num w:numId="72">
    <w:abstractNumId w:val="21"/>
  </w:num>
  <w:num w:numId="73">
    <w:abstractNumId w:val="47"/>
  </w:num>
  <w:num w:numId="74">
    <w:abstractNumId w:val="111"/>
  </w:num>
  <w:num w:numId="75">
    <w:abstractNumId w:val="2"/>
  </w:num>
  <w:num w:numId="76">
    <w:abstractNumId w:val="104"/>
  </w:num>
  <w:num w:numId="77">
    <w:abstractNumId w:val="75"/>
  </w:num>
  <w:num w:numId="78">
    <w:abstractNumId w:val="105"/>
  </w:num>
  <w:num w:numId="79">
    <w:abstractNumId w:val="37"/>
  </w:num>
  <w:num w:numId="80">
    <w:abstractNumId w:val="33"/>
  </w:num>
  <w:num w:numId="81">
    <w:abstractNumId w:val="118"/>
  </w:num>
  <w:num w:numId="82">
    <w:abstractNumId w:val="72"/>
  </w:num>
  <w:num w:numId="83">
    <w:abstractNumId w:val="14"/>
  </w:num>
  <w:num w:numId="84">
    <w:abstractNumId w:val="93"/>
  </w:num>
  <w:num w:numId="85">
    <w:abstractNumId w:val="101"/>
  </w:num>
  <w:num w:numId="86">
    <w:abstractNumId w:val="41"/>
  </w:num>
  <w:num w:numId="87">
    <w:abstractNumId w:val="66"/>
  </w:num>
  <w:num w:numId="88">
    <w:abstractNumId w:val="81"/>
  </w:num>
  <w:num w:numId="89">
    <w:abstractNumId w:val="16"/>
  </w:num>
  <w:num w:numId="90">
    <w:abstractNumId w:val="117"/>
  </w:num>
  <w:num w:numId="91">
    <w:abstractNumId w:val="27"/>
  </w:num>
  <w:num w:numId="92">
    <w:abstractNumId w:val="69"/>
    <w:lvlOverride w:ilvl="0">
      <w:startOverride w:val="1"/>
    </w:lvlOverride>
    <w:lvlOverride w:ilvl="1"/>
    <w:lvlOverride w:ilvl="2"/>
    <w:lvlOverride w:ilvl="3"/>
    <w:lvlOverride w:ilvl="4"/>
    <w:lvlOverride w:ilvl="5"/>
    <w:lvlOverride w:ilvl="6"/>
    <w:lvlOverride w:ilvl="7"/>
    <w:lvlOverride w:ilvl="8"/>
  </w:num>
  <w:num w:numId="93">
    <w:abstractNumId w:val="57"/>
  </w:num>
  <w:num w:numId="94">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1"/>
  </w:num>
  <w:num w:numId="96">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num>
  <w:num w:numId="98">
    <w:abstractNumId w:val="103"/>
  </w:num>
  <w:num w:numId="99">
    <w:abstractNumId w:val="12"/>
  </w:num>
  <w:num w:numId="100">
    <w:abstractNumId w:val="88"/>
  </w:num>
  <w:num w:numId="101">
    <w:abstractNumId w:val="26"/>
  </w:num>
  <w:num w:numId="102">
    <w:abstractNumId w:val="45"/>
  </w:num>
  <w:num w:numId="103">
    <w:abstractNumId w:val="64"/>
  </w:num>
  <w:num w:numId="104">
    <w:abstractNumId w:val="80"/>
  </w:num>
  <w:num w:numId="105">
    <w:abstractNumId w:val="7"/>
  </w:num>
  <w:num w:numId="106">
    <w:abstractNumId w:val="95"/>
  </w:num>
  <w:num w:numId="107">
    <w:abstractNumId w:val="65"/>
  </w:num>
  <w:num w:numId="108">
    <w:abstractNumId w:val="122"/>
  </w:num>
  <w:num w:numId="109">
    <w:abstractNumId w:val="50"/>
  </w:num>
  <w:num w:numId="110">
    <w:abstractNumId w:val="84"/>
  </w:num>
  <w:num w:numId="111">
    <w:abstractNumId w:val="61"/>
  </w:num>
  <w:num w:numId="112">
    <w:abstractNumId w:val="28"/>
  </w:num>
  <w:num w:numId="113">
    <w:abstractNumId w:val="106"/>
  </w:num>
  <w:num w:numId="114">
    <w:abstractNumId w:val="94"/>
  </w:num>
  <w:num w:numId="115">
    <w:abstractNumId w:val="35"/>
  </w:num>
  <w:num w:numId="116">
    <w:abstractNumId w:val="126"/>
  </w:num>
  <w:num w:numId="11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
  </w:num>
  <w:num w:numId="204">
    <w:abstractNumId w:val="30"/>
  </w:num>
  <w:num w:numId="205">
    <w:abstractNumId w:val="100"/>
  </w:num>
  <w:num w:numId="206">
    <w:abstractNumId w:val="120"/>
  </w:num>
  <w:num w:numId="207">
    <w:abstractNumId w:val="9"/>
  </w:num>
  <w:num w:numId="208">
    <w:abstractNumId w:val="96"/>
  </w:num>
  <w:num w:numId="209">
    <w:abstractNumId w:val="8"/>
  </w:num>
  <w:num w:numId="210">
    <w:abstractNumId w:val="15"/>
  </w:num>
  <w:num w:numId="211">
    <w:abstractNumId w:val="107"/>
  </w:num>
  <w:num w:numId="212">
    <w:abstractNumId w:val="74"/>
  </w:num>
  <w:num w:numId="213">
    <w:abstractNumId w:val="113"/>
  </w:num>
  <w:num w:numId="214">
    <w:abstractNumId w:val="56"/>
  </w:num>
  <w:num w:numId="215">
    <w:abstractNumId w:val="92"/>
  </w:num>
  <w:num w:numId="216">
    <w:abstractNumId w:val="18"/>
  </w:num>
  <w:num w:numId="217">
    <w:abstractNumId w:val="125"/>
  </w:num>
  <w:num w:numId="218">
    <w:abstractNumId w:val="119"/>
  </w:num>
  <w:num w:numId="219">
    <w:abstractNumId w:val="115"/>
  </w:num>
  <w:num w:numId="220">
    <w:abstractNumId w:val="59"/>
  </w:num>
  <w:num w:numId="221">
    <w:abstractNumId w:val="73"/>
  </w:num>
  <w:num w:numId="222">
    <w:abstractNumId w:val="60"/>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hideSpellingErrors/>
  <w:hideGrammaticalErrors/>
  <w:stylePaneFormatFilter w:val="0401" w:allStyles="1" w:customStyles="0" w:latentStyles="0" w:stylesInUse="0" w:headingStyles="0" w:numberingStyles="0" w:tableStyles="0" w:directFormattingOnRuns="0" w:directFormattingOnParagraphs="0" w:directFormattingOnNumbering="1" w:directFormattingOnTables="0" w:clearFormatting="0" w:top3HeadingStyles="0" w:visibleStyles="0" w:alternateStyleNames="0"/>
  <w:defaultTabStop w:val="147"/>
  <w:hyphenationZone w:val="425"/>
  <w:doNotHyphenateCaps/>
  <w:defaultTableStyle w:val="TableGrid"/>
  <w:drawingGridHorizontalSpacing w:val="110"/>
  <w:drawingGridVerticalSpacing w:val="120"/>
  <w:displayHorizontalDrawingGridEvery w:val="0"/>
  <w:displayVerticalDrawingGridEvery w:val="3"/>
  <w:doNotShadeFormData/>
  <w:characterSpacingControl w:val="compressPunctuation"/>
  <w:noLineBreaksAfter w:lang="ja-JP" w:val="#$(@[{§ĄŁ‘“€"/>
  <w:noLineBreaksBefore w:lang="ja-JP" w:val="!%),-.:;?]}~°·˘–—’”•…‰"/>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U2NjYzMjC1MDK2NDZQ0lEKTi0uzszPAykwNKsFAGReZ1MtAAAA"/>
  </w:docVars>
  <w:rsids>
    <w:rsidRoot w:val="001235A1"/>
    <w:rsid w:val="000001B5"/>
    <w:rsid w:val="000004CB"/>
    <w:rsid w:val="000006EA"/>
    <w:rsid w:val="00000712"/>
    <w:rsid w:val="00000713"/>
    <w:rsid w:val="000008EE"/>
    <w:rsid w:val="000009CF"/>
    <w:rsid w:val="00000A05"/>
    <w:rsid w:val="00000BB7"/>
    <w:rsid w:val="00000C27"/>
    <w:rsid w:val="00000C32"/>
    <w:rsid w:val="00000C6A"/>
    <w:rsid w:val="00000C75"/>
    <w:rsid w:val="00000D02"/>
    <w:rsid w:val="00000D8F"/>
    <w:rsid w:val="00000D91"/>
    <w:rsid w:val="00000E1D"/>
    <w:rsid w:val="00000F24"/>
    <w:rsid w:val="00001105"/>
    <w:rsid w:val="000013F2"/>
    <w:rsid w:val="000014B3"/>
    <w:rsid w:val="000016AD"/>
    <w:rsid w:val="00001808"/>
    <w:rsid w:val="00001BB3"/>
    <w:rsid w:val="00001E51"/>
    <w:rsid w:val="00002049"/>
    <w:rsid w:val="000021C7"/>
    <w:rsid w:val="00002389"/>
    <w:rsid w:val="0000262A"/>
    <w:rsid w:val="00002693"/>
    <w:rsid w:val="000027F5"/>
    <w:rsid w:val="00002922"/>
    <w:rsid w:val="00002B6A"/>
    <w:rsid w:val="00002C0A"/>
    <w:rsid w:val="00002CE8"/>
    <w:rsid w:val="00002DA3"/>
    <w:rsid w:val="00002E7F"/>
    <w:rsid w:val="00002F64"/>
    <w:rsid w:val="00002FDE"/>
    <w:rsid w:val="00003143"/>
    <w:rsid w:val="000034D7"/>
    <w:rsid w:val="00003737"/>
    <w:rsid w:val="000037AE"/>
    <w:rsid w:val="00003806"/>
    <w:rsid w:val="00003A58"/>
    <w:rsid w:val="00003A7E"/>
    <w:rsid w:val="00003B0C"/>
    <w:rsid w:val="00003E80"/>
    <w:rsid w:val="00003EF6"/>
    <w:rsid w:val="0000407E"/>
    <w:rsid w:val="0000407F"/>
    <w:rsid w:val="000040CC"/>
    <w:rsid w:val="0000429F"/>
    <w:rsid w:val="0000431C"/>
    <w:rsid w:val="00004324"/>
    <w:rsid w:val="00004508"/>
    <w:rsid w:val="00004560"/>
    <w:rsid w:val="000046B5"/>
    <w:rsid w:val="000047B8"/>
    <w:rsid w:val="000048F6"/>
    <w:rsid w:val="00004A58"/>
    <w:rsid w:val="00004A7F"/>
    <w:rsid w:val="00004ABF"/>
    <w:rsid w:val="00004BC5"/>
    <w:rsid w:val="00004E89"/>
    <w:rsid w:val="00004F87"/>
    <w:rsid w:val="00005050"/>
    <w:rsid w:val="0000506A"/>
    <w:rsid w:val="00005159"/>
    <w:rsid w:val="000052A9"/>
    <w:rsid w:val="00005365"/>
    <w:rsid w:val="00005421"/>
    <w:rsid w:val="0000546E"/>
    <w:rsid w:val="00005510"/>
    <w:rsid w:val="000058CB"/>
    <w:rsid w:val="00005989"/>
    <w:rsid w:val="000059E1"/>
    <w:rsid w:val="00005A40"/>
    <w:rsid w:val="00005AB5"/>
    <w:rsid w:val="00005BCF"/>
    <w:rsid w:val="00005CD0"/>
    <w:rsid w:val="00005D35"/>
    <w:rsid w:val="00005D6D"/>
    <w:rsid w:val="00005D6E"/>
    <w:rsid w:val="00005E80"/>
    <w:rsid w:val="00005F83"/>
    <w:rsid w:val="0000605D"/>
    <w:rsid w:val="00006077"/>
    <w:rsid w:val="000060D2"/>
    <w:rsid w:val="000063A2"/>
    <w:rsid w:val="000067BA"/>
    <w:rsid w:val="000068EE"/>
    <w:rsid w:val="00006A0B"/>
    <w:rsid w:val="00006ABF"/>
    <w:rsid w:val="00006BDA"/>
    <w:rsid w:val="00006E01"/>
    <w:rsid w:val="00006E87"/>
    <w:rsid w:val="00007016"/>
    <w:rsid w:val="00007341"/>
    <w:rsid w:val="00007346"/>
    <w:rsid w:val="0000738F"/>
    <w:rsid w:val="00007474"/>
    <w:rsid w:val="0000751E"/>
    <w:rsid w:val="00007537"/>
    <w:rsid w:val="000075D2"/>
    <w:rsid w:val="00007673"/>
    <w:rsid w:val="00007738"/>
    <w:rsid w:val="000077D8"/>
    <w:rsid w:val="0000791E"/>
    <w:rsid w:val="00007A76"/>
    <w:rsid w:val="00007B69"/>
    <w:rsid w:val="00007B8D"/>
    <w:rsid w:val="00007B91"/>
    <w:rsid w:val="00007CAB"/>
    <w:rsid w:val="00007D8D"/>
    <w:rsid w:val="00007DD4"/>
    <w:rsid w:val="00007E1E"/>
    <w:rsid w:val="00007EC3"/>
    <w:rsid w:val="00007ECD"/>
    <w:rsid w:val="00010143"/>
    <w:rsid w:val="000101A9"/>
    <w:rsid w:val="000101C6"/>
    <w:rsid w:val="000102B1"/>
    <w:rsid w:val="000102CE"/>
    <w:rsid w:val="0001033C"/>
    <w:rsid w:val="000105F4"/>
    <w:rsid w:val="0001067C"/>
    <w:rsid w:val="00010963"/>
    <w:rsid w:val="000109CA"/>
    <w:rsid w:val="00010A13"/>
    <w:rsid w:val="00010A88"/>
    <w:rsid w:val="00010C44"/>
    <w:rsid w:val="00010C80"/>
    <w:rsid w:val="00010CCD"/>
    <w:rsid w:val="00010DF3"/>
    <w:rsid w:val="00010DF4"/>
    <w:rsid w:val="00010DFB"/>
    <w:rsid w:val="0001118C"/>
    <w:rsid w:val="0001163F"/>
    <w:rsid w:val="00011750"/>
    <w:rsid w:val="000117F2"/>
    <w:rsid w:val="00011906"/>
    <w:rsid w:val="00011D51"/>
    <w:rsid w:val="00011FAE"/>
    <w:rsid w:val="0001214A"/>
    <w:rsid w:val="000122C3"/>
    <w:rsid w:val="00012522"/>
    <w:rsid w:val="000125F5"/>
    <w:rsid w:val="000127DD"/>
    <w:rsid w:val="000127EE"/>
    <w:rsid w:val="00012932"/>
    <w:rsid w:val="0001299F"/>
    <w:rsid w:val="000129B3"/>
    <w:rsid w:val="00012A54"/>
    <w:rsid w:val="00012CC6"/>
    <w:rsid w:val="00012DB0"/>
    <w:rsid w:val="00012DF5"/>
    <w:rsid w:val="00012FC0"/>
    <w:rsid w:val="00013027"/>
    <w:rsid w:val="000132F5"/>
    <w:rsid w:val="0001331F"/>
    <w:rsid w:val="00013365"/>
    <w:rsid w:val="00013372"/>
    <w:rsid w:val="0001360B"/>
    <w:rsid w:val="00013736"/>
    <w:rsid w:val="000137BF"/>
    <w:rsid w:val="000138D5"/>
    <w:rsid w:val="00013E53"/>
    <w:rsid w:val="00013F73"/>
    <w:rsid w:val="000141CE"/>
    <w:rsid w:val="000142D2"/>
    <w:rsid w:val="00014305"/>
    <w:rsid w:val="00014522"/>
    <w:rsid w:val="00014559"/>
    <w:rsid w:val="00014944"/>
    <w:rsid w:val="00014BC2"/>
    <w:rsid w:val="00014DDA"/>
    <w:rsid w:val="00014FE6"/>
    <w:rsid w:val="00015118"/>
    <w:rsid w:val="00015125"/>
    <w:rsid w:val="000156F9"/>
    <w:rsid w:val="00015733"/>
    <w:rsid w:val="0001578B"/>
    <w:rsid w:val="00015837"/>
    <w:rsid w:val="000158B8"/>
    <w:rsid w:val="00015BE6"/>
    <w:rsid w:val="00015C96"/>
    <w:rsid w:val="00015D5E"/>
    <w:rsid w:val="00015E53"/>
    <w:rsid w:val="00015F05"/>
    <w:rsid w:val="00015F0B"/>
    <w:rsid w:val="00015F96"/>
    <w:rsid w:val="00015FF3"/>
    <w:rsid w:val="00016193"/>
    <w:rsid w:val="00016297"/>
    <w:rsid w:val="00016439"/>
    <w:rsid w:val="00016484"/>
    <w:rsid w:val="0001657E"/>
    <w:rsid w:val="00016601"/>
    <w:rsid w:val="00016614"/>
    <w:rsid w:val="00016698"/>
    <w:rsid w:val="0001681F"/>
    <w:rsid w:val="000168E7"/>
    <w:rsid w:val="00016A16"/>
    <w:rsid w:val="00016C45"/>
    <w:rsid w:val="00016CCC"/>
    <w:rsid w:val="00016E33"/>
    <w:rsid w:val="00016F7A"/>
    <w:rsid w:val="000170B3"/>
    <w:rsid w:val="000171A1"/>
    <w:rsid w:val="000171BC"/>
    <w:rsid w:val="0001724A"/>
    <w:rsid w:val="00017268"/>
    <w:rsid w:val="000172A1"/>
    <w:rsid w:val="00017443"/>
    <w:rsid w:val="000175B5"/>
    <w:rsid w:val="000178A0"/>
    <w:rsid w:val="0001796B"/>
    <w:rsid w:val="000179D7"/>
    <w:rsid w:val="00017A10"/>
    <w:rsid w:val="00017A2F"/>
    <w:rsid w:val="00017A31"/>
    <w:rsid w:val="00017A5E"/>
    <w:rsid w:val="00017AD7"/>
    <w:rsid w:val="00017BA1"/>
    <w:rsid w:val="00017C08"/>
    <w:rsid w:val="00017D40"/>
    <w:rsid w:val="00017D99"/>
    <w:rsid w:val="00017F41"/>
    <w:rsid w:val="00020061"/>
    <w:rsid w:val="0002006D"/>
    <w:rsid w:val="000200BD"/>
    <w:rsid w:val="000202B9"/>
    <w:rsid w:val="000202EE"/>
    <w:rsid w:val="000203B8"/>
    <w:rsid w:val="000205E3"/>
    <w:rsid w:val="0002066D"/>
    <w:rsid w:val="00020676"/>
    <w:rsid w:val="0002074D"/>
    <w:rsid w:val="000208D1"/>
    <w:rsid w:val="00020BA4"/>
    <w:rsid w:val="00020BC9"/>
    <w:rsid w:val="00020BCF"/>
    <w:rsid w:val="00020DD3"/>
    <w:rsid w:val="00020DEC"/>
    <w:rsid w:val="00020E56"/>
    <w:rsid w:val="00020F40"/>
    <w:rsid w:val="00020FDD"/>
    <w:rsid w:val="00020FEF"/>
    <w:rsid w:val="00021007"/>
    <w:rsid w:val="00021013"/>
    <w:rsid w:val="0002118B"/>
    <w:rsid w:val="00021245"/>
    <w:rsid w:val="0002128C"/>
    <w:rsid w:val="00021320"/>
    <w:rsid w:val="0002149A"/>
    <w:rsid w:val="000214DA"/>
    <w:rsid w:val="0002164E"/>
    <w:rsid w:val="00021725"/>
    <w:rsid w:val="00021757"/>
    <w:rsid w:val="000217F7"/>
    <w:rsid w:val="00021815"/>
    <w:rsid w:val="000218BB"/>
    <w:rsid w:val="000219E5"/>
    <w:rsid w:val="00021B96"/>
    <w:rsid w:val="00021D3A"/>
    <w:rsid w:val="00021F4A"/>
    <w:rsid w:val="00021F5D"/>
    <w:rsid w:val="00022046"/>
    <w:rsid w:val="00022066"/>
    <w:rsid w:val="00022575"/>
    <w:rsid w:val="000226E6"/>
    <w:rsid w:val="000227BB"/>
    <w:rsid w:val="0002292D"/>
    <w:rsid w:val="00022CEB"/>
    <w:rsid w:val="00022ED6"/>
    <w:rsid w:val="0002322F"/>
    <w:rsid w:val="000232D6"/>
    <w:rsid w:val="000239A5"/>
    <w:rsid w:val="00023C03"/>
    <w:rsid w:val="00023C20"/>
    <w:rsid w:val="00023C21"/>
    <w:rsid w:val="00023CE9"/>
    <w:rsid w:val="00023E51"/>
    <w:rsid w:val="00023F0B"/>
    <w:rsid w:val="00023FC5"/>
    <w:rsid w:val="00023FD8"/>
    <w:rsid w:val="00023FF4"/>
    <w:rsid w:val="000240B9"/>
    <w:rsid w:val="000241C1"/>
    <w:rsid w:val="000241E7"/>
    <w:rsid w:val="000243A1"/>
    <w:rsid w:val="00024442"/>
    <w:rsid w:val="0002449B"/>
    <w:rsid w:val="000244A8"/>
    <w:rsid w:val="00024572"/>
    <w:rsid w:val="00024681"/>
    <w:rsid w:val="00024A39"/>
    <w:rsid w:val="00024AA5"/>
    <w:rsid w:val="00024D11"/>
    <w:rsid w:val="00024E91"/>
    <w:rsid w:val="00024EE4"/>
    <w:rsid w:val="00024F8F"/>
    <w:rsid w:val="00024FC0"/>
    <w:rsid w:val="00025063"/>
    <w:rsid w:val="000250A9"/>
    <w:rsid w:val="0002513F"/>
    <w:rsid w:val="000251B0"/>
    <w:rsid w:val="00025273"/>
    <w:rsid w:val="00025308"/>
    <w:rsid w:val="000254FF"/>
    <w:rsid w:val="0002550C"/>
    <w:rsid w:val="00025800"/>
    <w:rsid w:val="000258D4"/>
    <w:rsid w:val="000258E5"/>
    <w:rsid w:val="00025A32"/>
    <w:rsid w:val="00025CA9"/>
    <w:rsid w:val="00025F3A"/>
    <w:rsid w:val="000260DC"/>
    <w:rsid w:val="000261A7"/>
    <w:rsid w:val="0002620A"/>
    <w:rsid w:val="00026338"/>
    <w:rsid w:val="000263FA"/>
    <w:rsid w:val="00026810"/>
    <w:rsid w:val="00026824"/>
    <w:rsid w:val="000268AE"/>
    <w:rsid w:val="00026B40"/>
    <w:rsid w:val="00026B64"/>
    <w:rsid w:val="00026DB1"/>
    <w:rsid w:val="00026DD2"/>
    <w:rsid w:val="00026EB2"/>
    <w:rsid w:val="00026F07"/>
    <w:rsid w:val="00026FAB"/>
    <w:rsid w:val="00027109"/>
    <w:rsid w:val="0002724E"/>
    <w:rsid w:val="0002725A"/>
    <w:rsid w:val="0002730E"/>
    <w:rsid w:val="0002740A"/>
    <w:rsid w:val="000275DC"/>
    <w:rsid w:val="000276CA"/>
    <w:rsid w:val="00027A34"/>
    <w:rsid w:val="00027B6B"/>
    <w:rsid w:val="00027B9B"/>
    <w:rsid w:val="00027BEB"/>
    <w:rsid w:val="00027D44"/>
    <w:rsid w:val="00027DBB"/>
    <w:rsid w:val="00027DC6"/>
    <w:rsid w:val="00027FBB"/>
    <w:rsid w:val="000300EF"/>
    <w:rsid w:val="00030313"/>
    <w:rsid w:val="00030411"/>
    <w:rsid w:val="0003051B"/>
    <w:rsid w:val="00030738"/>
    <w:rsid w:val="00030749"/>
    <w:rsid w:val="0003079D"/>
    <w:rsid w:val="0003083D"/>
    <w:rsid w:val="0003086B"/>
    <w:rsid w:val="0003086C"/>
    <w:rsid w:val="00030CB6"/>
    <w:rsid w:val="00030D4E"/>
    <w:rsid w:val="00030EB0"/>
    <w:rsid w:val="00030EFD"/>
    <w:rsid w:val="00031028"/>
    <w:rsid w:val="00031326"/>
    <w:rsid w:val="00031428"/>
    <w:rsid w:val="00031549"/>
    <w:rsid w:val="00031790"/>
    <w:rsid w:val="00031999"/>
    <w:rsid w:val="000319DC"/>
    <w:rsid w:val="00031C33"/>
    <w:rsid w:val="00031C75"/>
    <w:rsid w:val="00031D9F"/>
    <w:rsid w:val="00031E35"/>
    <w:rsid w:val="00031F78"/>
    <w:rsid w:val="0003215E"/>
    <w:rsid w:val="00032170"/>
    <w:rsid w:val="00032233"/>
    <w:rsid w:val="00032271"/>
    <w:rsid w:val="0003240E"/>
    <w:rsid w:val="000325B1"/>
    <w:rsid w:val="00032797"/>
    <w:rsid w:val="00032809"/>
    <w:rsid w:val="00032AC0"/>
    <w:rsid w:val="00032BEE"/>
    <w:rsid w:val="00032C6C"/>
    <w:rsid w:val="00032D21"/>
    <w:rsid w:val="00032D26"/>
    <w:rsid w:val="00032D2A"/>
    <w:rsid w:val="00032F48"/>
    <w:rsid w:val="00032F56"/>
    <w:rsid w:val="00033089"/>
    <w:rsid w:val="000330B3"/>
    <w:rsid w:val="0003311D"/>
    <w:rsid w:val="0003317F"/>
    <w:rsid w:val="000332D8"/>
    <w:rsid w:val="000332F4"/>
    <w:rsid w:val="000333E1"/>
    <w:rsid w:val="00033410"/>
    <w:rsid w:val="00033456"/>
    <w:rsid w:val="0003354B"/>
    <w:rsid w:val="000336C7"/>
    <w:rsid w:val="000339AC"/>
    <w:rsid w:val="00033BE3"/>
    <w:rsid w:val="00033D51"/>
    <w:rsid w:val="00033E90"/>
    <w:rsid w:val="00033F57"/>
    <w:rsid w:val="00033FA6"/>
    <w:rsid w:val="00034027"/>
    <w:rsid w:val="00034057"/>
    <w:rsid w:val="0003413F"/>
    <w:rsid w:val="000346B9"/>
    <w:rsid w:val="00034717"/>
    <w:rsid w:val="0003494B"/>
    <w:rsid w:val="00034D5C"/>
    <w:rsid w:val="00035013"/>
    <w:rsid w:val="000352F0"/>
    <w:rsid w:val="0003534C"/>
    <w:rsid w:val="000353BD"/>
    <w:rsid w:val="000356E7"/>
    <w:rsid w:val="00035873"/>
    <w:rsid w:val="000358CB"/>
    <w:rsid w:val="000358CF"/>
    <w:rsid w:val="00036121"/>
    <w:rsid w:val="000361AE"/>
    <w:rsid w:val="000364A9"/>
    <w:rsid w:val="00036540"/>
    <w:rsid w:val="0003667A"/>
    <w:rsid w:val="00036910"/>
    <w:rsid w:val="000369B9"/>
    <w:rsid w:val="00036BA4"/>
    <w:rsid w:val="00036C9E"/>
    <w:rsid w:val="00036CF1"/>
    <w:rsid w:val="00036D1D"/>
    <w:rsid w:val="00036E67"/>
    <w:rsid w:val="00036EBD"/>
    <w:rsid w:val="00036FE2"/>
    <w:rsid w:val="0003710E"/>
    <w:rsid w:val="00037346"/>
    <w:rsid w:val="000373F1"/>
    <w:rsid w:val="0003756C"/>
    <w:rsid w:val="000375B5"/>
    <w:rsid w:val="0003775B"/>
    <w:rsid w:val="00037954"/>
    <w:rsid w:val="00037A7E"/>
    <w:rsid w:val="00037D15"/>
    <w:rsid w:val="00037DAB"/>
    <w:rsid w:val="00040016"/>
    <w:rsid w:val="0004003E"/>
    <w:rsid w:val="0004020A"/>
    <w:rsid w:val="0004023D"/>
    <w:rsid w:val="00040256"/>
    <w:rsid w:val="000402A5"/>
    <w:rsid w:val="00040383"/>
    <w:rsid w:val="000403AA"/>
    <w:rsid w:val="00040572"/>
    <w:rsid w:val="0004061E"/>
    <w:rsid w:val="000407D3"/>
    <w:rsid w:val="000408F5"/>
    <w:rsid w:val="00040980"/>
    <w:rsid w:val="00040B5C"/>
    <w:rsid w:val="00040C2E"/>
    <w:rsid w:val="00040C48"/>
    <w:rsid w:val="00040C55"/>
    <w:rsid w:val="00040D2E"/>
    <w:rsid w:val="00040D3B"/>
    <w:rsid w:val="00040DEF"/>
    <w:rsid w:val="000410BC"/>
    <w:rsid w:val="00041144"/>
    <w:rsid w:val="000411EA"/>
    <w:rsid w:val="000411FE"/>
    <w:rsid w:val="0004135A"/>
    <w:rsid w:val="000415BF"/>
    <w:rsid w:val="00041626"/>
    <w:rsid w:val="0004167A"/>
    <w:rsid w:val="000416E6"/>
    <w:rsid w:val="00041736"/>
    <w:rsid w:val="00041B7C"/>
    <w:rsid w:val="00041D76"/>
    <w:rsid w:val="00041E0D"/>
    <w:rsid w:val="00041FD1"/>
    <w:rsid w:val="0004217E"/>
    <w:rsid w:val="00042195"/>
    <w:rsid w:val="000421A6"/>
    <w:rsid w:val="00042308"/>
    <w:rsid w:val="0004236C"/>
    <w:rsid w:val="000423C1"/>
    <w:rsid w:val="000424F4"/>
    <w:rsid w:val="0004253A"/>
    <w:rsid w:val="000429CE"/>
    <w:rsid w:val="00042A0B"/>
    <w:rsid w:val="00042A68"/>
    <w:rsid w:val="00042C3E"/>
    <w:rsid w:val="00042C6F"/>
    <w:rsid w:val="00042D9A"/>
    <w:rsid w:val="00042DB5"/>
    <w:rsid w:val="000430E3"/>
    <w:rsid w:val="0004312B"/>
    <w:rsid w:val="00043132"/>
    <w:rsid w:val="000432D0"/>
    <w:rsid w:val="00043306"/>
    <w:rsid w:val="0004357A"/>
    <w:rsid w:val="0004362A"/>
    <w:rsid w:val="000436D2"/>
    <w:rsid w:val="0004372D"/>
    <w:rsid w:val="0004375E"/>
    <w:rsid w:val="00043874"/>
    <w:rsid w:val="000438BC"/>
    <w:rsid w:val="00043934"/>
    <w:rsid w:val="00043A22"/>
    <w:rsid w:val="00043AA2"/>
    <w:rsid w:val="00043DF5"/>
    <w:rsid w:val="00044035"/>
    <w:rsid w:val="000440BF"/>
    <w:rsid w:val="00044107"/>
    <w:rsid w:val="00044181"/>
    <w:rsid w:val="000441DC"/>
    <w:rsid w:val="000441EB"/>
    <w:rsid w:val="00044325"/>
    <w:rsid w:val="000443D3"/>
    <w:rsid w:val="000443D8"/>
    <w:rsid w:val="000444F7"/>
    <w:rsid w:val="0004455E"/>
    <w:rsid w:val="00044647"/>
    <w:rsid w:val="000446A4"/>
    <w:rsid w:val="000446DB"/>
    <w:rsid w:val="00044752"/>
    <w:rsid w:val="000447D7"/>
    <w:rsid w:val="000447E5"/>
    <w:rsid w:val="000448AA"/>
    <w:rsid w:val="000449D2"/>
    <w:rsid w:val="000449F8"/>
    <w:rsid w:val="00044B68"/>
    <w:rsid w:val="00044BE9"/>
    <w:rsid w:val="00044C13"/>
    <w:rsid w:val="00044C47"/>
    <w:rsid w:val="00044CC0"/>
    <w:rsid w:val="00044D5D"/>
    <w:rsid w:val="00044F7A"/>
    <w:rsid w:val="00044FCC"/>
    <w:rsid w:val="00045008"/>
    <w:rsid w:val="00045148"/>
    <w:rsid w:val="00045196"/>
    <w:rsid w:val="00045213"/>
    <w:rsid w:val="0004529D"/>
    <w:rsid w:val="000452B7"/>
    <w:rsid w:val="000452BF"/>
    <w:rsid w:val="00045347"/>
    <w:rsid w:val="0004555B"/>
    <w:rsid w:val="00045627"/>
    <w:rsid w:val="000456D9"/>
    <w:rsid w:val="00045725"/>
    <w:rsid w:val="00045836"/>
    <w:rsid w:val="0004584E"/>
    <w:rsid w:val="00045A40"/>
    <w:rsid w:val="00045A68"/>
    <w:rsid w:val="00045A9F"/>
    <w:rsid w:val="00045B85"/>
    <w:rsid w:val="00045CA1"/>
    <w:rsid w:val="00045DFF"/>
    <w:rsid w:val="00045E56"/>
    <w:rsid w:val="00045F23"/>
    <w:rsid w:val="00045F57"/>
    <w:rsid w:val="0004628C"/>
    <w:rsid w:val="000465CA"/>
    <w:rsid w:val="000465F6"/>
    <w:rsid w:val="0004673D"/>
    <w:rsid w:val="000467E5"/>
    <w:rsid w:val="00046B4B"/>
    <w:rsid w:val="00046D46"/>
    <w:rsid w:val="00046D89"/>
    <w:rsid w:val="00046F28"/>
    <w:rsid w:val="00047123"/>
    <w:rsid w:val="0004721B"/>
    <w:rsid w:val="0004737B"/>
    <w:rsid w:val="00047445"/>
    <w:rsid w:val="000474F3"/>
    <w:rsid w:val="00047727"/>
    <w:rsid w:val="00047899"/>
    <w:rsid w:val="00047B33"/>
    <w:rsid w:val="00047C91"/>
    <w:rsid w:val="00047D9C"/>
    <w:rsid w:val="00047FD6"/>
    <w:rsid w:val="00047FDB"/>
    <w:rsid w:val="000500A3"/>
    <w:rsid w:val="000500C7"/>
    <w:rsid w:val="000501A3"/>
    <w:rsid w:val="000501AE"/>
    <w:rsid w:val="000501D1"/>
    <w:rsid w:val="00050292"/>
    <w:rsid w:val="0005030E"/>
    <w:rsid w:val="000503F8"/>
    <w:rsid w:val="0005044A"/>
    <w:rsid w:val="000505EA"/>
    <w:rsid w:val="0005067F"/>
    <w:rsid w:val="00050913"/>
    <w:rsid w:val="0005099E"/>
    <w:rsid w:val="000509EA"/>
    <w:rsid w:val="00050B27"/>
    <w:rsid w:val="00050B44"/>
    <w:rsid w:val="00050C68"/>
    <w:rsid w:val="00050D85"/>
    <w:rsid w:val="00050DB9"/>
    <w:rsid w:val="00050DFB"/>
    <w:rsid w:val="00050E51"/>
    <w:rsid w:val="00050F4B"/>
    <w:rsid w:val="00051083"/>
    <w:rsid w:val="00051434"/>
    <w:rsid w:val="0005155B"/>
    <w:rsid w:val="00051680"/>
    <w:rsid w:val="000518C5"/>
    <w:rsid w:val="000518D3"/>
    <w:rsid w:val="0005192A"/>
    <w:rsid w:val="0005195C"/>
    <w:rsid w:val="00051989"/>
    <w:rsid w:val="00051ACE"/>
    <w:rsid w:val="00051CFE"/>
    <w:rsid w:val="00051F0A"/>
    <w:rsid w:val="00051F41"/>
    <w:rsid w:val="000523FA"/>
    <w:rsid w:val="00052448"/>
    <w:rsid w:val="000524A9"/>
    <w:rsid w:val="00052593"/>
    <w:rsid w:val="000526F2"/>
    <w:rsid w:val="000527D6"/>
    <w:rsid w:val="000527F4"/>
    <w:rsid w:val="00052B0D"/>
    <w:rsid w:val="00052C7D"/>
    <w:rsid w:val="00052C96"/>
    <w:rsid w:val="00052D36"/>
    <w:rsid w:val="00052DC5"/>
    <w:rsid w:val="0005302B"/>
    <w:rsid w:val="000531A5"/>
    <w:rsid w:val="000532F8"/>
    <w:rsid w:val="0005332D"/>
    <w:rsid w:val="00053689"/>
    <w:rsid w:val="00053898"/>
    <w:rsid w:val="000538DC"/>
    <w:rsid w:val="00053923"/>
    <w:rsid w:val="000539E1"/>
    <w:rsid w:val="00053BF2"/>
    <w:rsid w:val="00053E1B"/>
    <w:rsid w:val="00053F0D"/>
    <w:rsid w:val="00054185"/>
    <w:rsid w:val="00054207"/>
    <w:rsid w:val="000542F9"/>
    <w:rsid w:val="000545F2"/>
    <w:rsid w:val="00054664"/>
    <w:rsid w:val="0005467A"/>
    <w:rsid w:val="000548BD"/>
    <w:rsid w:val="00054916"/>
    <w:rsid w:val="0005492A"/>
    <w:rsid w:val="00054A10"/>
    <w:rsid w:val="00054BC5"/>
    <w:rsid w:val="00054CF4"/>
    <w:rsid w:val="00054EC4"/>
    <w:rsid w:val="00054FE9"/>
    <w:rsid w:val="00055166"/>
    <w:rsid w:val="000551CC"/>
    <w:rsid w:val="0005521A"/>
    <w:rsid w:val="00055230"/>
    <w:rsid w:val="00055254"/>
    <w:rsid w:val="0005541A"/>
    <w:rsid w:val="0005545A"/>
    <w:rsid w:val="00055544"/>
    <w:rsid w:val="000555B0"/>
    <w:rsid w:val="000555E1"/>
    <w:rsid w:val="000556E8"/>
    <w:rsid w:val="0005571D"/>
    <w:rsid w:val="00055745"/>
    <w:rsid w:val="00055768"/>
    <w:rsid w:val="000557AE"/>
    <w:rsid w:val="00055821"/>
    <w:rsid w:val="0005591A"/>
    <w:rsid w:val="000559E3"/>
    <w:rsid w:val="00055C55"/>
    <w:rsid w:val="00055DDD"/>
    <w:rsid w:val="00055E45"/>
    <w:rsid w:val="00055FF5"/>
    <w:rsid w:val="0005610E"/>
    <w:rsid w:val="00056146"/>
    <w:rsid w:val="000561DA"/>
    <w:rsid w:val="000564A5"/>
    <w:rsid w:val="00056767"/>
    <w:rsid w:val="000567B0"/>
    <w:rsid w:val="000567BC"/>
    <w:rsid w:val="000567D8"/>
    <w:rsid w:val="00056820"/>
    <w:rsid w:val="0005691F"/>
    <w:rsid w:val="00056997"/>
    <w:rsid w:val="00056BC8"/>
    <w:rsid w:val="00056D36"/>
    <w:rsid w:val="00056DAF"/>
    <w:rsid w:val="00056FB7"/>
    <w:rsid w:val="00057056"/>
    <w:rsid w:val="00057345"/>
    <w:rsid w:val="00057435"/>
    <w:rsid w:val="00057490"/>
    <w:rsid w:val="000574D5"/>
    <w:rsid w:val="00057560"/>
    <w:rsid w:val="000575CC"/>
    <w:rsid w:val="0005776E"/>
    <w:rsid w:val="00057794"/>
    <w:rsid w:val="0005799F"/>
    <w:rsid w:val="00057B72"/>
    <w:rsid w:val="00057BDB"/>
    <w:rsid w:val="00057C49"/>
    <w:rsid w:val="00057DC6"/>
    <w:rsid w:val="00057E82"/>
    <w:rsid w:val="00057EA0"/>
    <w:rsid w:val="00057ED5"/>
    <w:rsid w:val="00057FC4"/>
    <w:rsid w:val="00057FD2"/>
    <w:rsid w:val="00060041"/>
    <w:rsid w:val="000600F1"/>
    <w:rsid w:val="00060359"/>
    <w:rsid w:val="0006048F"/>
    <w:rsid w:val="0006057E"/>
    <w:rsid w:val="000605C3"/>
    <w:rsid w:val="000605FA"/>
    <w:rsid w:val="0006065A"/>
    <w:rsid w:val="00060740"/>
    <w:rsid w:val="000609FC"/>
    <w:rsid w:val="00060BCA"/>
    <w:rsid w:val="00060C19"/>
    <w:rsid w:val="00060CB0"/>
    <w:rsid w:val="00060F54"/>
    <w:rsid w:val="00061096"/>
    <w:rsid w:val="000610C7"/>
    <w:rsid w:val="000614A8"/>
    <w:rsid w:val="00061847"/>
    <w:rsid w:val="000618B6"/>
    <w:rsid w:val="0006195D"/>
    <w:rsid w:val="00061A7D"/>
    <w:rsid w:val="00061BFD"/>
    <w:rsid w:val="00061D3A"/>
    <w:rsid w:val="00061E2A"/>
    <w:rsid w:val="00062017"/>
    <w:rsid w:val="000621CA"/>
    <w:rsid w:val="0006222E"/>
    <w:rsid w:val="0006239D"/>
    <w:rsid w:val="000623AD"/>
    <w:rsid w:val="00062478"/>
    <w:rsid w:val="0006267B"/>
    <w:rsid w:val="000627D5"/>
    <w:rsid w:val="000627E6"/>
    <w:rsid w:val="00062801"/>
    <w:rsid w:val="0006295F"/>
    <w:rsid w:val="000629B7"/>
    <w:rsid w:val="00062A18"/>
    <w:rsid w:val="00062B76"/>
    <w:rsid w:val="00062C73"/>
    <w:rsid w:val="00062CC0"/>
    <w:rsid w:val="00062CC1"/>
    <w:rsid w:val="00062D0E"/>
    <w:rsid w:val="00062DBB"/>
    <w:rsid w:val="00062DE7"/>
    <w:rsid w:val="00062DE8"/>
    <w:rsid w:val="00062FF5"/>
    <w:rsid w:val="000631B1"/>
    <w:rsid w:val="0006320A"/>
    <w:rsid w:val="0006327E"/>
    <w:rsid w:val="00063420"/>
    <w:rsid w:val="0006353A"/>
    <w:rsid w:val="000635AD"/>
    <w:rsid w:val="000635E2"/>
    <w:rsid w:val="00063676"/>
    <w:rsid w:val="00063762"/>
    <w:rsid w:val="00063813"/>
    <w:rsid w:val="00063837"/>
    <w:rsid w:val="00063978"/>
    <w:rsid w:val="00063A2E"/>
    <w:rsid w:val="00063A4B"/>
    <w:rsid w:val="00063B89"/>
    <w:rsid w:val="00063BB2"/>
    <w:rsid w:val="00063CFA"/>
    <w:rsid w:val="00063E5F"/>
    <w:rsid w:val="00064109"/>
    <w:rsid w:val="000641F9"/>
    <w:rsid w:val="00064284"/>
    <w:rsid w:val="0006435B"/>
    <w:rsid w:val="00064442"/>
    <w:rsid w:val="00064491"/>
    <w:rsid w:val="000644CB"/>
    <w:rsid w:val="00064565"/>
    <w:rsid w:val="0006459D"/>
    <w:rsid w:val="0006459E"/>
    <w:rsid w:val="00064662"/>
    <w:rsid w:val="00064665"/>
    <w:rsid w:val="00064832"/>
    <w:rsid w:val="00064AA4"/>
    <w:rsid w:val="00064B3A"/>
    <w:rsid w:val="00064B89"/>
    <w:rsid w:val="00064CC9"/>
    <w:rsid w:val="00064DE1"/>
    <w:rsid w:val="00064EF9"/>
    <w:rsid w:val="0006529A"/>
    <w:rsid w:val="00065383"/>
    <w:rsid w:val="00065639"/>
    <w:rsid w:val="00065678"/>
    <w:rsid w:val="00065711"/>
    <w:rsid w:val="00065715"/>
    <w:rsid w:val="00065755"/>
    <w:rsid w:val="000657AB"/>
    <w:rsid w:val="00065B15"/>
    <w:rsid w:val="00065C42"/>
    <w:rsid w:val="00065DF6"/>
    <w:rsid w:val="00066088"/>
    <w:rsid w:val="000661D5"/>
    <w:rsid w:val="0006623C"/>
    <w:rsid w:val="0006639C"/>
    <w:rsid w:val="00066470"/>
    <w:rsid w:val="00066475"/>
    <w:rsid w:val="00066592"/>
    <w:rsid w:val="000665CF"/>
    <w:rsid w:val="0006674E"/>
    <w:rsid w:val="000669EF"/>
    <w:rsid w:val="00066B1A"/>
    <w:rsid w:val="00066B43"/>
    <w:rsid w:val="00066C60"/>
    <w:rsid w:val="00066D4B"/>
    <w:rsid w:val="00066F15"/>
    <w:rsid w:val="00066FA0"/>
    <w:rsid w:val="000671E6"/>
    <w:rsid w:val="000671ED"/>
    <w:rsid w:val="00067307"/>
    <w:rsid w:val="000674AE"/>
    <w:rsid w:val="00067710"/>
    <w:rsid w:val="00067734"/>
    <w:rsid w:val="000678A1"/>
    <w:rsid w:val="00067915"/>
    <w:rsid w:val="00067AAA"/>
    <w:rsid w:val="00067AD0"/>
    <w:rsid w:val="00067C5D"/>
    <w:rsid w:val="00067CE0"/>
    <w:rsid w:val="00067D34"/>
    <w:rsid w:val="00067D9E"/>
    <w:rsid w:val="00067DB1"/>
    <w:rsid w:val="00067E6E"/>
    <w:rsid w:val="00067F1D"/>
    <w:rsid w:val="000700EB"/>
    <w:rsid w:val="000701BB"/>
    <w:rsid w:val="00070266"/>
    <w:rsid w:val="000703B4"/>
    <w:rsid w:val="000704D9"/>
    <w:rsid w:val="00070811"/>
    <w:rsid w:val="00070815"/>
    <w:rsid w:val="00070983"/>
    <w:rsid w:val="000709C8"/>
    <w:rsid w:val="00070AE7"/>
    <w:rsid w:val="00070C55"/>
    <w:rsid w:val="00070D06"/>
    <w:rsid w:val="00070DD0"/>
    <w:rsid w:val="00070F95"/>
    <w:rsid w:val="000710D4"/>
    <w:rsid w:val="00071167"/>
    <w:rsid w:val="000711DC"/>
    <w:rsid w:val="000711E5"/>
    <w:rsid w:val="000715A0"/>
    <w:rsid w:val="0007177B"/>
    <w:rsid w:val="000719FE"/>
    <w:rsid w:val="00071A30"/>
    <w:rsid w:val="00071C91"/>
    <w:rsid w:val="00071CE8"/>
    <w:rsid w:val="00071D62"/>
    <w:rsid w:val="0007209E"/>
    <w:rsid w:val="0007212F"/>
    <w:rsid w:val="00072137"/>
    <w:rsid w:val="00072202"/>
    <w:rsid w:val="00072415"/>
    <w:rsid w:val="000726A1"/>
    <w:rsid w:val="000726A4"/>
    <w:rsid w:val="000726B5"/>
    <w:rsid w:val="000727B5"/>
    <w:rsid w:val="00072852"/>
    <w:rsid w:val="000729C2"/>
    <w:rsid w:val="000729D9"/>
    <w:rsid w:val="000729F4"/>
    <w:rsid w:val="00072C79"/>
    <w:rsid w:val="00072CB4"/>
    <w:rsid w:val="00072E13"/>
    <w:rsid w:val="00072ED7"/>
    <w:rsid w:val="00073039"/>
    <w:rsid w:val="000730CA"/>
    <w:rsid w:val="000731F9"/>
    <w:rsid w:val="00073233"/>
    <w:rsid w:val="0007328D"/>
    <w:rsid w:val="000734E7"/>
    <w:rsid w:val="00073740"/>
    <w:rsid w:val="00073932"/>
    <w:rsid w:val="00073998"/>
    <w:rsid w:val="00073A77"/>
    <w:rsid w:val="00073A91"/>
    <w:rsid w:val="00073BB3"/>
    <w:rsid w:val="00073D2D"/>
    <w:rsid w:val="00073D6F"/>
    <w:rsid w:val="00073EDD"/>
    <w:rsid w:val="00073EFE"/>
    <w:rsid w:val="00074124"/>
    <w:rsid w:val="0007430B"/>
    <w:rsid w:val="00074388"/>
    <w:rsid w:val="000743F6"/>
    <w:rsid w:val="00074582"/>
    <w:rsid w:val="0007481D"/>
    <w:rsid w:val="00074C0D"/>
    <w:rsid w:val="00074C18"/>
    <w:rsid w:val="00074DC9"/>
    <w:rsid w:val="00075079"/>
    <w:rsid w:val="000750B9"/>
    <w:rsid w:val="0007520A"/>
    <w:rsid w:val="00075335"/>
    <w:rsid w:val="00075852"/>
    <w:rsid w:val="00075988"/>
    <w:rsid w:val="000759C0"/>
    <w:rsid w:val="00075A48"/>
    <w:rsid w:val="00075AC1"/>
    <w:rsid w:val="00075B8F"/>
    <w:rsid w:val="00075B91"/>
    <w:rsid w:val="00075BB8"/>
    <w:rsid w:val="00075BC0"/>
    <w:rsid w:val="00075E0B"/>
    <w:rsid w:val="00075F20"/>
    <w:rsid w:val="00076208"/>
    <w:rsid w:val="00076256"/>
    <w:rsid w:val="00076589"/>
    <w:rsid w:val="000765CA"/>
    <w:rsid w:val="0007666D"/>
    <w:rsid w:val="0007666F"/>
    <w:rsid w:val="00076712"/>
    <w:rsid w:val="000767DC"/>
    <w:rsid w:val="00076A3D"/>
    <w:rsid w:val="00076B4A"/>
    <w:rsid w:val="00076C74"/>
    <w:rsid w:val="00076CCE"/>
    <w:rsid w:val="00076D60"/>
    <w:rsid w:val="00077080"/>
    <w:rsid w:val="00077573"/>
    <w:rsid w:val="0007758E"/>
    <w:rsid w:val="00077792"/>
    <w:rsid w:val="000778C1"/>
    <w:rsid w:val="000779F0"/>
    <w:rsid w:val="00077AE6"/>
    <w:rsid w:val="00077BF7"/>
    <w:rsid w:val="00077C6F"/>
    <w:rsid w:val="00077C7E"/>
    <w:rsid w:val="00077CBA"/>
    <w:rsid w:val="00077CDC"/>
    <w:rsid w:val="00077DF6"/>
    <w:rsid w:val="00077EEF"/>
    <w:rsid w:val="00077F3F"/>
    <w:rsid w:val="00077F4A"/>
    <w:rsid w:val="00077F8C"/>
    <w:rsid w:val="000800B3"/>
    <w:rsid w:val="0008014F"/>
    <w:rsid w:val="00080161"/>
    <w:rsid w:val="0008038A"/>
    <w:rsid w:val="000803B6"/>
    <w:rsid w:val="00080936"/>
    <w:rsid w:val="00080965"/>
    <w:rsid w:val="00080979"/>
    <w:rsid w:val="00080B00"/>
    <w:rsid w:val="00080E99"/>
    <w:rsid w:val="00081066"/>
    <w:rsid w:val="000810B4"/>
    <w:rsid w:val="000810BF"/>
    <w:rsid w:val="000810F4"/>
    <w:rsid w:val="000811FE"/>
    <w:rsid w:val="00081330"/>
    <w:rsid w:val="00081355"/>
    <w:rsid w:val="000813A3"/>
    <w:rsid w:val="000813BB"/>
    <w:rsid w:val="000815C4"/>
    <w:rsid w:val="00081779"/>
    <w:rsid w:val="00081E80"/>
    <w:rsid w:val="0008217B"/>
    <w:rsid w:val="000825BD"/>
    <w:rsid w:val="000825C6"/>
    <w:rsid w:val="0008273F"/>
    <w:rsid w:val="0008283C"/>
    <w:rsid w:val="000828AC"/>
    <w:rsid w:val="000829A2"/>
    <w:rsid w:val="000829D8"/>
    <w:rsid w:val="00082B99"/>
    <w:rsid w:val="00082D1F"/>
    <w:rsid w:val="00082D91"/>
    <w:rsid w:val="00082F47"/>
    <w:rsid w:val="000830D6"/>
    <w:rsid w:val="0008323D"/>
    <w:rsid w:val="0008349D"/>
    <w:rsid w:val="000834DB"/>
    <w:rsid w:val="000834F1"/>
    <w:rsid w:val="000836E6"/>
    <w:rsid w:val="000838DA"/>
    <w:rsid w:val="000839C3"/>
    <w:rsid w:val="00083A96"/>
    <w:rsid w:val="00083AF9"/>
    <w:rsid w:val="00083B46"/>
    <w:rsid w:val="00083C08"/>
    <w:rsid w:val="0008427D"/>
    <w:rsid w:val="0008435B"/>
    <w:rsid w:val="00084400"/>
    <w:rsid w:val="0008442B"/>
    <w:rsid w:val="00084453"/>
    <w:rsid w:val="000845F8"/>
    <w:rsid w:val="0008464F"/>
    <w:rsid w:val="00084684"/>
    <w:rsid w:val="0008481A"/>
    <w:rsid w:val="00084977"/>
    <w:rsid w:val="00084C7D"/>
    <w:rsid w:val="00084C9A"/>
    <w:rsid w:val="00084CC3"/>
    <w:rsid w:val="00084D03"/>
    <w:rsid w:val="00084FF0"/>
    <w:rsid w:val="00085050"/>
    <w:rsid w:val="000850AF"/>
    <w:rsid w:val="0008512E"/>
    <w:rsid w:val="000851CC"/>
    <w:rsid w:val="0008533A"/>
    <w:rsid w:val="0008534F"/>
    <w:rsid w:val="0008588B"/>
    <w:rsid w:val="000858DE"/>
    <w:rsid w:val="00085A6C"/>
    <w:rsid w:val="00085E4D"/>
    <w:rsid w:val="00085EB3"/>
    <w:rsid w:val="00085EBD"/>
    <w:rsid w:val="00085F74"/>
    <w:rsid w:val="00085FAD"/>
    <w:rsid w:val="00086214"/>
    <w:rsid w:val="00086471"/>
    <w:rsid w:val="0008650B"/>
    <w:rsid w:val="00086510"/>
    <w:rsid w:val="00086597"/>
    <w:rsid w:val="00086667"/>
    <w:rsid w:val="00086799"/>
    <w:rsid w:val="00086877"/>
    <w:rsid w:val="00086923"/>
    <w:rsid w:val="00086AA4"/>
    <w:rsid w:val="00086B0E"/>
    <w:rsid w:val="00086C3D"/>
    <w:rsid w:val="00086FBC"/>
    <w:rsid w:val="0008709C"/>
    <w:rsid w:val="00087107"/>
    <w:rsid w:val="0008716C"/>
    <w:rsid w:val="00087239"/>
    <w:rsid w:val="00087449"/>
    <w:rsid w:val="00087509"/>
    <w:rsid w:val="00087527"/>
    <w:rsid w:val="000876A4"/>
    <w:rsid w:val="0008770D"/>
    <w:rsid w:val="000877BD"/>
    <w:rsid w:val="00087E7F"/>
    <w:rsid w:val="00087FDB"/>
    <w:rsid w:val="00090126"/>
    <w:rsid w:val="00090127"/>
    <w:rsid w:val="000901AA"/>
    <w:rsid w:val="00090218"/>
    <w:rsid w:val="00090250"/>
    <w:rsid w:val="00090325"/>
    <w:rsid w:val="00090421"/>
    <w:rsid w:val="000906F1"/>
    <w:rsid w:val="000907D9"/>
    <w:rsid w:val="000908F7"/>
    <w:rsid w:val="00090A1C"/>
    <w:rsid w:val="00090B21"/>
    <w:rsid w:val="00090B4D"/>
    <w:rsid w:val="00090E4C"/>
    <w:rsid w:val="00091211"/>
    <w:rsid w:val="0009122B"/>
    <w:rsid w:val="000913B7"/>
    <w:rsid w:val="00091440"/>
    <w:rsid w:val="0009146D"/>
    <w:rsid w:val="000915D2"/>
    <w:rsid w:val="00091640"/>
    <w:rsid w:val="00091679"/>
    <w:rsid w:val="00091768"/>
    <w:rsid w:val="0009177A"/>
    <w:rsid w:val="00091901"/>
    <w:rsid w:val="00091997"/>
    <w:rsid w:val="00091A0C"/>
    <w:rsid w:val="00091A64"/>
    <w:rsid w:val="00091A6A"/>
    <w:rsid w:val="00091B59"/>
    <w:rsid w:val="00091B89"/>
    <w:rsid w:val="00091B91"/>
    <w:rsid w:val="00091D3B"/>
    <w:rsid w:val="0009221C"/>
    <w:rsid w:val="000925CB"/>
    <w:rsid w:val="000925E0"/>
    <w:rsid w:val="00092AC5"/>
    <w:rsid w:val="00092B5D"/>
    <w:rsid w:val="00092C7F"/>
    <w:rsid w:val="00092D1B"/>
    <w:rsid w:val="00092F24"/>
    <w:rsid w:val="00092FEB"/>
    <w:rsid w:val="00093174"/>
    <w:rsid w:val="0009334A"/>
    <w:rsid w:val="000933E1"/>
    <w:rsid w:val="00093433"/>
    <w:rsid w:val="00093471"/>
    <w:rsid w:val="000934FE"/>
    <w:rsid w:val="0009355D"/>
    <w:rsid w:val="00093614"/>
    <w:rsid w:val="00093700"/>
    <w:rsid w:val="00093777"/>
    <w:rsid w:val="00093781"/>
    <w:rsid w:val="000938C7"/>
    <w:rsid w:val="000938E2"/>
    <w:rsid w:val="00093B63"/>
    <w:rsid w:val="00093CF5"/>
    <w:rsid w:val="00093D97"/>
    <w:rsid w:val="00094008"/>
    <w:rsid w:val="00094018"/>
    <w:rsid w:val="00094058"/>
    <w:rsid w:val="000940EF"/>
    <w:rsid w:val="00094197"/>
    <w:rsid w:val="00094237"/>
    <w:rsid w:val="00094244"/>
    <w:rsid w:val="00094375"/>
    <w:rsid w:val="000943EC"/>
    <w:rsid w:val="00094559"/>
    <w:rsid w:val="00094604"/>
    <w:rsid w:val="00094952"/>
    <w:rsid w:val="00094B3F"/>
    <w:rsid w:val="00094B48"/>
    <w:rsid w:val="00094BB8"/>
    <w:rsid w:val="00094D20"/>
    <w:rsid w:val="00094EDC"/>
    <w:rsid w:val="00095114"/>
    <w:rsid w:val="00095178"/>
    <w:rsid w:val="0009543A"/>
    <w:rsid w:val="0009553C"/>
    <w:rsid w:val="0009564B"/>
    <w:rsid w:val="0009577A"/>
    <w:rsid w:val="00095942"/>
    <w:rsid w:val="000959A6"/>
    <w:rsid w:val="00095C61"/>
    <w:rsid w:val="00095CED"/>
    <w:rsid w:val="00095CF8"/>
    <w:rsid w:val="00095DDF"/>
    <w:rsid w:val="00095DF0"/>
    <w:rsid w:val="00095ED0"/>
    <w:rsid w:val="00095EF6"/>
    <w:rsid w:val="00096000"/>
    <w:rsid w:val="0009603D"/>
    <w:rsid w:val="00096078"/>
    <w:rsid w:val="00096114"/>
    <w:rsid w:val="000962E6"/>
    <w:rsid w:val="00096699"/>
    <w:rsid w:val="00096777"/>
    <w:rsid w:val="00096839"/>
    <w:rsid w:val="000968A6"/>
    <w:rsid w:val="00096A52"/>
    <w:rsid w:val="00096C52"/>
    <w:rsid w:val="00096F11"/>
    <w:rsid w:val="00096FB8"/>
    <w:rsid w:val="00096FCE"/>
    <w:rsid w:val="00097037"/>
    <w:rsid w:val="00097280"/>
    <w:rsid w:val="0009729E"/>
    <w:rsid w:val="0009744A"/>
    <w:rsid w:val="000974BC"/>
    <w:rsid w:val="0009757D"/>
    <w:rsid w:val="00097679"/>
    <w:rsid w:val="000976F0"/>
    <w:rsid w:val="00097B48"/>
    <w:rsid w:val="00097BDE"/>
    <w:rsid w:val="00097D41"/>
    <w:rsid w:val="000A0149"/>
    <w:rsid w:val="000A019E"/>
    <w:rsid w:val="000A0210"/>
    <w:rsid w:val="000A025E"/>
    <w:rsid w:val="000A0311"/>
    <w:rsid w:val="000A03CC"/>
    <w:rsid w:val="000A04B5"/>
    <w:rsid w:val="000A053A"/>
    <w:rsid w:val="000A0708"/>
    <w:rsid w:val="000A072A"/>
    <w:rsid w:val="000A0786"/>
    <w:rsid w:val="000A0895"/>
    <w:rsid w:val="000A0C08"/>
    <w:rsid w:val="000A0CE6"/>
    <w:rsid w:val="000A0D07"/>
    <w:rsid w:val="000A0DA6"/>
    <w:rsid w:val="000A11E8"/>
    <w:rsid w:val="000A14F4"/>
    <w:rsid w:val="000A15B6"/>
    <w:rsid w:val="000A1623"/>
    <w:rsid w:val="000A1759"/>
    <w:rsid w:val="000A17E7"/>
    <w:rsid w:val="000A1BFA"/>
    <w:rsid w:val="000A1E02"/>
    <w:rsid w:val="000A1E07"/>
    <w:rsid w:val="000A1F2F"/>
    <w:rsid w:val="000A2077"/>
    <w:rsid w:val="000A220F"/>
    <w:rsid w:val="000A22EF"/>
    <w:rsid w:val="000A28FB"/>
    <w:rsid w:val="000A2901"/>
    <w:rsid w:val="000A2955"/>
    <w:rsid w:val="000A2A12"/>
    <w:rsid w:val="000A2A66"/>
    <w:rsid w:val="000A2B0A"/>
    <w:rsid w:val="000A2B78"/>
    <w:rsid w:val="000A2CD9"/>
    <w:rsid w:val="000A2DC5"/>
    <w:rsid w:val="000A2E6F"/>
    <w:rsid w:val="000A2EFF"/>
    <w:rsid w:val="000A2FEE"/>
    <w:rsid w:val="000A30B2"/>
    <w:rsid w:val="000A30BD"/>
    <w:rsid w:val="000A3211"/>
    <w:rsid w:val="000A3276"/>
    <w:rsid w:val="000A3435"/>
    <w:rsid w:val="000A3551"/>
    <w:rsid w:val="000A356A"/>
    <w:rsid w:val="000A36C2"/>
    <w:rsid w:val="000A377B"/>
    <w:rsid w:val="000A3E11"/>
    <w:rsid w:val="000A41A4"/>
    <w:rsid w:val="000A41F1"/>
    <w:rsid w:val="000A45E0"/>
    <w:rsid w:val="000A4655"/>
    <w:rsid w:val="000A472A"/>
    <w:rsid w:val="000A4800"/>
    <w:rsid w:val="000A48CE"/>
    <w:rsid w:val="000A493B"/>
    <w:rsid w:val="000A49C2"/>
    <w:rsid w:val="000A4CB5"/>
    <w:rsid w:val="000A4D1F"/>
    <w:rsid w:val="000A4DA3"/>
    <w:rsid w:val="000A4DAF"/>
    <w:rsid w:val="000A5175"/>
    <w:rsid w:val="000A52F8"/>
    <w:rsid w:val="000A5540"/>
    <w:rsid w:val="000A55D0"/>
    <w:rsid w:val="000A5698"/>
    <w:rsid w:val="000A56FA"/>
    <w:rsid w:val="000A56FB"/>
    <w:rsid w:val="000A579D"/>
    <w:rsid w:val="000A588A"/>
    <w:rsid w:val="000A5B2C"/>
    <w:rsid w:val="000A5B3E"/>
    <w:rsid w:val="000A5BD7"/>
    <w:rsid w:val="000A5D35"/>
    <w:rsid w:val="000A5EBB"/>
    <w:rsid w:val="000A6082"/>
    <w:rsid w:val="000A60F2"/>
    <w:rsid w:val="000A62ED"/>
    <w:rsid w:val="000A62F1"/>
    <w:rsid w:val="000A6331"/>
    <w:rsid w:val="000A6336"/>
    <w:rsid w:val="000A6374"/>
    <w:rsid w:val="000A639A"/>
    <w:rsid w:val="000A640B"/>
    <w:rsid w:val="000A6483"/>
    <w:rsid w:val="000A64E8"/>
    <w:rsid w:val="000A6706"/>
    <w:rsid w:val="000A67E5"/>
    <w:rsid w:val="000A6B17"/>
    <w:rsid w:val="000A6C60"/>
    <w:rsid w:val="000A6CEF"/>
    <w:rsid w:val="000A6F62"/>
    <w:rsid w:val="000A7182"/>
    <w:rsid w:val="000A71CA"/>
    <w:rsid w:val="000A734C"/>
    <w:rsid w:val="000A73F1"/>
    <w:rsid w:val="000A74C7"/>
    <w:rsid w:val="000A7631"/>
    <w:rsid w:val="000A7639"/>
    <w:rsid w:val="000A767F"/>
    <w:rsid w:val="000A7685"/>
    <w:rsid w:val="000A77B6"/>
    <w:rsid w:val="000A782E"/>
    <w:rsid w:val="000A7994"/>
    <w:rsid w:val="000A7A19"/>
    <w:rsid w:val="000A7DA0"/>
    <w:rsid w:val="000A7DEF"/>
    <w:rsid w:val="000A7E4F"/>
    <w:rsid w:val="000A7F62"/>
    <w:rsid w:val="000A7FE5"/>
    <w:rsid w:val="000B008B"/>
    <w:rsid w:val="000B00BB"/>
    <w:rsid w:val="000B010A"/>
    <w:rsid w:val="000B0151"/>
    <w:rsid w:val="000B0156"/>
    <w:rsid w:val="000B0293"/>
    <w:rsid w:val="000B02F5"/>
    <w:rsid w:val="000B0302"/>
    <w:rsid w:val="000B04B2"/>
    <w:rsid w:val="000B0670"/>
    <w:rsid w:val="000B070A"/>
    <w:rsid w:val="000B07FE"/>
    <w:rsid w:val="000B0AFD"/>
    <w:rsid w:val="000B0B18"/>
    <w:rsid w:val="000B0B84"/>
    <w:rsid w:val="000B0EAA"/>
    <w:rsid w:val="000B0EE3"/>
    <w:rsid w:val="000B1009"/>
    <w:rsid w:val="000B1016"/>
    <w:rsid w:val="000B1303"/>
    <w:rsid w:val="000B13EB"/>
    <w:rsid w:val="000B14F3"/>
    <w:rsid w:val="000B1733"/>
    <w:rsid w:val="000B17A2"/>
    <w:rsid w:val="000B17D6"/>
    <w:rsid w:val="000B19EC"/>
    <w:rsid w:val="000B1A56"/>
    <w:rsid w:val="000B1A63"/>
    <w:rsid w:val="000B1D0B"/>
    <w:rsid w:val="000B1EE7"/>
    <w:rsid w:val="000B1FC9"/>
    <w:rsid w:val="000B2010"/>
    <w:rsid w:val="000B20B5"/>
    <w:rsid w:val="000B22EA"/>
    <w:rsid w:val="000B23A9"/>
    <w:rsid w:val="000B2400"/>
    <w:rsid w:val="000B2546"/>
    <w:rsid w:val="000B2561"/>
    <w:rsid w:val="000B262D"/>
    <w:rsid w:val="000B28E0"/>
    <w:rsid w:val="000B2C01"/>
    <w:rsid w:val="000B2D2B"/>
    <w:rsid w:val="000B2F63"/>
    <w:rsid w:val="000B2FC8"/>
    <w:rsid w:val="000B314E"/>
    <w:rsid w:val="000B3166"/>
    <w:rsid w:val="000B3213"/>
    <w:rsid w:val="000B343C"/>
    <w:rsid w:val="000B35DE"/>
    <w:rsid w:val="000B376C"/>
    <w:rsid w:val="000B3921"/>
    <w:rsid w:val="000B3986"/>
    <w:rsid w:val="000B3A05"/>
    <w:rsid w:val="000B3AAB"/>
    <w:rsid w:val="000B3AF1"/>
    <w:rsid w:val="000B3AFB"/>
    <w:rsid w:val="000B3C22"/>
    <w:rsid w:val="000B3C81"/>
    <w:rsid w:val="000B3FB0"/>
    <w:rsid w:val="000B401B"/>
    <w:rsid w:val="000B4224"/>
    <w:rsid w:val="000B443D"/>
    <w:rsid w:val="000B4471"/>
    <w:rsid w:val="000B4805"/>
    <w:rsid w:val="000B498E"/>
    <w:rsid w:val="000B49B9"/>
    <w:rsid w:val="000B49DB"/>
    <w:rsid w:val="000B4A11"/>
    <w:rsid w:val="000B4E25"/>
    <w:rsid w:val="000B4E2D"/>
    <w:rsid w:val="000B4EFA"/>
    <w:rsid w:val="000B4F66"/>
    <w:rsid w:val="000B4FC4"/>
    <w:rsid w:val="000B55C6"/>
    <w:rsid w:val="000B560A"/>
    <w:rsid w:val="000B579D"/>
    <w:rsid w:val="000B5967"/>
    <w:rsid w:val="000B59AF"/>
    <w:rsid w:val="000B59BA"/>
    <w:rsid w:val="000B59F5"/>
    <w:rsid w:val="000B5AA1"/>
    <w:rsid w:val="000B5AAC"/>
    <w:rsid w:val="000B5B19"/>
    <w:rsid w:val="000B5D24"/>
    <w:rsid w:val="000B5D4C"/>
    <w:rsid w:val="000B5E99"/>
    <w:rsid w:val="000B5F9C"/>
    <w:rsid w:val="000B5FEC"/>
    <w:rsid w:val="000B6173"/>
    <w:rsid w:val="000B658C"/>
    <w:rsid w:val="000B67F2"/>
    <w:rsid w:val="000B6866"/>
    <w:rsid w:val="000B6D1C"/>
    <w:rsid w:val="000B6E0B"/>
    <w:rsid w:val="000B6E2B"/>
    <w:rsid w:val="000B6EEB"/>
    <w:rsid w:val="000B73AB"/>
    <w:rsid w:val="000B744C"/>
    <w:rsid w:val="000B75A7"/>
    <w:rsid w:val="000B7AAB"/>
    <w:rsid w:val="000B7B35"/>
    <w:rsid w:val="000B7B9E"/>
    <w:rsid w:val="000B7C11"/>
    <w:rsid w:val="000B7E65"/>
    <w:rsid w:val="000B7F5E"/>
    <w:rsid w:val="000C017D"/>
    <w:rsid w:val="000C029E"/>
    <w:rsid w:val="000C0369"/>
    <w:rsid w:val="000C0408"/>
    <w:rsid w:val="000C044C"/>
    <w:rsid w:val="000C0629"/>
    <w:rsid w:val="000C06FB"/>
    <w:rsid w:val="000C09BA"/>
    <w:rsid w:val="000C0A9C"/>
    <w:rsid w:val="000C0BD4"/>
    <w:rsid w:val="000C0E90"/>
    <w:rsid w:val="000C0F31"/>
    <w:rsid w:val="000C113E"/>
    <w:rsid w:val="000C118A"/>
    <w:rsid w:val="000C1193"/>
    <w:rsid w:val="000C146D"/>
    <w:rsid w:val="000C1596"/>
    <w:rsid w:val="000C1719"/>
    <w:rsid w:val="000C18A2"/>
    <w:rsid w:val="000C19EE"/>
    <w:rsid w:val="000C19EF"/>
    <w:rsid w:val="000C1AD0"/>
    <w:rsid w:val="000C1B6E"/>
    <w:rsid w:val="000C1C3B"/>
    <w:rsid w:val="000C1CC3"/>
    <w:rsid w:val="000C1DB4"/>
    <w:rsid w:val="000C1E38"/>
    <w:rsid w:val="000C20BF"/>
    <w:rsid w:val="000C21BE"/>
    <w:rsid w:val="000C2364"/>
    <w:rsid w:val="000C2709"/>
    <w:rsid w:val="000C287E"/>
    <w:rsid w:val="000C2C2E"/>
    <w:rsid w:val="000C2D12"/>
    <w:rsid w:val="000C2DED"/>
    <w:rsid w:val="000C2E12"/>
    <w:rsid w:val="000C2E35"/>
    <w:rsid w:val="000C3018"/>
    <w:rsid w:val="000C3086"/>
    <w:rsid w:val="000C30F2"/>
    <w:rsid w:val="000C3146"/>
    <w:rsid w:val="000C3300"/>
    <w:rsid w:val="000C33D9"/>
    <w:rsid w:val="000C3549"/>
    <w:rsid w:val="000C3620"/>
    <w:rsid w:val="000C3679"/>
    <w:rsid w:val="000C3733"/>
    <w:rsid w:val="000C3756"/>
    <w:rsid w:val="000C37FE"/>
    <w:rsid w:val="000C3909"/>
    <w:rsid w:val="000C3DCB"/>
    <w:rsid w:val="000C3DCE"/>
    <w:rsid w:val="000C3E42"/>
    <w:rsid w:val="000C3EC2"/>
    <w:rsid w:val="000C4037"/>
    <w:rsid w:val="000C422D"/>
    <w:rsid w:val="000C42DD"/>
    <w:rsid w:val="000C4490"/>
    <w:rsid w:val="000C45A3"/>
    <w:rsid w:val="000C46F7"/>
    <w:rsid w:val="000C47E5"/>
    <w:rsid w:val="000C48C0"/>
    <w:rsid w:val="000C4903"/>
    <w:rsid w:val="000C4982"/>
    <w:rsid w:val="000C4CD1"/>
    <w:rsid w:val="000C4D1D"/>
    <w:rsid w:val="000C4D24"/>
    <w:rsid w:val="000C5067"/>
    <w:rsid w:val="000C5068"/>
    <w:rsid w:val="000C525A"/>
    <w:rsid w:val="000C5343"/>
    <w:rsid w:val="000C5472"/>
    <w:rsid w:val="000C55BB"/>
    <w:rsid w:val="000C55C1"/>
    <w:rsid w:val="000C563F"/>
    <w:rsid w:val="000C584C"/>
    <w:rsid w:val="000C5BB7"/>
    <w:rsid w:val="000C5C31"/>
    <w:rsid w:val="000C5D57"/>
    <w:rsid w:val="000C5DD7"/>
    <w:rsid w:val="000C5F08"/>
    <w:rsid w:val="000C5F69"/>
    <w:rsid w:val="000C6021"/>
    <w:rsid w:val="000C63C2"/>
    <w:rsid w:val="000C63F7"/>
    <w:rsid w:val="000C6430"/>
    <w:rsid w:val="000C651F"/>
    <w:rsid w:val="000C6553"/>
    <w:rsid w:val="000C6964"/>
    <w:rsid w:val="000C6A46"/>
    <w:rsid w:val="000C6B2E"/>
    <w:rsid w:val="000C6D74"/>
    <w:rsid w:val="000C6E66"/>
    <w:rsid w:val="000C6EA4"/>
    <w:rsid w:val="000C6F83"/>
    <w:rsid w:val="000C716B"/>
    <w:rsid w:val="000C726D"/>
    <w:rsid w:val="000C7307"/>
    <w:rsid w:val="000C7335"/>
    <w:rsid w:val="000C7362"/>
    <w:rsid w:val="000C74D6"/>
    <w:rsid w:val="000C75F9"/>
    <w:rsid w:val="000C76BA"/>
    <w:rsid w:val="000C7849"/>
    <w:rsid w:val="000C794A"/>
    <w:rsid w:val="000C79ED"/>
    <w:rsid w:val="000C7A09"/>
    <w:rsid w:val="000C7B36"/>
    <w:rsid w:val="000C7B76"/>
    <w:rsid w:val="000C7C23"/>
    <w:rsid w:val="000C7C91"/>
    <w:rsid w:val="000C7E22"/>
    <w:rsid w:val="000C7E58"/>
    <w:rsid w:val="000C7E74"/>
    <w:rsid w:val="000C7E8B"/>
    <w:rsid w:val="000C7EB5"/>
    <w:rsid w:val="000D001F"/>
    <w:rsid w:val="000D0280"/>
    <w:rsid w:val="000D06EB"/>
    <w:rsid w:val="000D09FD"/>
    <w:rsid w:val="000D09FF"/>
    <w:rsid w:val="000D0B1E"/>
    <w:rsid w:val="000D0C2E"/>
    <w:rsid w:val="000D1070"/>
    <w:rsid w:val="000D10C2"/>
    <w:rsid w:val="000D118A"/>
    <w:rsid w:val="000D1267"/>
    <w:rsid w:val="000D1982"/>
    <w:rsid w:val="000D1B4D"/>
    <w:rsid w:val="000D1E86"/>
    <w:rsid w:val="000D204A"/>
    <w:rsid w:val="000D2104"/>
    <w:rsid w:val="000D22CE"/>
    <w:rsid w:val="000D2347"/>
    <w:rsid w:val="000D24F3"/>
    <w:rsid w:val="000D269F"/>
    <w:rsid w:val="000D27DA"/>
    <w:rsid w:val="000D289B"/>
    <w:rsid w:val="000D28A7"/>
    <w:rsid w:val="000D2934"/>
    <w:rsid w:val="000D2CE6"/>
    <w:rsid w:val="000D2F88"/>
    <w:rsid w:val="000D3040"/>
    <w:rsid w:val="000D313D"/>
    <w:rsid w:val="000D3306"/>
    <w:rsid w:val="000D33FE"/>
    <w:rsid w:val="000D346C"/>
    <w:rsid w:val="000D3512"/>
    <w:rsid w:val="000D364A"/>
    <w:rsid w:val="000D371B"/>
    <w:rsid w:val="000D376A"/>
    <w:rsid w:val="000D38B9"/>
    <w:rsid w:val="000D3980"/>
    <w:rsid w:val="000D3994"/>
    <w:rsid w:val="000D3A21"/>
    <w:rsid w:val="000D3B11"/>
    <w:rsid w:val="000D3B40"/>
    <w:rsid w:val="000D3D9C"/>
    <w:rsid w:val="000D3DDD"/>
    <w:rsid w:val="000D3E1E"/>
    <w:rsid w:val="000D3E77"/>
    <w:rsid w:val="000D3FF0"/>
    <w:rsid w:val="000D40C4"/>
    <w:rsid w:val="000D4444"/>
    <w:rsid w:val="000D44FE"/>
    <w:rsid w:val="000D4608"/>
    <w:rsid w:val="000D480B"/>
    <w:rsid w:val="000D4E90"/>
    <w:rsid w:val="000D4F1E"/>
    <w:rsid w:val="000D4F9D"/>
    <w:rsid w:val="000D51DD"/>
    <w:rsid w:val="000D52A1"/>
    <w:rsid w:val="000D5557"/>
    <w:rsid w:val="000D5808"/>
    <w:rsid w:val="000D5DCC"/>
    <w:rsid w:val="000D601C"/>
    <w:rsid w:val="000D6129"/>
    <w:rsid w:val="000D6209"/>
    <w:rsid w:val="000D62C0"/>
    <w:rsid w:val="000D638F"/>
    <w:rsid w:val="000D63CC"/>
    <w:rsid w:val="000D6402"/>
    <w:rsid w:val="000D6645"/>
    <w:rsid w:val="000D6675"/>
    <w:rsid w:val="000D682A"/>
    <w:rsid w:val="000D6931"/>
    <w:rsid w:val="000D6BA5"/>
    <w:rsid w:val="000D6C42"/>
    <w:rsid w:val="000D6D92"/>
    <w:rsid w:val="000D6D98"/>
    <w:rsid w:val="000D6DDA"/>
    <w:rsid w:val="000D6E5A"/>
    <w:rsid w:val="000D6F26"/>
    <w:rsid w:val="000D6F91"/>
    <w:rsid w:val="000D7028"/>
    <w:rsid w:val="000D749E"/>
    <w:rsid w:val="000D7551"/>
    <w:rsid w:val="000D75BB"/>
    <w:rsid w:val="000D7686"/>
    <w:rsid w:val="000D78FF"/>
    <w:rsid w:val="000D7926"/>
    <w:rsid w:val="000D7946"/>
    <w:rsid w:val="000D7948"/>
    <w:rsid w:val="000D79A2"/>
    <w:rsid w:val="000D79D9"/>
    <w:rsid w:val="000D7A99"/>
    <w:rsid w:val="000D7AFF"/>
    <w:rsid w:val="000D7E1C"/>
    <w:rsid w:val="000D7F2F"/>
    <w:rsid w:val="000E00DF"/>
    <w:rsid w:val="000E039A"/>
    <w:rsid w:val="000E0418"/>
    <w:rsid w:val="000E0567"/>
    <w:rsid w:val="000E05A8"/>
    <w:rsid w:val="000E06DA"/>
    <w:rsid w:val="000E0792"/>
    <w:rsid w:val="000E0B01"/>
    <w:rsid w:val="000E0B7A"/>
    <w:rsid w:val="000E0CF9"/>
    <w:rsid w:val="000E0D13"/>
    <w:rsid w:val="000E0D2E"/>
    <w:rsid w:val="000E0D40"/>
    <w:rsid w:val="000E0DF0"/>
    <w:rsid w:val="000E0F1A"/>
    <w:rsid w:val="000E0FAA"/>
    <w:rsid w:val="000E107A"/>
    <w:rsid w:val="000E110C"/>
    <w:rsid w:val="000E1154"/>
    <w:rsid w:val="000E1229"/>
    <w:rsid w:val="000E1303"/>
    <w:rsid w:val="000E1382"/>
    <w:rsid w:val="000E1391"/>
    <w:rsid w:val="000E13BB"/>
    <w:rsid w:val="000E1515"/>
    <w:rsid w:val="000E1596"/>
    <w:rsid w:val="000E16B6"/>
    <w:rsid w:val="000E16C7"/>
    <w:rsid w:val="000E182D"/>
    <w:rsid w:val="000E18F5"/>
    <w:rsid w:val="000E1973"/>
    <w:rsid w:val="000E1A58"/>
    <w:rsid w:val="000E1B1D"/>
    <w:rsid w:val="000E1C3F"/>
    <w:rsid w:val="000E1C45"/>
    <w:rsid w:val="000E1E27"/>
    <w:rsid w:val="000E2082"/>
    <w:rsid w:val="000E2083"/>
    <w:rsid w:val="000E20AB"/>
    <w:rsid w:val="000E2270"/>
    <w:rsid w:val="000E22EE"/>
    <w:rsid w:val="000E24F3"/>
    <w:rsid w:val="000E29E8"/>
    <w:rsid w:val="000E2ACF"/>
    <w:rsid w:val="000E2D21"/>
    <w:rsid w:val="000E2E29"/>
    <w:rsid w:val="000E2E66"/>
    <w:rsid w:val="000E3042"/>
    <w:rsid w:val="000E30AB"/>
    <w:rsid w:val="000E3183"/>
    <w:rsid w:val="000E32F4"/>
    <w:rsid w:val="000E3424"/>
    <w:rsid w:val="000E352E"/>
    <w:rsid w:val="000E3B78"/>
    <w:rsid w:val="000E3C55"/>
    <w:rsid w:val="000E3C78"/>
    <w:rsid w:val="000E3D6F"/>
    <w:rsid w:val="000E3DCA"/>
    <w:rsid w:val="000E3E04"/>
    <w:rsid w:val="000E3E58"/>
    <w:rsid w:val="000E3F1E"/>
    <w:rsid w:val="000E3F8C"/>
    <w:rsid w:val="000E4041"/>
    <w:rsid w:val="000E404F"/>
    <w:rsid w:val="000E420F"/>
    <w:rsid w:val="000E42B1"/>
    <w:rsid w:val="000E42D7"/>
    <w:rsid w:val="000E43E2"/>
    <w:rsid w:val="000E44C4"/>
    <w:rsid w:val="000E462C"/>
    <w:rsid w:val="000E463A"/>
    <w:rsid w:val="000E464D"/>
    <w:rsid w:val="000E48CD"/>
    <w:rsid w:val="000E4AA1"/>
    <w:rsid w:val="000E4D2F"/>
    <w:rsid w:val="000E4DB8"/>
    <w:rsid w:val="000E4E35"/>
    <w:rsid w:val="000E50CD"/>
    <w:rsid w:val="000E51E0"/>
    <w:rsid w:val="000E5273"/>
    <w:rsid w:val="000E5335"/>
    <w:rsid w:val="000E537A"/>
    <w:rsid w:val="000E5474"/>
    <w:rsid w:val="000E550C"/>
    <w:rsid w:val="000E551B"/>
    <w:rsid w:val="000E559B"/>
    <w:rsid w:val="000E5AAB"/>
    <w:rsid w:val="000E5AE2"/>
    <w:rsid w:val="000E5AE9"/>
    <w:rsid w:val="000E5BE4"/>
    <w:rsid w:val="000E5D50"/>
    <w:rsid w:val="000E5EAF"/>
    <w:rsid w:val="000E600B"/>
    <w:rsid w:val="000E608A"/>
    <w:rsid w:val="000E6178"/>
    <w:rsid w:val="000E61D1"/>
    <w:rsid w:val="000E6382"/>
    <w:rsid w:val="000E645D"/>
    <w:rsid w:val="000E681D"/>
    <w:rsid w:val="000E6952"/>
    <w:rsid w:val="000E6972"/>
    <w:rsid w:val="000E6C78"/>
    <w:rsid w:val="000E6DB4"/>
    <w:rsid w:val="000E6F7C"/>
    <w:rsid w:val="000E7037"/>
    <w:rsid w:val="000E7075"/>
    <w:rsid w:val="000E709B"/>
    <w:rsid w:val="000E7171"/>
    <w:rsid w:val="000E71F1"/>
    <w:rsid w:val="000E72FF"/>
    <w:rsid w:val="000E73B8"/>
    <w:rsid w:val="000E745B"/>
    <w:rsid w:val="000E749C"/>
    <w:rsid w:val="000E7516"/>
    <w:rsid w:val="000E7568"/>
    <w:rsid w:val="000E75F8"/>
    <w:rsid w:val="000E777B"/>
    <w:rsid w:val="000E7906"/>
    <w:rsid w:val="000E7912"/>
    <w:rsid w:val="000E79A4"/>
    <w:rsid w:val="000E7B7D"/>
    <w:rsid w:val="000E7B84"/>
    <w:rsid w:val="000E7C33"/>
    <w:rsid w:val="000E7C7C"/>
    <w:rsid w:val="000E7CB3"/>
    <w:rsid w:val="000E7CD2"/>
    <w:rsid w:val="000E7D4F"/>
    <w:rsid w:val="000E7E5F"/>
    <w:rsid w:val="000E7E67"/>
    <w:rsid w:val="000E7EE0"/>
    <w:rsid w:val="000E7FA6"/>
    <w:rsid w:val="000E7FC6"/>
    <w:rsid w:val="000F0003"/>
    <w:rsid w:val="000F0131"/>
    <w:rsid w:val="000F021C"/>
    <w:rsid w:val="000F038E"/>
    <w:rsid w:val="000F04C0"/>
    <w:rsid w:val="000F060D"/>
    <w:rsid w:val="000F06D9"/>
    <w:rsid w:val="000F08AA"/>
    <w:rsid w:val="000F0A01"/>
    <w:rsid w:val="000F0A59"/>
    <w:rsid w:val="000F0B01"/>
    <w:rsid w:val="000F0C1F"/>
    <w:rsid w:val="000F116E"/>
    <w:rsid w:val="000F14BC"/>
    <w:rsid w:val="000F1861"/>
    <w:rsid w:val="000F19DC"/>
    <w:rsid w:val="000F1DA7"/>
    <w:rsid w:val="000F1FD3"/>
    <w:rsid w:val="000F1FF3"/>
    <w:rsid w:val="000F1FFE"/>
    <w:rsid w:val="000F2025"/>
    <w:rsid w:val="000F207C"/>
    <w:rsid w:val="000F20BD"/>
    <w:rsid w:val="000F24B6"/>
    <w:rsid w:val="000F24E2"/>
    <w:rsid w:val="000F2537"/>
    <w:rsid w:val="000F29CC"/>
    <w:rsid w:val="000F2B00"/>
    <w:rsid w:val="000F2DBA"/>
    <w:rsid w:val="000F2F0E"/>
    <w:rsid w:val="000F32AA"/>
    <w:rsid w:val="000F32E5"/>
    <w:rsid w:val="000F34A2"/>
    <w:rsid w:val="000F35BC"/>
    <w:rsid w:val="000F35C8"/>
    <w:rsid w:val="000F364E"/>
    <w:rsid w:val="000F380B"/>
    <w:rsid w:val="000F39F4"/>
    <w:rsid w:val="000F3ADF"/>
    <w:rsid w:val="000F3C7F"/>
    <w:rsid w:val="000F3CA8"/>
    <w:rsid w:val="000F3E19"/>
    <w:rsid w:val="000F3FFB"/>
    <w:rsid w:val="000F4062"/>
    <w:rsid w:val="000F4118"/>
    <w:rsid w:val="000F42EA"/>
    <w:rsid w:val="000F4301"/>
    <w:rsid w:val="000F4588"/>
    <w:rsid w:val="000F45C5"/>
    <w:rsid w:val="000F46D3"/>
    <w:rsid w:val="000F4925"/>
    <w:rsid w:val="000F4A9A"/>
    <w:rsid w:val="000F4B9C"/>
    <w:rsid w:val="000F4D40"/>
    <w:rsid w:val="000F4D45"/>
    <w:rsid w:val="000F4D9C"/>
    <w:rsid w:val="000F4EC4"/>
    <w:rsid w:val="000F50CB"/>
    <w:rsid w:val="000F5277"/>
    <w:rsid w:val="000F5659"/>
    <w:rsid w:val="000F5663"/>
    <w:rsid w:val="000F5675"/>
    <w:rsid w:val="000F56A8"/>
    <w:rsid w:val="000F593F"/>
    <w:rsid w:val="000F59CB"/>
    <w:rsid w:val="000F5A59"/>
    <w:rsid w:val="000F5CD0"/>
    <w:rsid w:val="000F5D03"/>
    <w:rsid w:val="000F5E0B"/>
    <w:rsid w:val="000F5F5D"/>
    <w:rsid w:val="000F5F80"/>
    <w:rsid w:val="000F5FC1"/>
    <w:rsid w:val="000F60B7"/>
    <w:rsid w:val="000F6342"/>
    <w:rsid w:val="000F6398"/>
    <w:rsid w:val="000F63CA"/>
    <w:rsid w:val="000F658A"/>
    <w:rsid w:val="000F6707"/>
    <w:rsid w:val="000F6A40"/>
    <w:rsid w:val="000F6C8C"/>
    <w:rsid w:val="000F6D21"/>
    <w:rsid w:val="000F6D4D"/>
    <w:rsid w:val="000F6EEF"/>
    <w:rsid w:val="000F6F74"/>
    <w:rsid w:val="000F702B"/>
    <w:rsid w:val="000F7064"/>
    <w:rsid w:val="000F7145"/>
    <w:rsid w:val="000F71CB"/>
    <w:rsid w:val="000F7312"/>
    <w:rsid w:val="000F7435"/>
    <w:rsid w:val="000F74CE"/>
    <w:rsid w:val="000F75C8"/>
    <w:rsid w:val="000F76A9"/>
    <w:rsid w:val="000F78E4"/>
    <w:rsid w:val="000F7970"/>
    <w:rsid w:val="000F7A68"/>
    <w:rsid w:val="000F7B22"/>
    <w:rsid w:val="000F7B2C"/>
    <w:rsid w:val="000F7BEC"/>
    <w:rsid w:val="000F7C4D"/>
    <w:rsid w:val="000F7DED"/>
    <w:rsid w:val="000F7E4A"/>
    <w:rsid w:val="000F7F04"/>
    <w:rsid w:val="000F7F12"/>
    <w:rsid w:val="000F7F5F"/>
    <w:rsid w:val="00100263"/>
    <w:rsid w:val="00100325"/>
    <w:rsid w:val="00100368"/>
    <w:rsid w:val="00100417"/>
    <w:rsid w:val="00100480"/>
    <w:rsid w:val="00100698"/>
    <w:rsid w:val="001008FC"/>
    <w:rsid w:val="00100932"/>
    <w:rsid w:val="0010095B"/>
    <w:rsid w:val="001009C2"/>
    <w:rsid w:val="00100B8F"/>
    <w:rsid w:val="00100C36"/>
    <w:rsid w:val="001010AC"/>
    <w:rsid w:val="001010BE"/>
    <w:rsid w:val="001010D8"/>
    <w:rsid w:val="00101138"/>
    <w:rsid w:val="00101199"/>
    <w:rsid w:val="00101383"/>
    <w:rsid w:val="001014D4"/>
    <w:rsid w:val="001017E9"/>
    <w:rsid w:val="0010182D"/>
    <w:rsid w:val="001018A3"/>
    <w:rsid w:val="001018E4"/>
    <w:rsid w:val="00101A2B"/>
    <w:rsid w:val="00101A33"/>
    <w:rsid w:val="00101A58"/>
    <w:rsid w:val="00101B1A"/>
    <w:rsid w:val="00101B28"/>
    <w:rsid w:val="00101B75"/>
    <w:rsid w:val="00101B89"/>
    <w:rsid w:val="00101B99"/>
    <w:rsid w:val="00101BE4"/>
    <w:rsid w:val="00101C9D"/>
    <w:rsid w:val="00101DAC"/>
    <w:rsid w:val="00101EC6"/>
    <w:rsid w:val="00101FE0"/>
    <w:rsid w:val="00101FF2"/>
    <w:rsid w:val="00102062"/>
    <w:rsid w:val="00102083"/>
    <w:rsid w:val="001021F1"/>
    <w:rsid w:val="0010233B"/>
    <w:rsid w:val="00102349"/>
    <w:rsid w:val="00102407"/>
    <w:rsid w:val="00102451"/>
    <w:rsid w:val="0010257B"/>
    <w:rsid w:val="0010264D"/>
    <w:rsid w:val="001026C4"/>
    <w:rsid w:val="0010271A"/>
    <w:rsid w:val="001027A9"/>
    <w:rsid w:val="00102AEE"/>
    <w:rsid w:val="00102B41"/>
    <w:rsid w:val="00102BD5"/>
    <w:rsid w:val="00102BF4"/>
    <w:rsid w:val="00102CBB"/>
    <w:rsid w:val="00102D41"/>
    <w:rsid w:val="001030B7"/>
    <w:rsid w:val="001030EB"/>
    <w:rsid w:val="0010320F"/>
    <w:rsid w:val="001032D6"/>
    <w:rsid w:val="00103330"/>
    <w:rsid w:val="00103440"/>
    <w:rsid w:val="00103615"/>
    <w:rsid w:val="00103623"/>
    <w:rsid w:val="001036A9"/>
    <w:rsid w:val="001038D2"/>
    <w:rsid w:val="00103915"/>
    <w:rsid w:val="00103A53"/>
    <w:rsid w:val="00103EDC"/>
    <w:rsid w:val="0010418C"/>
    <w:rsid w:val="001042DC"/>
    <w:rsid w:val="0010442D"/>
    <w:rsid w:val="001044F6"/>
    <w:rsid w:val="00104538"/>
    <w:rsid w:val="00104556"/>
    <w:rsid w:val="00104A4E"/>
    <w:rsid w:val="00104C6B"/>
    <w:rsid w:val="00104E3F"/>
    <w:rsid w:val="00104EFF"/>
    <w:rsid w:val="00105058"/>
    <w:rsid w:val="001050A5"/>
    <w:rsid w:val="001050C2"/>
    <w:rsid w:val="001051C5"/>
    <w:rsid w:val="00105265"/>
    <w:rsid w:val="00105433"/>
    <w:rsid w:val="00105480"/>
    <w:rsid w:val="0010549F"/>
    <w:rsid w:val="00105627"/>
    <w:rsid w:val="001056CE"/>
    <w:rsid w:val="00105717"/>
    <w:rsid w:val="001058F9"/>
    <w:rsid w:val="001059BC"/>
    <w:rsid w:val="001059CF"/>
    <w:rsid w:val="00105C5F"/>
    <w:rsid w:val="00105C68"/>
    <w:rsid w:val="00105CE0"/>
    <w:rsid w:val="0010618D"/>
    <w:rsid w:val="001062D9"/>
    <w:rsid w:val="001064F0"/>
    <w:rsid w:val="001065E3"/>
    <w:rsid w:val="0010669E"/>
    <w:rsid w:val="001066E1"/>
    <w:rsid w:val="00106A02"/>
    <w:rsid w:val="00106CFA"/>
    <w:rsid w:val="001071E5"/>
    <w:rsid w:val="001072FF"/>
    <w:rsid w:val="00107465"/>
    <w:rsid w:val="001074EE"/>
    <w:rsid w:val="0010753B"/>
    <w:rsid w:val="0010754A"/>
    <w:rsid w:val="00107780"/>
    <w:rsid w:val="001077C5"/>
    <w:rsid w:val="00107A9C"/>
    <w:rsid w:val="00107B43"/>
    <w:rsid w:val="00107C39"/>
    <w:rsid w:val="00107E9E"/>
    <w:rsid w:val="0011000D"/>
    <w:rsid w:val="001100E8"/>
    <w:rsid w:val="0011016A"/>
    <w:rsid w:val="001101D6"/>
    <w:rsid w:val="001103CC"/>
    <w:rsid w:val="00110414"/>
    <w:rsid w:val="0011042D"/>
    <w:rsid w:val="0011046D"/>
    <w:rsid w:val="0011048D"/>
    <w:rsid w:val="00110761"/>
    <w:rsid w:val="0011084F"/>
    <w:rsid w:val="0011093B"/>
    <w:rsid w:val="00110AA7"/>
    <w:rsid w:val="00110B20"/>
    <w:rsid w:val="00110B80"/>
    <w:rsid w:val="00110C25"/>
    <w:rsid w:val="00110C91"/>
    <w:rsid w:val="00110C9D"/>
    <w:rsid w:val="00110D51"/>
    <w:rsid w:val="00110DE1"/>
    <w:rsid w:val="00110EAF"/>
    <w:rsid w:val="00110EBF"/>
    <w:rsid w:val="00110F22"/>
    <w:rsid w:val="00111018"/>
    <w:rsid w:val="0011117D"/>
    <w:rsid w:val="001111AF"/>
    <w:rsid w:val="0011123C"/>
    <w:rsid w:val="001112B5"/>
    <w:rsid w:val="0011141E"/>
    <w:rsid w:val="001114D9"/>
    <w:rsid w:val="001114E9"/>
    <w:rsid w:val="001115CF"/>
    <w:rsid w:val="001119A9"/>
    <w:rsid w:val="00111A34"/>
    <w:rsid w:val="00111AE5"/>
    <w:rsid w:val="00111B42"/>
    <w:rsid w:val="00111BA6"/>
    <w:rsid w:val="00111CE3"/>
    <w:rsid w:val="00111EE1"/>
    <w:rsid w:val="00111F02"/>
    <w:rsid w:val="00112013"/>
    <w:rsid w:val="0011203E"/>
    <w:rsid w:val="001120B5"/>
    <w:rsid w:val="00112135"/>
    <w:rsid w:val="00112145"/>
    <w:rsid w:val="00112164"/>
    <w:rsid w:val="00112239"/>
    <w:rsid w:val="00112339"/>
    <w:rsid w:val="001124BA"/>
    <w:rsid w:val="00112519"/>
    <w:rsid w:val="00112534"/>
    <w:rsid w:val="001125B3"/>
    <w:rsid w:val="001128FE"/>
    <w:rsid w:val="00112A50"/>
    <w:rsid w:val="00112AEF"/>
    <w:rsid w:val="00112B05"/>
    <w:rsid w:val="00112BBB"/>
    <w:rsid w:val="00112C12"/>
    <w:rsid w:val="00112C7B"/>
    <w:rsid w:val="00112F93"/>
    <w:rsid w:val="00113188"/>
    <w:rsid w:val="00113199"/>
    <w:rsid w:val="00113221"/>
    <w:rsid w:val="00113295"/>
    <w:rsid w:val="0011329F"/>
    <w:rsid w:val="001132A2"/>
    <w:rsid w:val="001132CC"/>
    <w:rsid w:val="00113364"/>
    <w:rsid w:val="00113473"/>
    <w:rsid w:val="001134A9"/>
    <w:rsid w:val="00113664"/>
    <w:rsid w:val="00113692"/>
    <w:rsid w:val="001136B1"/>
    <w:rsid w:val="00113730"/>
    <w:rsid w:val="00113797"/>
    <w:rsid w:val="00113830"/>
    <w:rsid w:val="00113BE8"/>
    <w:rsid w:val="00113C3C"/>
    <w:rsid w:val="00113D51"/>
    <w:rsid w:val="00113E2A"/>
    <w:rsid w:val="00113FA3"/>
    <w:rsid w:val="00114044"/>
    <w:rsid w:val="0011415A"/>
    <w:rsid w:val="00114167"/>
    <w:rsid w:val="001142BA"/>
    <w:rsid w:val="001144DC"/>
    <w:rsid w:val="0011458E"/>
    <w:rsid w:val="001146F1"/>
    <w:rsid w:val="00114753"/>
    <w:rsid w:val="0011492A"/>
    <w:rsid w:val="00114A15"/>
    <w:rsid w:val="00114BCE"/>
    <w:rsid w:val="00114BF1"/>
    <w:rsid w:val="00114C23"/>
    <w:rsid w:val="00114CC8"/>
    <w:rsid w:val="00114EA1"/>
    <w:rsid w:val="00114F60"/>
    <w:rsid w:val="001150FA"/>
    <w:rsid w:val="001152E5"/>
    <w:rsid w:val="0011531B"/>
    <w:rsid w:val="00115458"/>
    <w:rsid w:val="0011550C"/>
    <w:rsid w:val="00115526"/>
    <w:rsid w:val="001155A4"/>
    <w:rsid w:val="0011569E"/>
    <w:rsid w:val="0011578C"/>
    <w:rsid w:val="0011588F"/>
    <w:rsid w:val="001158E2"/>
    <w:rsid w:val="001158EE"/>
    <w:rsid w:val="0011592F"/>
    <w:rsid w:val="00115992"/>
    <w:rsid w:val="00115E93"/>
    <w:rsid w:val="00115F0C"/>
    <w:rsid w:val="0011603A"/>
    <w:rsid w:val="0011644D"/>
    <w:rsid w:val="0011649A"/>
    <w:rsid w:val="00116607"/>
    <w:rsid w:val="001168D3"/>
    <w:rsid w:val="0011691B"/>
    <w:rsid w:val="0011696B"/>
    <w:rsid w:val="001169E9"/>
    <w:rsid w:val="001169FA"/>
    <w:rsid w:val="00116C12"/>
    <w:rsid w:val="00116DFF"/>
    <w:rsid w:val="00116E76"/>
    <w:rsid w:val="00116ED6"/>
    <w:rsid w:val="00116EE0"/>
    <w:rsid w:val="001170BB"/>
    <w:rsid w:val="001170D5"/>
    <w:rsid w:val="00117373"/>
    <w:rsid w:val="001173F0"/>
    <w:rsid w:val="00117466"/>
    <w:rsid w:val="00117670"/>
    <w:rsid w:val="00117863"/>
    <w:rsid w:val="001178BF"/>
    <w:rsid w:val="001179BC"/>
    <w:rsid w:val="001179DF"/>
    <w:rsid w:val="00117CEB"/>
    <w:rsid w:val="00117CFE"/>
    <w:rsid w:val="0012003B"/>
    <w:rsid w:val="0012006B"/>
    <w:rsid w:val="00120098"/>
    <w:rsid w:val="001200EA"/>
    <w:rsid w:val="001201FE"/>
    <w:rsid w:val="00120327"/>
    <w:rsid w:val="0012039A"/>
    <w:rsid w:val="001205F8"/>
    <w:rsid w:val="00120789"/>
    <w:rsid w:val="00120796"/>
    <w:rsid w:val="001208C0"/>
    <w:rsid w:val="00120B8B"/>
    <w:rsid w:val="00120BE9"/>
    <w:rsid w:val="00120C1A"/>
    <w:rsid w:val="00120C2B"/>
    <w:rsid w:val="00120C40"/>
    <w:rsid w:val="00120C49"/>
    <w:rsid w:val="00120C6B"/>
    <w:rsid w:val="00120D04"/>
    <w:rsid w:val="00120DC7"/>
    <w:rsid w:val="00120EAA"/>
    <w:rsid w:val="00120EC1"/>
    <w:rsid w:val="00120F00"/>
    <w:rsid w:val="00120FBB"/>
    <w:rsid w:val="00120FE4"/>
    <w:rsid w:val="001210BA"/>
    <w:rsid w:val="001211AE"/>
    <w:rsid w:val="001211EB"/>
    <w:rsid w:val="001212B8"/>
    <w:rsid w:val="001215AF"/>
    <w:rsid w:val="0012171B"/>
    <w:rsid w:val="001217ED"/>
    <w:rsid w:val="00121846"/>
    <w:rsid w:val="001218E0"/>
    <w:rsid w:val="0012198B"/>
    <w:rsid w:val="001219BC"/>
    <w:rsid w:val="00121BD9"/>
    <w:rsid w:val="00121C81"/>
    <w:rsid w:val="00121D0C"/>
    <w:rsid w:val="00121DAB"/>
    <w:rsid w:val="00121DCE"/>
    <w:rsid w:val="00121E55"/>
    <w:rsid w:val="00121F04"/>
    <w:rsid w:val="00121F32"/>
    <w:rsid w:val="00121F4A"/>
    <w:rsid w:val="00121F6A"/>
    <w:rsid w:val="00121FA2"/>
    <w:rsid w:val="00121FB4"/>
    <w:rsid w:val="00122085"/>
    <w:rsid w:val="0012219D"/>
    <w:rsid w:val="001221A5"/>
    <w:rsid w:val="00122492"/>
    <w:rsid w:val="001224A2"/>
    <w:rsid w:val="001224AF"/>
    <w:rsid w:val="001225A3"/>
    <w:rsid w:val="00122693"/>
    <w:rsid w:val="001226AF"/>
    <w:rsid w:val="00122832"/>
    <w:rsid w:val="00122838"/>
    <w:rsid w:val="001228CF"/>
    <w:rsid w:val="001228D2"/>
    <w:rsid w:val="001228FB"/>
    <w:rsid w:val="001229D7"/>
    <w:rsid w:val="00122E3B"/>
    <w:rsid w:val="00122EEB"/>
    <w:rsid w:val="00122F04"/>
    <w:rsid w:val="00123191"/>
    <w:rsid w:val="0012332F"/>
    <w:rsid w:val="00123485"/>
    <w:rsid w:val="001235A1"/>
    <w:rsid w:val="00123770"/>
    <w:rsid w:val="001237D9"/>
    <w:rsid w:val="00123AE2"/>
    <w:rsid w:val="00123BF2"/>
    <w:rsid w:val="00123C44"/>
    <w:rsid w:val="00123EE9"/>
    <w:rsid w:val="00123F53"/>
    <w:rsid w:val="00123FC5"/>
    <w:rsid w:val="001240A9"/>
    <w:rsid w:val="0012415F"/>
    <w:rsid w:val="001243C4"/>
    <w:rsid w:val="0012442F"/>
    <w:rsid w:val="00124457"/>
    <w:rsid w:val="001245E9"/>
    <w:rsid w:val="001246CD"/>
    <w:rsid w:val="0012479E"/>
    <w:rsid w:val="0012482F"/>
    <w:rsid w:val="00124893"/>
    <w:rsid w:val="00124954"/>
    <w:rsid w:val="0012498F"/>
    <w:rsid w:val="00124AC8"/>
    <w:rsid w:val="00124B02"/>
    <w:rsid w:val="00124C8F"/>
    <w:rsid w:val="00124D30"/>
    <w:rsid w:val="00124D90"/>
    <w:rsid w:val="00124FCF"/>
    <w:rsid w:val="00125059"/>
    <w:rsid w:val="0012522F"/>
    <w:rsid w:val="00125357"/>
    <w:rsid w:val="0012568E"/>
    <w:rsid w:val="0012571D"/>
    <w:rsid w:val="00125883"/>
    <w:rsid w:val="001258F5"/>
    <w:rsid w:val="00125A1A"/>
    <w:rsid w:val="00125ABD"/>
    <w:rsid w:val="00125B76"/>
    <w:rsid w:val="00125D94"/>
    <w:rsid w:val="00125DFE"/>
    <w:rsid w:val="00125E62"/>
    <w:rsid w:val="00126119"/>
    <w:rsid w:val="00126263"/>
    <w:rsid w:val="0012628E"/>
    <w:rsid w:val="00126367"/>
    <w:rsid w:val="00126431"/>
    <w:rsid w:val="00126708"/>
    <w:rsid w:val="001267DF"/>
    <w:rsid w:val="00126809"/>
    <w:rsid w:val="00126A56"/>
    <w:rsid w:val="00126B61"/>
    <w:rsid w:val="00126D3C"/>
    <w:rsid w:val="00126D4D"/>
    <w:rsid w:val="00126E15"/>
    <w:rsid w:val="00126E5A"/>
    <w:rsid w:val="00126F6E"/>
    <w:rsid w:val="001270AA"/>
    <w:rsid w:val="001271D4"/>
    <w:rsid w:val="0012721C"/>
    <w:rsid w:val="0012727E"/>
    <w:rsid w:val="0012768E"/>
    <w:rsid w:val="001279E4"/>
    <w:rsid w:val="00127AA9"/>
    <w:rsid w:val="00127B36"/>
    <w:rsid w:val="00127B97"/>
    <w:rsid w:val="00127C60"/>
    <w:rsid w:val="00127C64"/>
    <w:rsid w:val="00127CBC"/>
    <w:rsid w:val="00127E93"/>
    <w:rsid w:val="00127ED4"/>
    <w:rsid w:val="00127F1E"/>
    <w:rsid w:val="00127FF7"/>
    <w:rsid w:val="00130173"/>
    <w:rsid w:val="00130345"/>
    <w:rsid w:val="001304CC"/>
    <w:rsid w:val="0013080D"/>
    <w:rsid w:val="00130842"/>
    <w:rsid w:val="0013097E"/>
    <w:rsid w:val="00130C9A"/>
    <w:rsid w:val="00130CA3"/>
    <w:rsid w:val="00130D8D"/>
    <w:rsid w:val="00130E17"/>
    <w:rsid w:val="00130EB7"/>
    <w:rsid w:val="0013130D"/>
    <w:rsid w:val="00131311"/>
    <w:rsid w:val="00131321"/>
    <w:rsid w:val="0013158F"/>
    <w:rsid w:val="00131667"/>
    <w:rsid w:val="00131689"/>
    <w:rsid w:val="0013177E"/>
    <w:rsid w:val="00131B33"/>
    <w:rsid w:val="00131B61"/>
    <w:rsid w:val="00131EEB"/>
    <w:rsid w:val="001321EA"/>
    <w:rsid w:val="001324B5"/>
    <w:rsid w:val="00132596"/>
    <w:rsid w:val="001325E4"/>
    <w:rsid w:val="0013274F"/>
    <w:rsid w:val="001327B4"/>
    <w:rsid w:val="00132863"/>
    <w:rsid w:val="00132AF1"/>
    <w:rsid w:val="00132DE0"/>
    <w:rsid w:val="00132E14"/>
    <w:rsid w:val="00132E54"/>
    <w:rsid w:val="001330D1"/>
    <w:rsid w:val="0013312A"/>
    <w:rsid w:val="0013319D"/>
    <w:rsid w:val="001332CB"/>
    <w:rsid w:val="00133346"/>
    <w:rsid w:val="0013345F"/>
    <w:rsid w:val="00133467"/>
    <w:rsid w:val="001334A1"/>
    <w:rsid w:val="001334F4"/>
    <w:rsid w:val="00133583"/>
    <w:rsid w:val="0013361C"/>
    <w:rsid w:val="001337E8"/>
    <w:rsid w:val="00133843"/>
    <w:rsid w:val="00133938"/>
    <w:rsid w:val="00133975"/>
    <w:rsid w:val="001339F8"/>
    <w:rsid w:val="00133A2D"/>
    <w:rsid w:val="00133A9F"/>
    <w:rsid w:val="00133B29"/>
    <w:rsid w:val="00133B7F"/>
    <w:rsid w:val="00133C44"/>
    <w:rsid w:val="00133C82"/>
    <w:rsid w:val="00133D91"/>
    <w:rsid w:val="00133E2A"/>
    <w:rsid w:val="00133E3B"/>
    <w:rsid w:val="00133EAB"/>
    <w:rsid w:val="00133F2F"/>
    <w:rsid w:val="00133F5A"/>
    <w:rsid w:val="00133F9E"/>
    <w:rsid w:val="00134020"/>
    <w:rsid w:val="00134116"/>
    <w:rsid w:val="001341D2"/>
    <w:rsid w:val="00134284"/>
    <w:rsid w:val="001343B4"/>
    <w:rsid w:val="00134620"/>
    <w:rsid w:val="0013467F"/>
    <w:rsid w:val="00134771"/>
    <w:rsid w:val="001349B8"/>
    <w:rsid w:val="00134ABE"/>
    <w:rsid w:val="00134B71"/>
    <w:rsid w:val="00134FE4"/>
    <w:rsid w:val="00135352"/>
    <w:rsid w:val="00135391"/>
    <w:rsid w:val="001355C3"/>
    <w:rsid w:val="001355CA"/>
    <w:rsid w:val="0013570A"/>
    <w:rsid w:val="00135864"/>
    <w:rsid w:val="001358A6"/>
    <w:rsid w:val="001359BB"/>
    <w:rsid w:val="00135BBA"/>
    <w:rsid w:val="00135C22"/>
    <w:rsid w:val="00135C65"/>
    <w:rsid w:val="00135C6C"/>
    <w:rsid w:val="00135E1A"/>
    <w:rsid w:val="00135F07"/>
    <w:rsid w:val="00135F71"/>
    <w:rsid w:val="00136156"/>
    <w:rsid w:val="00136363"/>
    <w:rsid w:val="001365D4"/>
    <w:rsid w:val="001365EF"/>
    <w:rsid w:val="00136747"/>
    <w:rsid w:val="00136912"/>
    <w:rsid w:val="001369EC"/>
    <w:rsid w:val="00136B1C"/>
    <w:rsid w:val="00136C49"/>
    <w:rsid w:val="00136FA9"/>
    <w:rsid w:val="001370A9"/>
    <w:rsid w:val="001370AE"/>
    <w:rsid w:val="001371FD"/>
    <w:rsid w:val="00137362"/>
    <w:rsid w:val="001374CB"/>
    <w:rsid w:val="001374D8"/>
    <w:rsid w:val="00137505"/>
    <w:rsid w:val="00137612"/>
    <w:rsid w:val="00137734"/>
    <w:rsid w:val="001377D6"/>
    <w:rsid w:val="001377DE"/>
    <w:rsid w:val="00137823"/>
    <w:rsid w:val="0013782A"/>
    <w:rsid w:val="00137888"/>
    <w:rsid w:val="0013798B"/>
    <w:rsid w:val="001379F3"/>
    <w:rsid w:val="00137A21"/>
    <w:rsid w:val="00137E36"/>
    <w:rsid w:val="00140122"/>
    <w:rsid w:val="0014018C"/>
    <w:rsid w:val="001401AE"/>
    <w:rsid w:val="00140589"/>
    <w:rsid w:val="001405E1"/>
    <w:rsid w:val="00140958"/>
    <w:rsid w:val="00140A62"/>
    <w:rsid w:val="00140C09"/>
    <w:rsid w:val="00140D09"/>
    <w:rsid w:val="00140D20"/>
    <w:rsid w:val="00140D5E"/>
    <w:rsid w:val="00140EC3"/>
    <w:rsid w:val="00140F2D"/>
    <w:rsid w:val="00140FAB"/>
    <w:rsid w:val="00140FC8"/>
    <w:rsid w:val="0014103D"/>
    <w:rsid w:val="0014148A"/>
    <w:rsid w:val="001415A2"/>
    <w:rsid w:val="001415A8"/>
    <w:rsid w:val="00141805"/>
    <w:rsid w:val="0014184E"/>
    <w:rsid w:val="0014189A"/>
    <w:rsid w:val="00141964"/>
    <w:rsid w:val="00141998"/>
    <w:rsid w:val="001419A2"/>
    <w:rsid w:val="00141A61"/>
    <w:rsid w:val="00141B60"/>
    <w:rsid w:val="00141BD6"/>
    <w:rsid w:val="00141C9D"/>
    <w:rsid w:val="00141DD8"/>
    <w:rsid w:val="00141FF9"/>
    <w:rsid w:val="001420A6"/>
    <w:rsid w:val="001420ED"/>
    <w:rsid w:val="0014224B"/>
    <w:rsid w:val="001422E8"/>
    <w:rsid w:val="001424A8"/>
    <w:rsid w:val="00142506"/>
    <w:rsid w:val="00142697"/>
    <w:rsid w:val="00142742"/>
    <w:rsid w:val="001429DB"/>
    <w:rsid w:val="00142AE3"/>
    <w:rsid w:val="00142C8B"/>
    <w:rsid w:val="00142D72"/>
    <w:rsid w:val="00142D7B"/>
    <w:rsid w:val="00142E37"/>
    <w:rsid w:val="001430BD"/>
    <w:rsid w:val="0014316D"/>
    <w:rsid w:val="0014325E"/>
    <w:rsid w:val="00143261"/>
    <w:rsid w:val="001432E0"/>
    <w:rsid w:val="0014350A"/>
    <w:rsid w:val="00143595"/>
    <w:rsid w:val="0014372D"/>
    <w:rsid w:val="00143845"/>
    <w:rsid w:val="00143904"/>
    <w:rsid w:val="001439E5"/>
    <w:rsid w:val="00143B43"/>
    <w:rsid w:val="00143C22"/>
    <w:rsid w:val="00143E3C"/>
    <w:rsid w:val="00143EFF"/>
    <w:rsid w:val="00143FBD"/>
    <w:rsid w:val="0014415C"/>
    <w:rsid w:val="00144168"/>
    <w:rsid w:val="00144196"/>
    <w:rsid w:val="00144202"/>
    <w:rsid w:val="001442B2"/>
    <w:rsid w:val="001442ED"/>
    <w:rsid w:val="0014447D"/>
    <w:rsid w:val="0014457C"/>
    <w:rsid w:val="00144665"/>
    <w:rsid w:val="00144920"/>
    <w:rsid w:val="00144CB8"/>
    <w:rsid w:val="00144DE7"/>
    <w:rsid w:val="00144E72"/>
    <w:rsid w:val="00144F5D"/>
    <w:rsid w:val="00144F8C"/>
    <w:rsid w:val="00145001"/>
    <w:rsid w:val="001450CB"/>
    <w:rsid w:val="0014538C"/>
    <w:rsid w:val="001453E9"/>
    <w:rsid w:val="00145417"/>
    <w:rsid w:val="00145731"/>
    <w:rsid w:val="00145743"/>
    <w:rsid w:val="00145838"/>
    <w:rsid w:val="00145881"/>
    <w:rsid w:val="0014599C"/>
    <w:rsid w:val="00145A4C"/>
    <w:rsid w:val="00145AD8"/>
    <w:rsid w:val="00145BA2"/>
    <w:rsid w:val="00145C52"/>
    <w:rsid w:val="00145D14"/>
    <w:rsid w:val="00145D7C"/>
    <w:rsid w:val="00145DBE"/>
    <w:rsid w:val="00145F1D"/>
    <w:rsid w:val="00145F75"/>
    <w:rsid w:val="00145FAB"/>
    <w:rsid w:val="00146138"/>
    <w:rsid w:val="001461DB"/>
    <w:rsid w:val="001461E0"/>
    <w:rsid w:val="00146387"/>
    <w:rsid w:val="001464AF"/>
    <w:rsid w:val="001464FE"/>
    <w:rsid w:val="00146766"/>
    <w:rsid w:val="001467AF"/>
    <w:rsid w:val="001467FF"/>
    <w:rsid w:val="00146884"/>
    <w:rsid w:val="00146A93"/>
    <w:rsid w:val="00146AEC"/>
    <w:rsid w:val="00146D26"/>
    <w:rsid w:val="00146DA3"/>
    <w:rsid w:val="00146DE5"/>
    <w:rsid w:val="00146EE7"/>
    <w:rsid w:val="0014711A"/>
    <w:rsid w:val="0014712E"/>
    <w:rsid w:val="001471F5"/>
    <w:rsid w:val="00147231"/>
    <w:rsid w:val="0014792A"/>
    <w:rsid w:val="0014796C"/>
    <w:rsid w:val="00147A38"/>
    <w:rsid w:val="00147A6D"/>
    <w:rsid w:val="00147AAF"/>
    <w:rsid w:val="00147BE1"/>
    <w:rsid w:val="00147C4B"/>
    <w:rsid w:val="00147E50"/>
    <w:rsid w:val="00147E69"/>
    <w:rsid w:val="00150042"/>
    <w:rsid w:val="0015005F"/>
    <w:rsid w:val="001502DA"/>
    <w:rsid w:val="0015048A"/>
    <w:rsid w:val="001505E9"/>
    <w:rsid w:val="00150654"/>
    <w:rsid w:val="0015075C"/>
    <w:rsid w:val="001507B9"/>
    <w:rsid w:val="001508E1"/>
    <w:rsid w:val="00150931"/>
    <w:rsid w:val="00150946"/>
    <w:rsid w:val="00150CB1"/>
    <w:rsid w:val="00150D57"/>
    <w:rsid w:val="00150D71"/>
    <w:rsid w:val="00150D8E"/>
    <w:rsid w:val="00150E44"/>
    <w:rsid w:val="00150EEC"/>
    <w:rsid w:val="00150FC9"/>
    <w:rsid w:val="00151064"/>
    <w:rsid w:val="001510EC"/>
    <w:rsid w:val="001512F5"/>
    <w:rsid w:val="0015132E"/>
    <w:rsid w:val="00151387"/>
    <w:rsid w:val="00151448"/>
    <w:rsid w:val="00151471"/>
    <w:rsid w:val="0015156A"/>
    <w:rsid w:val="001515EE"/>
    <w:rsid w:val="00151710"/>
    <w:rsid w:val="00151825"/>
    <w:rsid w:val="001518CA"/>
    <w:rsid w:val="001519C2"/>
    <w:rsid w:val="001519F2"/>
    <w:rsid w:val="00151AA8"/>
    <w:rsid w:val="00151AD0"/>
    <w:rsid w:val="00151B4C"/>
    <w:rsid w:val="00151D01"/>
    <w:rsid w:val="00151D15"/>
    <w:rsid w:val="00151F10"/>
    <w:rsid w:val="00151F2D"/>
    <w:rsid w:val="00152037"/>
    <w:rsid w:val="001520EB"/>
    <w:rsid w:val="00152197"/>
    <w:rsid w:val="0015274C"/>
    <w:rsid w:val="0015296C"/>
    <w:rsid w:val="00152AEB"/>
    <w:rsid w:val="00152AF9"/>
    <w:rsid w:val="00152B7B"/>
    <w:rsid w:val="00152EAB"/>
    <w:rsid w:val="00153005"/>
    <w:rsid w:val="00153177"/>
    <w:rsid w:val="00153229"/>
    <w:rsid w:val="001532DC"/>
    <w:rsid w:val="0015358E"/>
    <w:rsid w:val="0015371B"/>
    <w:rsid w:val="00153733"/>
    <w:rsid w:val="001537A3"/>
    <w:rsid w:val="0015384A"/>
    <w:rsid w:val="001538AA"/>
    <w:rsid w:val="0015394B"/>
    <w:rsid w:val="0015398D"/>
    <w:rsid w:val="001539D3"/>
    <w:rsid w:val="00153A67"/>
    <w:rsid w:val="00153A70"/>
    <w:rsid w:val="00153B9F"/>
    <w:rsid w:val="00153C1F"/>
    <w:rsid w:val="00153D10"/>
    <w:rsid w:val="00153E11"/>
    <w:rsid w:val="00153F12"/>
    <w:rsid w:val="00154150"/>
    <w:rsid w:val="001541BA"/>
    <w:rsid w:val="00154561"/>
    <w:rsid w:val="001546B0"/>
    <w:rsid w:val="00154752"/>
    <w:rsid w:val="00154785"/>
    <w:rsid w:val="0015484D"/>
    <w:rsid w:val="00154AC3"/>
    <w:rsid w:val="00154B6E"/>
    <w:rsid w:val="00154BDB"/>
    <w:rsid w:val="00154E63"/>
    <w:rsid w:val="00154F6D"/>
    <w:rsid w:val="00154F78"/>
    <w:rsid w:val="0015502D"/>
    <w:rsid w:val="0015525E"/>
    <w:rsid w:val="00155299"/>
    <w:rsid w:val="001554CB"/>
    <w:rsid w:val="0015558E"/>
    <w:rsid w:val="001555EC"/>
    <w:rsid w:val="0015562A"/>
    <w:rsid w:val="001556B3"/>
    <w:rsid w:val="00155789"/>
    <w:rsid w:val="00155962"/>
    <w:rsid w:val="00155AFC"/>
    <w:rsid w:val="00155CC8"/>
    <w:rsid w:val="00155DBB"/>
    <w:rsid w:val="00155E52"/>
    <w:rsid w:val="00155F46"/>
    <w:rsid w:val="00156005"/>
    <w:rsid w:val="00156021"/>
    <w:rsid w:val="001563F2"/>
    <w:rsid w:val="00156429"/>
    <w:rsid w:val="0015643A"/>
    <w:rsid w:val="00156550"/>
    <w:rsid w:val="0015666F"/>
    <w:rsid w:val="00156707"/>
    <w:rsid w:val="001568E3"/>
    <w:rsid w:val="001569C9"/>
    <w:rsid w:val="00156CED"/>
    <w:rsid w:val="00156CF0"/>
    <w:rsid w:val="00156EB2"/>
    <w:rsid w:val="00156FB3"/>
    <w:rsid w:val="00157089"/>
    <w:rsid w:val="00157158"/>
    <w:rsid w:val="0015718E"/>
    <w:rsid w:val="00157433"/>
    <w:rsid w:val="0015748D"/>
    <w:rsid w:val="0015755D"/>
    <w:rsid w:val="001575CF"/>
    <w:rsid w:val="001576B5"/>
    <w:rsid w:val="00157942"/>
    <w:rsid w:val="00157957"/>
    <w:rsid w:val="00157980"/>
    <w:rsid w:val="00157A40"/>
    <w:rsid w:val="00157A6D"/>
    <w:rsid w:val="00157C94"/>
    <w:rsid w:val="00157ECF"/>
    <w:rsid w:val="00157F05"/>
    <w:rsid w:val="0016037E"/>
    <w:rsid w:val="00160467"/>
    <w:rsid w:val="001604D1"/>
    <w:rsid w:val="001606FB"/>
    <w:rsid w:val="00160790"/>
    <w:rsid w:val="00160A79"/>
    <w:rsid w:val="00160C36"/>
    <w:rsid w:val="00160C53"/>
    <w:rsid w:val="00160C6B"/>
    <w:rsid w:val="00160C98"/>
    <w:rsid w:val="00160D55"/>
    <w:rsid w:val="00160DC7"/>
    <w:rsid w:val="00160EBA"/>
    <w:rsid w:val="00160F4E"/>
    <w:rsid w:val="0016135C"/>
    <w:rsid w:val="001616A7"/>
    <w:rsid w:val="00161C0C"/>
    <w:rsid w:val="00161CCB"/>
    <w:rsid w:val="00161D1E"/>
    <w:rsid w:val="00161F49"/>
    <w:rsid w:val="00161F7D"/>
    <w:rsid w:val="00161F9B"/>
    <w:rsid w:val="00162211"/>
    <w:rsid w:val="0016227F"/>
    <w:rsid w:val="001624BE"/>
    <w:rsid w:val="001624E5"/>
    <w:rsid w:val="0016256E"/>
    <w:rsid w:val="00162694"/>
    <w:rsid w:val="001626DF"/>
    <w:rsid w:val="001627B4"/>
    <w:rsid w:val="001627C5"/>
    <w:rsid w:val="001629AA"/>
    <w:rsid w:val="00162ACE"/>
    <w:rsid w:val="00162D29"/>
    <w:rsid w:val="00162F08"/>
    <w:rsid w:val="00162F4E"/>
    <w:rsid w:val="00163135"/>
    <w:rsid w:val="0016333F"/>
    <w:rsid w:val="0016381C"/>
    <w:rsid w:val="00163918"/>
    <w:rsid w:val="00163A18"/>
    <w:rsid w:val="00163A2F"/>
    <w:rsid w:val="00163A58"/>
    <w:rsid w:val="00163CA3"/>
    <w:rsid w:val="00163DE7"/>
    <w:rsid w:val="00163E10"/>
    <w:rsid w:val="001640BC"/>
    <w:rsid w:val="001640FE"/>
    <w:rsid w:val="001643CF"/>
    <w:rsid w:val="00164437"/>
    <w:rsid w:val="00164483"/>
    <w:rsid w:val="0016453E"/>
    <w:rsid w:val="0016463B"/>
    <w:rsid w:val="001647E5"/>
    <w:rsid w:val="00164856"/>
    <w:rsid w:val="00164A9B"/>
    <w:rsid w:val="00164AF7"/>
    <w:rsid w:val="00164B5C"/>
    <w:rsid w:val="00164CEC"/>
    <w:rsid w:val="00164D4A"/>
    <w:rsid w:val="00164E92"/>
    <w:rsid w:val="00164F3F"/>
    <w:rsid w:val="00164FB6"/>
    <w:rsid w:val="00164FF7"/>
    <w:rsid w:val="00165156"/>
    <w:rsid w:val="00165313"/>
    <w:rsid w:val="00165568"/>
    <w:rsid w:val="001655D2"/>
    <w:rsid w:val="001656B3"/>
    <w:rsid w:val="001656C9"/>
    <w:rsid w:val="00165793"/>
    <w:rsid w:val="00165A0C"/>
    <w:rsid w:val="00165A7D"/>
    <w:rsid w:val="00165A97"/>
    <w:rsid w:val="00165BDD"/>
    <w:rsid w:val="00165C28"/>
    <w:rsid w:val="00165E78"/>
    <w:rsid w:val="001660B0"/>
    <w:rsid w:val="0016623F"/>
    <w:rsid w:val="00166271"/>
    <w:rsid w:val="00166381"/>
    <w:rsid w:val="00166404"/>
    <w:rsid w:val="0016642F"/>
    <w:rsid w:val="0016655F"/>
    <w:rsid w:val="0016658D"/>
    <w:rsid w:val="00166794"/>
    <w:rsid w:val="001669A7"/>
    <w:rsid w:val="001669DF"/>
    <w:rsid w:val="00166AFC"/>
    <w:rsid w:val="00166B6B"/>
    <w:rsid w:val="00166B9F"/>
    <w:rsid w:val="00166C5B"/>
    <w:rsid w:val="00167029"/>
    <w:rsid w:val="00167077"/>
    <w:rsid w:val="00167163"/>
    <w:rsid w:val="00167196"/>
    <w:rsid w:val="00167198"/>
    <w:rsid w:val="001674E2"/>
    <w:rsid w:val="00167757"/>
    <w:rsid w:val="001679C9"/>
    <w:rsid w:val="00167AA1"/>
    <w:rsid w:val="00167B09"/>
    <w:rsid w:val="00167BB9"/>
    <w:rsid w:val="00167DE6"/>
    <w:rsid w:val="00167EEF"/>
    <w:rsid w:val="00167F60"/>
    <w:rsid w:val="0017009C"/>
    <w:rsid w:val="001701B1"/>
    <w:rsid w:val="00170378"/>
    <w:rsid w:val="001705DB"/>
    <w:rsid w:val="0017078C"/>
    <w:rsid w:val="001707E3"/>
    <w:rsid w:val="001708DE"/>
    <w:rsid w:val="001708FA"/>
    <w:rsid w:val="00170B62"/>
    <w:rsid w:val="00170D3B"/>
    <w:rsid w:val="00170E15"/>
    <w:rsid w:val="00170E73"/>
    <w:rsid w:val="00170F3D"/>
    <w:rsid w:val="00170F43"/>
    <w:rsid w:val="00170F4F"/>
    <w:rsid w:val="00170F8E"/>
    <w:rsid w:val="0017107F"/>
    <w:rsid w:val="0017109D"/>
    <w:rsid w:val="001710D9"/>
    <w:rsid w:val="0017123F"/>
    <w:rsid w:val="001713D3"/>
    <w:rsid w:val="001714F3"/>
    <w:rsid w:val="00171605"/>
    <w:rsid w:val="0017176D"/>
    <w:rsid w:val="00171800"/>
    <w:rsid w:val="001718C4"/>
    <w:rsid w:val="00171901"/>
    <w:rsid w:val="00171A13"/>
    <w:rsid w:val="00171A85"/>
    <w:rsid w:val="00171AE3"/>
    <w:rsid w:val="00171B84"/>
    <w:rsid w:val="00171ED0"/>
    <w:rsid w:val="00171F5C"/>
    <w:rsid w:val="00171F6E"/>
    <w:rsid w:val="00171FBD"/>
    <w:rsid w:val="00172033"/>
    <w:rsid w:val="0017210F"/>
    <w:rsid w:val="00172395"/>
    <w:rsid w:val="001723A5"/>
    <w:rsid w:val="001723E8"/>
    <w:rsid w:val="00172424"/>
    <w:rsid w:val="001725A4"/>
    <w:rsid w:val="00172758"/>
    <w:rsid w:val="00172887"/>
    <w:rsid w:val="001728A1"/>
    <w:rsid w:val="001729A8"/>
    <w:rsid w:val="00172F5D"/>
    <w:rsid w:val="001730B4"/>
    <w:rsid w:val="00173118"/>
    <w:rsid w:val="0017313D"/>
    <w:rsid w:val="00173175"/>
    <w:rsid w:val="001731DE"/>
    <w:rsid w:val="00173662"/>
    <w:rsid w:val="00173718"/>
    <w:rsid w:val="001738BF"/>
    <w:rsid w:val="00173BB1"/>
    <w:rsid w:val="00173C43"/>
    <w:rsid w:val="00173C52"/>
    <w:rsid w:val="00173DC6"/>
    <w:rsid w:val="00173DE9"/>
    <w:rsid w:val="00173E4B"/>
    <w:rsid w:val="0017408A"/>
    <w:rsid w:val="00174263"/>
    <w:rsid w:val="001742D5"/>
    <w:rsid w:val="001742D8"/>
    <w:rsid w:val="001742ED"/>
    <w:rsid w:val="0017432E"/>
    <w:rsid w:val="001743AC"/>
    <w:rsid w:val="00174507"/>
    <w:rsid w:val="001745DF"/>
    <w:rsid w:val="0017464E"/>
    <w:rsid w:val="001747CC"/>
    <w:rsid w:val="001749F6"/>
    <w:rsid w:val="00174A91"/>
    <w:rsid w:val="00174B9A"/>
    <w:rsid w:val="00174CEF"/>
    <w:rsid w:val="00174DC6"/>
    <w:rsid w:val="00174DCA"/>
    <w:rsid w:val="00174EC0"/>
    <w:rsid w:val="00174F68"/>
    <w:rsid w:val="00175007"/>
    <w:rsid w:val="00175085"/>
    <w:rsid w:val="001752DA"/>
    <w:rsid w:val="00175334"/>
    <w:rsid w:val="001754EA"/>
    <w:rsid w:val="00175584"/>
    <w:rsid w:val="001755B3"/>
    <w:rsid w:val="0017560E"/>
    <w:rsid w:val="001757B1"/>
    <w:rsid w:val="00175852"/>
    <w:rsid w:val="00175B8E"/>
    <w:rsid w:val="00175D18"/>
    <w:rsid w:val="00175F0D"/>
    <w:rsid w:val="00175F9D"/>
    <w:rsid w:val="00175FC0"/>
    <w:rsid w:val="0017609A"/>
    <w:rsid w:val="001760C7"/>
    <w:rsid w:val="0017624D"/>
    <w:rsid w:val="0017625F"/>
    <w:rsid w:val="001762AE"/>
    <w:rsid w:val="00176405"/>
    <w:rsid w:val="001764A7"/>
    <w:rsid w:val="001766BC"/>
    <w:rsid w:val="00176875"/>
    <w:rsid w:val="0017697F"/>
    <w:rsid w:val="001769C5"/>
    <w:rsid w:val="00176D67"/>
    <w:rsid w:val="00176F0E"/>
    <w:rsid w:val="001771A6"/>
    <w:rsid w:val="00177278"/>
    <w:rsid w:val="001772E2"/>
    <w:rsid w:val="00177389"/>
    <w:rsid w:val="001773E5"/>
    <w:rsid w:val="001774D7"/>
    <w:rsid w:val="001774DF"/>
    <w:rsid w:val="00177508"/>
    <w:rsid w:val="00177548"/>
    <w:rsid w:val="00177568"/>
    <w:rsid w:val="001775E1"/>
    <w:rsid w:val="0017761D"/>
    <w:rsid w:val="0017763B"/>
    <w:rsid w:val="00177799"/>
    <w:rsid w:val="00177917"/>
    <w:rsid w:val="0017796A"/>
    <w:rsid w:val="001779A4"/>
    <w:rsid w:val="00177AE5"/>
    <w:rsid w:val="00177C39"/>
    <w:rsid w:val="00177C61"/>
    <w:rsid w:val="00177CC5"/>
    <w:rsid w:val="00177CD1"/>
    <w:rsid w:val="00177D0B"/>
    <w:rsid w:val="00177E27"/>
    <w:rsid w:val="00177E2B"/>
    <w:rsid w:val="001801C2"/>
    <w:rsid w:val="001802C5"/>
    <w:rsid w:val="00180335"/>
    <w:rsid w:val="001803E8"/>
    <w:rsid w:val="00180753"/>
    <w:rsid w:val="00180947"/>
    <w:rsid w:val="00180951"/>
    <w:rsid w:val="00180996"/>
    <w:rsid w:val="00180A50"/>
    <w:rsid w:val="00180A86"/>
    <w:rsid w:val="00180CE6"/>
    <w:rsid w:val="00180D62"/>
    <w:rsid w:val="00180D8E"/>
    <w:rsid w:val="00180E65"/>
    <w:rsid w:val="00180ED0"/>
    <w:rsid w:val="00181055"/>
    <w:rsid w:val="001810F3"/>
    <w:rsid w:val="00181347"/>
    <w:rsid w:val="0018136A"/>
    <w:rsid w:val="0018136B"/>
    <w:rsid w:val="001813AB"/>
    <w:rsid w:val="001814EE"/>
    <w:rsid w:val="001816E9"/>
    <w:rsid w:val="0018187D"/>
    <w:rsid w:val="001818DA"/>
    <w:rsid w:val="0018195C"/>
    <w:rsid w:val="00181AFA"/>
    <w:rsid w:val="00181DAF"/>
    <w:rsid w:val="00181F9F"/>
    <w:rsid w:val="001820A5"/>
    <w:rsid w:val="001820F3"/>
    <w:rsid w:val="00182170"/>
    <w:rsid w:val="001823A4"/>
    <w:rsid w:val="001823CA"/>
    <w:rsid w:val="0018245B"/>
    <w:rsid w:val="001825EA"/>
    <w:rsid w:val="001828FF"/>
    <w:rsid w:val="001829CD"/>
    <w:rsid w:val="00182A8A"/>
    <w:rsid w:val="00182B83"/>
    <w:rsid w:val="00182C96"/>
    <w:rsid w:val="00182F07"/>
    <w:rsid w:val="001830CB"/>
    <w:rsid w:val="0018332C"/>
    <w:rsid w:val="001834E0"/>
    <w:rsid w:val="00183634"/>
    <w:rsid w:val="0018378D"/>
    <w:rsid w:val="0018386F"/>
    <w:rsid w:val="00183BB9"/>
    <w:rsid w:val="00183C64"/>
    <w:rsid w:val="00183DFA"/>
    <w:rsid w:val="00183E10"/>
    <w:rsid w:val="00183E30"/>
    <w:rsid w:val="00183E5E"/>
    <w:rsid w:val="00183F12"/>
    <w:rsid w:val="00184266"/>
    <w:rsid w:val="00184324"/>
    <w:rsid w:val="00184426"/>
    <w:rsid w:val="001845BC"/>
    <w:rsid w:val="0018460A"/>
    <w:rsid w:val="00184615"/>
    <w:rsid w:val="001846D8"/>
    <w:rsid w:val="001847B8"/>
    <w:rsid w:val="00184843"/>
    <w:rsid w:val="0018493B"/>
    <w:rsid w:val="00184A70"/>
    <w:rsid w:val="00184BC3"/>
    <w:rsid w:val="00184CF4"/>
    <w:rsid w:val="00184E21"/>
    <w:rsid w:val="00184EDE"/>
    <w:rsid w:val="00184F37"/>
    <w:rsid w:val="00184FEA"/>
    <w:rsid w:val="0018505C"/>
    <w:rsid w:val="001851F3"/>
    <w:rsid w:val="001852F5"/>
    <w:rsid w:val="00185351"/>
    <w:rsid w:val="00185425"/>
    <w:rsid w:val="00185457"/>
    <w:rsid w:val="001855BD"/>
    <w:rsid w:val="001857B7"/>
    <w:rsid w:val="00185868"/>
    <w:rsid w:val="0018590D"/>
    <w:rsid w:val="00185A3F"/>
    <w:rsid w:val="00185C84"/>
    <w:rsid w:val="00186010"/>
    <w:rsid w:val="001860FF"/>
    <w:rsid w:val="00186122"/>
    <w:rsid w:val="00186177"/>
    <w:rsid w:val="00186282"/>
    <w:rsid w:val="001864E4"/>
    <w:rsid w:val="0018654F"/>
    <w:rsid w:val="00186724"/>
    <w:rsid w:val="00186798"/>
    <w:rsid w:val="00186B70"/>
    <w:rsid w:val="00186C38"/>
    <w:rsid w:val="00186C75"/>
    <w:rsid w:val="00186D22"/>
    <w:rsid w:val="00186E98"/>
    <w:rsid w:val="00186ED6"/>
    <w:rsid w:val="00186FAD"/>
    <w:rsid w:val="001870E7"/>
    <w:rsid w:val="00187168"/>
    <w:rsid w:val="0018718A"/>
    <w:rsid w:val="0018734E"/>
    <w:rsid w:val="0018783E"/>
    <w:rsid w:val="001878E8"/>
    <w:rsid w:val="00187964"/>
    <w:rsid w:val="0018799D"/>
    <w:rsid w:val="00187C12"/>
    <w:rsid w:val="00187EC0"/>
    <w:rsid w:val="00187F07"/>
    <w:rsid w:val="00187F79"/>
    <w:rsid w:val="00187F88"/>
    <w:rsid w:val="00190337"/>
    <w:rsid w:val="00190360"/>
    <w:rsid w:val="00190377"/>
    <w:rsid w:val="00190461"/>
    <w:rsid w:val="001904CC"/>
    <w:rsid w:val="00190777"/>
    <w:rsid w:val="0019078D"/>
    <w:rsid w:val="00190891"/>
    <w:rsid w:val="001908BB"/>
    <w:rsid w:val="001908D1"/>
    <w:rsid w:val="0019093E"/>
    <w:rsid w:val="001909DB"/>
    <w:rsid w:val="00190B3B"/>
    <w:rsid w:val="00190D23"/>
    <w:rsid w:val="00190D51"/>
    <w:rsid w:val="00190DFD"/>
    <w:rsid w:val="00190E9B"/>
    <w:rsid w:val="00190F08"/>
    <w:rsid w:val="0019101B"/>
    <w:rsid w:val="00191178"/>
    <w:rsid w:val="001912B6"/>
    <w:rsid w:val="001912C3"/>
    <w:rsid w:val="001912E7"/>
    <w:rsid w:val="0019139D"/>
    <w:rsid w:val="00191664"/>
    <w:rsid w:val="00191690"/>
    <w:rsid w:val="00191695"/>
    <w:rsid w:val="00191711"/>
    <w:rsid w:val="00191723"/>
    <w:rsid w:val="0019173D"/>
    <w:rsid w:val="00191890"/>
    <w:rsid w:val="001918CF"/>
    <w:rsid w:val="00191B52"/>
    <w:rsid w:val="00191C8E"/>
    <w:rsid w:val="00191D13"/>
    <w:rsid w:val="00191D27"/>
    <w:rsid w:val="00191ECF"/>
    <w:rsid w:val="0019200F"/>
    <w:rsid w:val="001920F4"/>
    <w:rsid w:val="00192187"/>
    <w:rsid w:val="00192366"/>
    <w:rsid w:val="00192689"/>
    <w:rsid w:val="0019271F"/>
    <w:rsid w:val="00192783"/>
    <w:rsid w:val="0019287A"/>
    <w:rsid w:val="001928A8"/>
    <w:rsid w:val="0019297B"/>
    <w:rsid w:val="00192A1D"/>
    <w:rsid w:val="00192A47"/>
    <w:rsid w:val="00192B67"/>
    <w:rsid w:val="00192C06"/>
    <w:rsid w:val="00192C8C"/>
    <w:rsid w:val="0019312E"/>
    <w:rsid w:val="00193143"/>
    <w:rsid w:val="001933A4"/>
    <w:rsid w:val="0019366D"/>
    <w:rsid w:val="001936C2"/>
    <w:rsid w:val="00193765"/>
    <w:rsid w:val="00193AAB"/>
    <w:rsid w:val="00193B9F"/>
    <w:rsid w:val="00193D99"/>
    <w:rsid w:val="00193DC2"/>
    <w:rsid w:val="00193FE7"/>
    <w:rsid w:val="001942FF"/>
    <w:rsid w:val="0019437F"/>
    <w:rsid w:val="001943E9"/>
    <w:rsid w:val="00194434"/>
    <w:rsid w:val="001944A3"/>
    <w:rsid w:val="00194534"/>
    <w:rsid w:val="00194975"/>
    <w:rsid w:val="00194CAA"/>
    <w:rsid w:val="00194D04"/>
    <w:rsid w:val="00194D07"/>
    <w:rsid w:val="00194D84"/>
    <w:rsid w:val="00194DF5"/>
    <w:rsid w:val="00194E69"/>
    <w:rsid w:val="00194E88"/>
    <w:rsid w:val="00195082"/>
    <w:rsid w:val="00195110"/>
    <w:rsid w:val="00195147"/>
    <w:rsid w:val="0019545E"/>
    <w:rsid w:val="0019551E"/>
    <w:rsid w:val="00195708"/>
    <w:rsid w:val="001957C7"/>
    <w:rsid w:val="00195800"/>
    <w:rsid w:val="00195894"/>
    <w:rsid w:val="001958C4"/>
    <w:rsid w:val="00195922"/>
    <w:rsid w:val="00195993"/>
    <w:rsid w:val="00195B36"/>
    <w:rsid w:val="00195BC8"/>
    <w:rsid w:val="00195C01"/>
    <w:rsid w:val="00195C5A"/>
    <w:rsid w:val="00195D9F"/>
    <w:rsid w:val="00195DA5"/>
    <w:rsid w:val="00195DAB"/>
    <w:rsid w:val="00195ECC"/>
    <w:rsid w:val="00196045"/>
    <w:rsid w:val="00196422"/>
    <w:rsid w:val="0019649F"/>
    <w:rsid w:val="001965EE"/>
    <w:rsid w:val="0019668B"/>
    <w:rsid w:val="001966BC"/>
    <w:rsid w:val="00196707"/>
    <w:rsid w:val="00196870"/>
    <w:rsid w:val="001968AB"/>
    <w:rsid w:val="001969AA"/>
    <w:rsid w:val="00196A32"/>
    <w:rsid w:val="00196ACF"/>
    <w:rsid w:val="00196CA7"/>
    <w:rsid w:val="00196CD5"/>
    <w:rsid w:val="00196D97"/>
    <w:rsid w:val="00196DBA"/>
    <w:rsid w:val="00196FBB"/>
    <w:rsid w:val="00196FD6"/>
    <w:rsid w:val="00197033"/>
    <w:rsid w:val="00197125"/>
    <w:rsid w:val="001971EC"/>
    <w:rsid w:val="001972DE"/>
    <w:rsid w:val="00197468"/>
    <w:rsid w:val="00197484"/>
    <w:rsid w:val="0019748D"/>
    <w:rsid w:val="00197570"/>
    <w:rsid w:val="001976D3"/>
    <w:rsid w:val="0019790E"/>
    <w:rsid w:val="00197968"/>
    <w:rsid w:val="00197A4F"/>
    <w:rsid w:val="00197BFA"/>
    <w:rsid w:val="00197D2D"/>
    <w:rsid w:val="00197DBF"/>
    <w:rsid w:val="00197F10"/>
    <w:rsid w:val="001A00DD"/>
    <w:rsid w:val="001A01CB"/>
    <w:rsid w:val="001A01F9"/>
    <w:rsid w:val="001A0225"/>
    <w:rsid w:val="001A0230"/>
    <w:rsid w:val="001A0312"/>
    <w:rsid w:val="001A031B"/>
    <w:rsid w:val="001A0684"/>
    <w:rsid w:val="001A06E3"/>
    <w:rsid w:val="001A0878"/>
    <w:rsid w:val="001A08BA"/>
    <w:rsid w:val="001A0A68"/>
    <w:rsid w:val="001A0A7E"/>
    <w:rsid w:val="001A0BAE"/>
    <w:rsid w:val="001A0BBC"/>
    <w:rsid w:val="001A0C66"/>
    <w:rsid w:val="001A0C69"/>
    <w:rsid w:val="001A0D40"/>
    <w:rsid w:val="001A0F6C"/>
    <w:rsid w:val="001A0F79"/>
    <w:rsid w:val="001A10BF"/>
    <w:rsid w:val="001A111E"/>
    <w:rsid w:val="001A1170"/>
    <w:rsid w:val="001A12FA"/>
    <w:rsid w:val="001A1535"/>
    <w:rsid w:val="001A1706"/>
    <w:rsid w:val="001A18CB"/>
    <w:rsid w:val="001A191E"/>
    <w:rsid w:val="001A1A8C"/>
    <w:rsid w:val="001A1CC5"/>
    <w:rsid w:val="001A1CE9"/>
    <w:rsid w:val="001A2002"/>
    <w:rsid w:val="001A2215"/>
    <w:rsid w:val="001A2328"/>
    <w:rsid w:val="001A23A6"/>
    <w:rsid w:val="001A240A"/>
    <w:rsid w:val="001A24D9"/>
    <w:rsid w:val="001A25A9"/>
    <w:rsid w:val="001A2665"/>
    <w:rsid w:val="001A2685"/>
    <w:rsid w:val="001A298B"/>
    <w:rsid w:val="001A2AFF"/>
    <w:rsid w:val="001A2DD7"/>
    <w:rsid w:val="001A2DFB"/>
    <w:rsid w:val="001A2ED3"/>
    <w:rsid w:val="001A3080"/>
    <w:rsid w:val="001A3134"/>
    <w:rsid w:val="001A31FD"/>
    <w:rsid w:val="001A3200"/>
    <w:rsid w:val="001A32BC"/>
    <w:rsid w:val="001A32C9"/>
    <w:rsid w:val="001A371D"/>
    <w:rsid w:val="001A380F"/>
    <w:rsid w:val="001A386B"/>
    <w:rsid w:val="001A3870"/>
    <w:rsid w:val="001A3922"/>
    <w:rsid w:val="001A394D"/>
    <w:rsid w:val="001A395B"/>
    <w:rsid w:val="001A39F6"/>
    <w:rsid w:val="001A3B0A"/>
    <w:rsid w:val="001A3C71"/>
    <w:rsid w:val="001A3C81"/>
    <w:rsid w:val="001A3CA5"/>
    <w:rsid w:val="001A3FC0"/>
    <w:rsid w:val="001A4109"/>
    <w:rsid w:val="001A421B"/>
    <w:rsid w:val="001A4368"/>
    <w:rsid w:val="001A4570"/>
    <w:rsid w:val="001A474A"/>
    <w:rsid w:val="001A4793"/>
    <w:rsid w:val="001A4822"/>
    <w:rsid w:val="001A483D"/>
    <w:rsid w:val="001A4931"/>
    <w:rsid w:val="001A4A95"/>
    <w:rsid w:val="001A4AB2"/>
    <w:rsid w:val="001A4B3B"/>
    <w:rsid w:val="001A4BE5"/>
    <w:rsid w:val="001A4D9F"/>
    <w:rsid w:val="001A4DDA"/>
    <w:rsid w:val="001A4E20"/>
    <w:rsid w:val="001A4F09"/>
    <w:rsid w:val="001A5108"/>
    <w:rsid w:val="001A5158"/>
    <w:rsid w:val="001A51F6"/>
    <w:rsid w:val="001A544D"/>
    <w:rsid w:val="001A55A2"/>
    <w:rsid w:val="001A5746"/>
    <w:rsid w:val="001A577A"/>
    <w:rsid w:val="001A57B5"/>
    <w:rsid w:val="001A5813"/>
    <w:rsid w:val="001A587F"/>
    <w:rsid w:val="001A58AB"/>
    <w:rsid w:val="001A58F1"/>
    <w:rsid w:val="001A58F4"/>
    <w:rsid w:val="001A597D"/>
    <w:rsid w:val="001A5AC8"/>
    <w:rsid w:val="001A5DBA"/>
    <w:rsid w:val="001A606B"/>
    <w:rsid w:val="001A611F"/>
    <w:rsid w:val="001A636B"/>
    <w:rsid w:val="001A641E"/>
    <w:rsid w:val="001A64A6"/>
    <w:rsid w:val="001A657F"/>
    <w:rsid w:val="001A675D"/>
    <w:rsid w:val="001A68D5"/>
    <w:rsid w:val="001A697F"/>
    <w:rsid w:val="001A6A0B"/>
    <w:rsid w:val="001A6CA0"/>
    <w:rsid w:val="001A6E09"/>
    <w:rsid w:val="001A704A"/>
    <w:rsid w:val="001A706A"/>
    <w:rsid w:val="001A70BF"/>
    <w:rsid w:val="001A70F0"/>
    <w:rsid w:val="001A714C"/>
    <w:rsid w:val="001A728E"/>
    <w:rsid w:val="001A7368"/>
    <w:rsid w:val="001A748A"/>
    <w:rsid w:val="001A7532"/>
    <w:rsid w:val="001A7699"/>
    <w:rsid w:val="001A76BD"/>
    <w:rsid w:val="001A7772"/>
    <w:rsid w:val="001A7934"/>
    <w:rsid w:val="001A796C"/>
    <w:rsid w:val="001A7988"/>
    <w:rsid w:val="001A7AFD"/>
    <w:rsid w:val="001A7CE1"/>
    <w:rsid w:val="001A7E1C"/>
    <w:rsid w:val="001A7FC8"/>
    <w:rsid w:val="001B00E5"/>
    <w:rsid w:val="001B0133"/>
    <w:rsid w:val="001B013E"/>
    <w:rsid w:val="001B03EB"/>
    <w:rsid w:val="001B0455"/>
    <w:rsid w:val="001B04F7"/>
    <w:rsid w:val="001B0511"/>
    <w:rsid w:val="001B05AA"/>
    <w:rsid w:val="001B0608"/>
    <w:rsid w:val="001B06EE"/>
    <w:rsid w:val="001B07A5"/>
    <w:rsid w:val="001B07B1"/>
    <w:rsid w:val="001B087A"/>
    <w:rsid w:val="001B0B8F"/>
    <w:rsid w:val="001B0C23"/>
    <w:rsid w:val="001B0D5E"/>
    <w:rsid w:val="001B0EFC"/>
    <w:rsid w:val="001B0F06"/>
    <w:rsid w:val="001B1130"/>
    <w:rsid w:val="001B11C8"/>
    <w:rsid w:val="001B1308"/>
    <w:rsid w:val="001B13AD"/>
    <w:rsid w:val="001B1492"/>
    <w:rsid w:val="001B1A8D"/>
    <w:rsid w:val="001B1CEE"/>
    <w:rsid w:val="001B1D43"/>
    <w:rsid w:val="001B1D84"/>
    <w:rsid w:val="001B1DA9"/>
    <w:rsid w:val="001B1EB7"/>
    <w:rsid w:val="001B209D"/>
    <w:rsid w:val="001B20DE"/>
    <w:rsid w:val="001B21B7"/>
    <w:rsid w:val="001B2381"/>
    <w:rsid w:val="001B2509"/>
    <w:rsid w:val="001B253D"/>
    <w:rsid w:val="001B298D"/>
    <w:rsid w:val="001B2A09"/>
    <w:rsid w:val="001B2A16"/>
    <w:rsid w:val="001B2AD1"/>
    <w:rsid w:val="001B2AF3"/>
    <w:rsid w:val="001B2C48"/>
    <w:rsid w:val="001B2C82"/>
    <w:rsid w:val="001B2F28"/>
    <w:rsid w:val="001B2FB4"/>
    <w:rsid w:val="001B3108"/>
    <w:rsid w:val="001B32AC"/>
    <w:rsid w:val="001B34E8"/>
    <w:rsid w:val="001B34FC"/>
    <w:rsid w:val="001B3580"/>
    <w:rsid w:val="001B36B3"/>
    <w:rsid w:val="001B38C1"/>
    <w:rsid w:val="001B3940"/>
    <w:rsid w:val="001B3962"/>
    <w:rsid w:val="001B3A21"/>
    <w:rsid w:val="001B3A41"/>
    <w:rsid w:val="001B3C29"/>
    <w:rsid w:val="001B3E85"/>
    <w:rsid w:val="001B3FEF"/>
    <w:rsid w:val="001B4051"/>
    <w:rsid w:val="001B40E0"/>
    <w:rsid w:val="001B414D"/>
    <w:rsid w:val="001B4200"/>
    <w:rsid w:val="001B426C"/>
    <w:rsid w:val="001B482A"/>
    <w:rsid w:val="001B4966"/>
    <w:rsid w:val="001B49CE"/>
    <w:rsid w:val="001B4C9C"/>
    <w:rsid w:val="001B4CCE"/>
    <w:rsid w:val="001B4DCD"/>
    <w:rsid w:val="001B4F70"/>
    <w:rsid w:val="001B4FC9"/>
    <w:rsid w:val="001B5125"/>
    <w:rsid w:val="001B52F6"/>
    <w:rsid w:val="001B535F"/>
    <w:rsid w:val="001B5372"/>
    <w:rsid w:val="001B5396"/>
    <w:rsid w:val="001B559E"/>
    <w:rsid w:val="001B55B4"/>
    <w:rsid w:val="001B565D"/>
    <w:rsid w:val="001B5693"/>
    <w:rsid w:val="001B56B7"/>
    <w:rsid w:val="001B570B"/>
    <w:rsid w:val="001B5829"/>
    <w:rsid w:val="001B5A9D"/>
    <w:rsid w:val="001B5AB8"/>
    <w:rsid w:val="001B5B8D"/>
    <w:rsid w:val="001B5C06"/>
    <w:rsid w:val="001B5D33"/>
    <w:rsid w:val="001B5E06"/>
    <w:rsid w:val="001B5FC8"/>
    <w:rsid w:val="001B5FDF"/>
    <w:rsid w:val="001B6231"/>
    <w:rsid w:val="001B6254"/>
    <w:rsid w:val="001B62FA"/>
    <w:rsid w:val="001B645B"/>
    <w:rsid w:val="001B6569"/>
    <w:rsid w:val="001B66B7"/>
    <w:rsid w:val="001B66E9"/>
    <w:rsid w:val="001B6715"/>
    <w:rsid w:val="001B6A15"/>
    <w:rsid w:val="001B6A2A"/>
    <w:rsid w:val="001B6B2E"/>
    <w:rsid w:val="001B6B71"/>
    <w:rsid w:val="001B6C7B"/>
    <w:rsid w:val="001B6DF8"/>
    <w:rsid w:val="001B6F6D"/>
    <w:rsid w:val="001B7382"/>
    <w:rsid w:val="001B74C2"/>
    <w:rsid w:val="001B7558"/>
    <w:rsid w:val="001B7693"/>
    <w:rsid w:val="001B76FD"/>
    <w:rsid w:val="001B77F5"/>
    <w:rsid w:val="001B7BD3"/>
    <w:rsid w:val="001B7C39"/>
    <w:rsid w:val="001B7CC6"/>
    <w:rsid w:val="001C004A"/>
    <w:rsid w:val="001C0071"/>
    <w:rsid w:val="001C009D"/>
    <w:rsid w:val="001C03DF"/>
    <w:rsid w:val="001C03F2"/>
    <w:rsid w:val="001C0423"/>
    <w:rsid w:val="001C04C3"/>
    <w:rsid w:val="001C0B99"/>
    <w:rsid w:val="001C0C1E"/>
    <w:rsid w:val="001C0CAD"/>
    <w:rsid w:val="001C0CD4"/>
    <w:rsid w:val="001C0DB8"/>
    <w:rsid w:val="001C0FD6"/>
    <w:rsid w:val="001C107A"/>
    <w:rsid w:val="001C10B5"/>
    <w:rsid w:val="001C11ED"/>
    <w:rsid w:val="001C13F7"/>
    <w:rsid w:val="001C141A"/>
    <w:rsid w:val="001C149E"/>
    <w:rsid w:val="001C1508"/>
    <w:rsid w:val="001C177D"/>
    <w:rsid w:val="001C17A0"/>
    <w:rsid w:val="001C195F"/>
    <w:rsid w:val="001C1A0F"/>
    <w:rsid w:val="001C1C71"/>
    <w:rsid w:val="001C1DB3"/>
    <w:rsid w:val="001C1E75"/>
    <w:rsid w:val="001C1FF8"/>
    <w:rsid w:val="001C20A0"/>
    <w:rsid w:val="001C212C"/>
    <w:rsid w:val="001C2285"/>
    <w:rsid w:val="001C22C0"/>
    <w:rsid w:val="001C25B7"/>
    <w:rsid w:val="001C26DB"/>
    <w:rsid w:val="001C27CA"/>
    <w:rsid w:val="001C289C"/>
    <w:rsid w:val="001C29E5"/>
    <w:rsid w:val="001C2A99"/>
    <w:rsid w:val="001C2A9D"/>
    <w:rsid w:val="001C2D0C"/>
    <w:rsid w:val="001C2E8C"/>
    <w:rsid w:val="001C2F24"/>
    <w:rsid w:val="001C2F45"/>
    <w:rsid w:val="001C2F64"/>
    <w:rsid w:val="001C305A"/>
    <w:rsid w:val="001C31AC"/>
    <w:rsid w:val="001C31C6"/>
    <w:rsid w:val="001C3297"/>
    <w:rsid w:val="001C351F"/>
    <w:rsid w:val="001C3587"/>
    <w:rsid w:val="001C38B2"/>
    <w:rsid w:val="001C392D"/>
    <w:rsid w:val="001C3DF4"/>
    <w:rsid w:val="001C3E04"/>
    <w:rsid w:val="001C3EF9"/>
    <w:rsid w:val="001C40AD"/>
    <w:rsid w:val="001C4260"/>
    <w:rsid w:val="001C42D5"/>
    <w:rsid w:val="001C433D"/>
    <w:rsid w:val="001C439C"/>
    <w:rsid w:val="001C43E5"/>
    <w:rsid w:val="001C4499"/>
    <w:rsid w:val="001C44DE"/>
    <w:rsid w:val="001C453E"/>
    <w:rsid w:val="001C4856"/>
    <w:rsid w:val="001C48FC"/>
    <w:rsid w:val="001C4985"/>
    <w:rsid w:val="001C49CA"/>
    <w:rsid w:val="001C4B67"/>
    <w:rsid w:val="001C4B9C"/>
    <w:rsid w:val="001C4C15"/>
    <w:rsid w:val="001C4CAD"/>
    <w:rsid w:val="001C4D78"/>
    <w:rsid w:val="001C4E31"/>
    <w:rsid w:val="001C5095"/>
    <w:rsid w:val="001C51B9"/>
    <w:rsid w:val="001C540C"/>
    <w:rsid w:val="001C5492"/>
    <w:rsid w:val="001C54B6"/>
    <w:rsid w:val="001C55A4"/>
    <w:rsid w:val="001C58D5"/>
    <w:rsid w:val="001C59BA"/>
    <w:rsid w:val="001C5C8A"/>
    <w:rsid w:val="001C5CE7"/>
    <w:rsid w:val="001C5E45"/>
    <w:rsid w:val="001C5FC8"/>
    <w:rsid w:val="001C61D8"/>
    <w:rsid w:val="001C61DF"/>
    <w:rsid w:val="001C6459"/>
    <w:rsid w:val="001C6616"/>
    <w:rsid w:val="001C6833"/>
    <w:rsid w:val="001C688F"/>
    <w:rsid w:val="001C68C7"/>
    <w:rsid w:val="001C68FE"/>
    <w:rsid w:val="001C6930"/>
    <w:rsid w:val="001C6965"/>
    <w:rsid w:val="001C6985"/>
    <w:rsid w:val="001C6993"/>
    <w:rsid w:val="001C6A8D"/>
    <w:rsid w:val="001C6E5F"/>
    <w:rsid w:val="001C6FCA"/>
    <w:rsid w:val="001C7001"/>
    <w:rsid w:val="001C7041"/>
    <w:rsid w:val="001C7122"/>
    <w:rsid w:val="001C7248"/>
    <w:rsid w:val="001C72CF"/>
    <w:rsid w:val="001C7464"/>
    <w:rsid w:val="001C767F"/>
    <w:rsid w:val="001C770D"/>
    <w:rsid w:val="001C77CB"/>
    <w:rsid w:val="001C7AD1"/>
    <w:rsid w:val="001C7B65"/>
    <w:rsid w:val="001C7B89"/>
    <w:rsid w:val="001C7BCA"/>
    <w:rsid w:val="001C7D0D"/>
    <w:rsid w:val="001C7F4D"/>
    <w:rsid w:val="001C7F8B"/>
    <w:rsid w:val="001D00DA"/>
    <w:rsid w:val="001D00EC"/>
    <w:rsid w:val="001D031F"/>
    <w:rsid w:val="001D0588"/>
    <w:rsid w:val="001D05FA"/>
    <w:rsid w:val="001D0780"/>
    <w:rsid w:val="001D090F"/>
    <w:rsid w:val="001D0B3A"/>
    <w:rsid w:val="001D0C92"/>
    <w:rsid w:val="001D0CFC"/>
    <w:rsid w:val="001D0D5E"/>
    <w:rsid w:val="001D0FDA"/>
    <w:rsid w:val="001D11FE"/>
    <w:rsid w:val="001D15C4"/>
    <w:rsid w:val="001D17BC"/>
    <w:rsid w:val="001D1819"/>
    <w:rsid w:val="001D1849"/>
    <w:rsid w:val="001D19F5"/>
    <w:rsid w:val="001D1A19"/>
    <w:rsid w:val="001D1C11"/>
    <w:rsid w:val="001D1C37"/>
    <w:rsid w:val="001D1C67"/>
    <w:rsid w:val="001D1D8A"/>
    <w:rsid w:val="001D1DD9"/>
    <w:rsid w:val="001D2001"/>
    <w:rsid w:val="001D20B3"/>
    <w:rsid w:val="001D22BA"/>
    <w:rsid w:val="001D231A"/>
    <w:rsid w:val="001D2321"/>
    <w:rsid w:val="001D2334"/>
    <w:rsid w:val="001D2439"/>
    <w:rsid w:val="001D2576"/>
    <w:rsid w:val="001D27BE"/>
    <w:rsid w:val="001D2836"/>
    <w:rsid w:val="001D29EE"/>
    <w:rsid w:val="001D2A6F"/>
    <w:rsid w:val="001D2DF3"/>
    <w:rsid w:val="001D2FA5"/>
    <w:rsid w:val="001D2FE5"/>
    <w:rsid w:val="001D3016"/>
    <w:rsid w:val="001D31F7"/>
    <w:rsid w:val="001D333E"/>
    <w:rsid w:val="001D352E"/>
    <w:rsid w:val="001D35DD"/>
    <w:rsid w:val="001D3651"/>
    <w:rsid w:val="001D3CE6"/>
    <w:rsid w:val="001D3D72"/>
    <w:rsid w:val="001D3E0C"/>
    <w:rsid w:val="001D3E25"/>
    <w:rsid w:val="001D3F57"/>
    <w:rsid w:val="001D3F69"/>
    <w:rsid w:val="001D411F"/>
    <w:rsid w:val="001D43F7"/>
    <w:rsid w:val="001D44EE"/>
    <w:rsid w:val="001D4726"/>
    <w:rsid w:val="001D4749"/>
    <w:rsid w:val="001D4834"/>
    <w:rsid w:val="001D4940"/>
    <w:rsid w:val="001D4A05"/>
    <w:rsid w:val="001D4D9D"/>
    <w:rsid w:val="001D4DBD"/>
    <w:rsid w:val="001D4DDA"/>
    <w:rsid w:val="001D4DE7"/>
    <w:rsid w:val="001D4E28"/>
    <w:rsid w:val="001D4F2F"/>
    <w:rsid w:val="001D506F"/>
    <w:rsid w:val="001D513E"/>
    <w:rsid w:val="001D51CD"/>
    <w:rsid w:val="001D52B7"/>
    <w:rsid w:val="001D532E"/>
    <w:rsid w:val="001D53B0"/>
    <w:rsid w:val="001D55ED"/>
    <w:rsid w:val="001D5885"/>
    <w:rsid w:val="001D5906"/>
    <w:rsid w:val="001D5943"/>
    <w:rsid w:val="001D5A58"/>
    <w:rsid w:val="001D5A78"/>
    <w:rsid w:val="001D5B7C"/>
    <w:rsid w:val="001D5CD2"/>
    <w:rsid w:val="001D5E70"/>
    <w:rsid w:val="001D5F4E"/>
    <w:rsid w:val="001D5F8C"/>
    <w:rsid w:val="001D6067"/>
    <w:rsid w:val="001D6078"/>
    <w:rsid w:val="001D61E5"/>
    <w:rsid w:val="001D61E9"/>
    <w:rsid w:val="001D6358"/>
    <w:rsid w:val="001D6390"/>
    <w:rsid w:val="001D6588"/>
    <w:rsid w:val="001D6610"/>
    <w:rsid w:val="001D6899"/>
    <w:rsid w:val="001D68A1"/>
    <w:rsid w:val="001D6B5A"/>
    <w:rsid w:val="001D6B8F"/>
    <w:rsid w:val="001D6BA0"/>
    <w:rsid w:val="001D6BBB"/>
    <w:rsid w:val="001D6C31"/>
    <w:rsid w:val="001D6C93"/>
    <w:rsid w:val="001D6CE5"/>
    <w:rsid w:val="001D6E4F"/>
    <w:rsid w:val="001D6E99"/>
    <w:rsid w:val="001D6E9E"/>
    <w:rsid w:val="001D6FB7"/>
    <w:rsid w:val="001D7059"/>
    <w:rsid w:val="001D7576"/>
    <w:rsid w:val="001D75FA"/>
    <w:rsid w:val="001D780E"/>
    <w:rsid w:val="001D7818"/>
    <w:rsid w:val="001D7926"/>
    <w:rsid w:val="001D7A92"/>
    <w:rsid w:val="001D7BA4"/>
    <w:rsid w:val="001D7E83"/>
    <w:rsid w:val="001D7ED0"/>
    <w:rsid w:val="001E0162"/>
    <w:rsid w:val="001E01D8"/>
    <w:rsid w:val="001E01E7"/>
    <w:rsid w:val="001E0454"/>
    <w:rsid w:val="001E046E"/>
    <w:rsid w:val="001E0471"/>
    <w:rsid w:val="001E05CA"/>
    <w:rsid w:val="001E06D7"/>
    <w:rsid w:val="001E0812"/>
    <w:rsid w:val="001E0C49"/>
    <w:rsid w:val="001E0C8E"/>
    <w:rsid w:val="001E0DB3"/>
    <w:rsid w:val="001E0E25"/>
    <w:rsid w:val="001E0FEC"/>
    <w:rsid w:val="001E1131"/>
    <w:rsid w:val="001E1392"/>
    <w:rsid w:val="001E13D5"/>
    <w:rsid w:val="001E14CB"/>
    <w:rsid w:val="001E1502"/>
    <w:rsid w:val="001E188B"/>
    <w:rsid w:val="001E1A76"/>
    <w:rsid w:val="001E1B8D"/>
    <w:rsid w:val="001E2041"/>
    <w:rsid w:val="001E21B8"/>
    <w:rsid w:val="001E226A"/>
    <w:rsid w:val="001E22D8"/>
    <w:rsid w:val="001E2469"/>
    <w:rsid w:val="001E25AB"/>
    <w:rsid w:val="001E280B"/>
    <w:rsid w:val="001E2B81"/>
    <w:rsid w:val="001E2F54"/>
    <w:rsid w:val="001E3001"/>
    <w:rsid w:val="001E32D5"/>
    <w:rsid w:val="001E33AF"/>
    <w:rsid w:val="001E3659"/>
    <w:rsid w:val="001E36C3"/>
    <w:rsid w:val="001E3701"/>
    <w:rsid w:val="001E3794"/>
    <w:rsid w:val="001E37CF"/>
    <w:rsid w:val="001E3BD0"/>
    <w:rsid w:val="001E3C6E"/>
    <w:rsid w:val="001E3CC1"/>
    <w:rsid w:val="001E3CE7"/>
    <w:rsid w:val="001E3F5D"/>
    <w:rsid w:val="001E4090"/>
    <w:rsid w:val="001E42DF"/>
    <w:rsid w:val="001E43E9"/>
    <w:rsid w:val="001E4461"/>
    <w:rsid w:val="001E46AC"/>
    <w:rsid w:val="001E4758"/>
    <w:rsid w:val="001E48AC"/>
    <w:rsid w:val="001E49A9"/>
    <w:rsid w:val="001E4A81"/>
    <w:rsid w:val="001E4B2E"/>
    <w:rsid w:val="001E4B99"/>
    <w:rsid w:val="001E4BDF"/>
    <w:rsid w:val="001E4CDB"/>
    <w:rsid w:val="001E4E03"/>
    <w:rsid w:val="001E4E55"/>
    <w:rsid w:val="001E4E59"/>
    <w:rsid w:val="001E4E7E"/>
    <w:rsid w:val="001E5019"/>
    <w:rsid w:val="001E5072"/>
    <w:rsid w:val="001E5104"/>
    <w:rsid w:val="001E5184"/>
    <w:rsid w:val="001E5248"/>
    <w:rsid w:val="001E531A"/>
    <w:rsid w:val="001E538D"/>
    <w:rsid w:val="001E543C"/>
    <w:rsid w:val="001E5568"/>
    <w:rsid w:val="001E5598"/>
    <w:rsid w:val="001E5658"/>
    <w:rsid w:val="001E5732"/>
    <w:rsid w:val="001E57B6"/>
    <w:rsid w:val="001E58F5"/>
    <w:rsid w:val="001E59C4"/>
    <w:rsid w:val="001E5AF7"/>
    <w:rsid w:val="001E5B18"/>
    <w:rsid w:val="001E5C58"/>
    <w:rsid w:val="001E5C9B"/>
    <w:rsid w:val="001E5D10"/>
    <w:rsid w:val="001E5F6F"/>
    <w:rsid w:val="001E62E2"/>
    <w:rsid w:val="001E62E7"/>
    <w:rsid w:val="001E650B"/>
    <w:rsid w:val="001E654C"/>
    <w:rsid w:val="001E658F"/>
    <w:rsid w:val="001E65C1"/>
    <w:rsid w:val="001E65C8"/>
    <w:rsid w:val="001E66EB"/>
    <w:rsid w:val="001E678F"/>
    <w:rsid w:val="001E681F"/>
    <w:rsid w:val="001E6896"/>
    <w:rsid w:val="001E6973"/>
    <w:rsid w:val="001E74B9"/>
    <w:rsid w:val="001E75AD"/>
    <w:rsid w:val="001E75D6"/>
    <w:rsid w:val="001E7676"/>
    <w:rsid w:val="001E76FB"/>
    <w:rsid w:val="001E7751"/>
    <w:rsid w:val="001E78AC"/>
    <w:rsid w:val="001E7905"/>
    <w:rsid w:val="001E7B50"/>
    <w:rsid w:val="001E7C35"/>
    <w:rsid w:val="001E7D4F"/>
    <w:rsid w:val="001E7D9F"/>
    <w:rsid w:val="001E7EF4"/>
    <w:rsid w:val="001F02DA"/>
    <w:rsid w:val="001F03DC"/>
    <w:rsid w:val="001F03F5"/>
    <w:rsid w:val="001F0460"/>
    <w:rsid w:val="001F0830"/>
    <w:rsid w:val="001F0985"/>
    <w:rsid w:val="001F09B3"/>
    <w:rsid w:val="001F0ABD"/>
    <w:rsid w:val="001F0B5E"/>
    <w:rsid w:val="001F0BF0"/>
    <w:rsid w:val="001F0BFD"/>
    <w:rsid w:val="001F0EAD"/>
    <w:rsid w:val="001F0F7B"/>
    <w:rsid w:val="001F14AC"/>
    <w:rsid w:val="001F16E3"/>
    <w:rsid w:val="001F194F"/>
    <w:rsid w:val="001F1A64"/>
    <w:rsid w:val="001F1B63"/>
    <w:rsid w:val="001F1BBC"/>
    <w:rsid w:val="001F1D66"/>
    <w:rsid w:val="001F1DE0"/>
    <w:rsid w:val="001F206D"/>
    <w:rsid w:val="001F261B"/>
    <w:rsid w:val="001F2697"/>
    <w:rsid w:val="001F2770"/>
    <w:rsid w:val="001F2833"/>
    <w:rsid w:val="001F28CC"/>
    <w:rsid w:val="001F2912"/>
    <w:rsid w:val="001F2929"/>
    <w:rsid w:val="001F2A79"/>
    <w:rsid w:val="001F2C85"/>
    <w:rsid w:val="001F3122"/>
    <w:rsid w:val="001F3253"/>
    <w:rsid w:val="001F3362"/>
    <w:rsid w:val="001F353B"/>
    <w:rsid w:val="001F3569"/>
    <w:rsid w:val="001F383B"/>
    <w:rsid w:val="001F3860"/>
    <w:rsid w:val="001F3981"/>
    <w:rsid w:val="001F3ACA"/>
    <w:rsid w:val="001F3B23"/>
    <w:rsid w:val="001F3F2E"/>
    <w:rsid w:val="001F3FAE"/>
    <w:rsid w:val="001F41F4"/>
    <w:rsid w:val="001F433F"/>
    <w:rsid w:val="001F437D"/>
    <w:rsid w:val="001F438A"/>
    <w:rsid w:val="001F43A1"/>
    <w:rsid w:val="001F445F"/>
    <w:rsid w:val="001F4578"/>
    <w:rsid w:val="001F46FA"/>
    <w:rsid w:val="001F47EE"/>
    <w:rsid w:val="001F48D9"/>
    <w:rsid w:val="001F493A"/>
    <w:rsid w:val="001F4CCC"/>
    <w:rsid w:val="001F4D95"/>
    <w:rsid w:val="001F4DF2"/>
    <w:rsid w:val="001F5190"/>
    <w:rsid w:val="001F51D1"/>
    <w:rsid w:val="001F5306"/>
    <w:rsid w:val="001F5413"/>
    <w:rsid w:val="001F5441"/>
    <w:rsid w:val="001F556B"/>
    <w:rsid w:val="001F56E3"/>
    <w:rsid w:val="001F570F"/>
    <w:rsid w:val="001F5966"/>
    <w:rsid w:val="001F5AA7"/>
    <w:rsid w:val="001F5DAC"/>
    <w:rsid w:val="001F5E8F"/>
    <w:rsid w:val="001F5F88"/>
    <w:rsid w:val="001F5FC3"/>
    <w:rsid w:val="001F6104"/>
    <w:rsid w:val="001F6207"/>
    <w:rsid w:val="001F623F"/>
    <w:rsid w:val="001F6600"/>
    <w:rsid w:val="001F6619"/>
    <w:rsid w:val="001F69AA"/>
    <w:rsid w:val="001F6B88"/>
    <w:rsid w:val="001F6C94"/>
    <w:rsid w:val="001F6CDD"/>
    <w:rsid w:val="001F6E75"/>
    <w:rsid w:val="001F6E9E"/>
    <w:rsid w:val="001F6F69"/>
    <w:rsid w:val="001F6FDB"/>
    <w:rsid w:val="001F7006"/>
    <w:rsid w:val="001F7424"/>
    <w:rsid w:val="001F7552"/>
    <w:rsid w:val="001F77DD"/>
    <w:rsid w:val="001F784E"/>
    <w:rsid w:val="001F78AB"/>
    <w:rsid w:val="001F7A02"/>
    <w:rsid w:val="001F7CC6"/>
    <w:rsid w:val="00200103"/>
    <w:rsid w:val="00200170"/>
    <w:rsid w:val="0020024B"/>
    <w:rsid w:val="002007B4"/>
    <w:rsid w:val="00200954"/>
    <w:rsid w:val="00200B0F"/>
    <w:rsid w:val="00200B7F"/>
    <w:rsid w:val="00200B8A"/>
    <w:rsid w:val="00200D9B"/>
    <w:rsid w:val="00200DAB"/>
    <w:rsid w:val="00200E71"/>
    <w:rsid w:val="00200FB2"/>
    <w:rsid w:val="00201013"/>
    <w:rsid w:val="002010B8"/>
    <w:rsid w:val="002010FE"/>
    <w:rsid w:val="002011EF"/>
    <w:rsid w:val="0020136B"/>
    <w:rsid w:val="002016F0"/>
    <w:rsid w:val="00201705"/>
    <w:rsid w:val="002017A9"/>
    <w:rsid w:val="002017C0"/>
    <w:rsid w:val="00201944"/>
    <w:rsid w:val="00201A46"/>
    <w:rsid w:val="00201B5C"/>
    <w:rsid w:val="00201B7F"/>
    <w:rsid w:val="00201DEC"/>
    <w:rsid w:val="00201E01"/>
    <w:rsid w:val="00202197"/>
    <w:rsid w:val="0020247C"/>
    <w:rsid w:val="0020251A"/>
    <w:rsid w:val="00202531"/>
    <w:rsid w:val="002025F6"/>
    <w:rsid w:val="0020261E"/>
    <w:rsid w:val="0020261F"/>
    <w:rsid w:val="002026D2"/>
    <w:rsid w:val="00202797"/>
    <w:rsid w:val="002027E9"/>
    <w:rsid w:val="002028A9"/>
    <w:rsid w:val="002028FE"/>
    <w:rsid w:val="00202956"/>
    <w:rsid w:val="00202ABC"/>
    <w:rsid w:val="00202AE2"/>
    <w:rsid w:val="00202AFB"/>
    <w:rsid w:val="00202B58"/>
    <w:rsid w:val="00202B83"/>
    <w:rsid w:val="00202C7C"/>
    <w:rsid w:val="00202D26"/>
    <w:rsid w:val="00202E8A"/>
    <w:rsid w:val="00202E8E"/>
    <w:rsid w:val="00202E90"/>
    <w:rsid w:val="002033F5"/>
    <w:rsid w:val="002033FE"/>
    <w:rsid w:val="002034AC"/>
    <w:rsid w:val="002039F9"/>
    <w:rsid w:val="00203D75"/>
    <w:rsid w:val="00203E95"/>
    <w:rsid w:val="00203F0B"/>
    <w:rsid w:val="00203FE4"/>
    <w:rsid w:val="00204088"/>
    <w:rsid w:val="002040E5"/>
    <w:rsid w:val="002044FB"/>
    <w:rsid w:val="00204700"/>
    <w:rsid w:val="0020477F"/>
    <w:rsid w:val="002048E7"/>
    <w:rsid w:val="002049C9"/>
    <w:rsid w:val="002049CA"/>
    <w:rsid w:val="002049CC"/>
    <w:rsid w:val="00204A0B"/>
    <w:rsid w:val="00204B41"/>
    <w:rsid w:val="00204C0A"/>
    <w:rsid w:val="00204CA6"/>
    <w:rsid w:val="00204CF1"/>
    <w:rsid w:val="00204E3C"/>
    <w:rsid w:val="00204F08"/>
    <w:rsid w:val="002050C4"/>
    <w:rsid w:val="002050F3"/>
    <w:rsid w:val="0020521C"/>
    <w:rsid w:val="0020522B"/>
    <w:rsid w:val="00205505"/>
    <w:rsid w:val="00205518"/>
    <w:rsid w:val="00205550"/>
    <w:rsid w:val="002058A1"/>
    <w:rsid w:val="00205999"/>
    <w:rsid w:val="002059C4"/>
    <w:rsid w:val="00205A5C"/>
    <w:rsid w:val="00205A92"/>
    <w:rsid w:val="00205B0E"/>
    <w:rsid w:val="00205B4D"/>
    <w:rsid w:val="00205BDA"/>
    <w:rsid w:val="00205DC7"/>
    <w:rsid w:val="00205E50"/>
    <w:rsid w:val="002062E6"/>
    <w:rsid w:val="0020632F"/>
    <w:rsid w:val="002063D7"/>
    <w:rsid w:val="00206431"/>
    <w:rsid w:val="002064E3"/>
    <w:rsid w:val="0020655D"/>
    <w:rsid w:val="00206A4F"/>
    <w:rsid w:val="00206AAD"/>
    <w:rsid w:val="00206ACB"/>
    <w:rsid w:val="00206AD3"/>
    <w:rsid w:val="00206B71"/>
    <w:rsid w:val="00206CE7"/>
    <w:rsid w:val="00206E54"/>
    <w:rsid w:val="00206FE6"/>
    <w:rsid w:val="002071CA"/>
    <w:rsid w:val="002073FF"/>
    <w:rsid w:val="00207572"/>
    <w:rsid w:val="00207648"/>
    <w:rsid w:val="0020787D"/>
    <w:rsid w:val="00207922"/>
    <w:rsid w:val="0020792E"/>
    <w:rsid w:val="002079B9"/>
    <w:rsid w:val="00207AFA"/>
    <w:rsid w:val="00207E11"/>
    <w:rsid w:val="00207E3C"/>
    <w:rsid w:val="00207E7F"/>
    <w:rsid w:val="00207ED0"/>
    <w:rsid w:val="00207F8E"/>
    <w:rsid w:val="00210067"/>
    <w:rsid w:val="002100B4"/>
    <w:rsid w:val="00210182"/>
    <w:rsid w:val="0021030C"/>
    <w:rsid w:val="00210570"/>
    <w:rsid w:val="0021063F"/>
    <w:rsid w:val="00210648"/>
    <w:rsid w:val="002107CF"/>
    <w:rsid w:val="0021081C"/>
    <w:rsid w:val="002108FE"/>
    <w:rsid w:val="00210967"/>
    <w:rsid w:val="00210A14"/>
    <w:rsid w:val="00210CBB"/>
    <w:rsid w:val="00210CD1"/>
    <w:rsid w:val="00210D29"/>
    <w:rsid w:val="00210DC2"/>
    <w:rsid w:val="00210DE5"/>
    <w:rsid w:val="00210FC6"/>
    <w:rsid w:val="00211009"/>
    <w:rsid w:val="00211120"/>
    <w:rsid w:val="00211178"/>
    <w:rsid w:val="002112CB"/>
    <w:rsid w:val="0021148C"/>
    <w:rsid w:val="002117BF"/>
    <w:rsid w:val="002118B3"/>
    <w:rsid w:val="00211B35"/>
    <w:rsid w:val="00211BDE"/>
    <w:rsid w:val="00211D9E"/>
    <w:rsid w:val="00211F0B"/>
    <w:rsid w:val="002122C6"/>
    <w:rsid w:val="002122DC"/>
    <w:rsid w:val="002123AC"/>
    <w:rsid w:val="00212557"/>
    <w:rsid w:val="002125DE"/>
    <w:rsid w:val="0021266F"/>
    <w:rsid w:val="002128BB"/>
    <w:rsid w:val="00212A5B"/>
    <w:rsid w:val="00212BD8"/>
    <w:rsid w:val="00212D27"/>
    <w:rsid w:val="0021316B"/>
    <w:rsid w:val="00213498"/>
    <w:rsid w:val="0021356F"/>
    <w:rsid w:val="00213605"/>
    <w:rsid w:val="002137BC"/>
    <w:rsid w:val="00213833"/>
    <w:rsid w:val="00213880"/>
    <w:rsid w:val="00213941"/>
    <w:rsid w:val="00213BD1"/>
    <w:rsid w:val="00213EC3"/>
    <w:rsid w:val="00213F20"/>
    <w:rsid w:val="002140BC"/>
    <w:rsid w:val="002141C2"/>
    <w:rsid w:val="00214466"/>
    <w:rsid w:val="0021497A"/>
    <w:rsid w:val="00214B02"/>
    <w:rsid w:val="00214D84"/>
    <w:rsid w:val="00214DEE"/>
    <w:rsid w:val="00214F02"/>
    <w:rsid w:val="00214F36"/>
    <w:rsid w:val="00214FEE"/>
    <w:rsid w:val="00215153"/>
    <w:rsid w:val="00215197"/>
    <w:rsid w:val="002151BD"/>
    <w:rsid w:val="00215342"/>
    <w:rsid w:val="00215347"/>
    <w:rsid w:val="00215376"/>
    <w:rsid w:val="00215558"/>
    <w:rsid w:val="00215650"/>
    <w:rsid w:val="00215742"/>
    <w:rsid w:val="00215821"/>
    <w:rsid w:val="002158A5"/>
    <w:rsid w:val="00215922"/>
    <w:rsid w:val="00215A33"/>
    <w:rsid w:val="00215DD9"/>
    <w:rsid w:val="00215F8E"/>
    <w:rsid w:val="00216105"/>
    <w:rsid w:val="00216164"/>
    <w:rsid w:val="002161C9"/>
    <w:rsid w:val="002161E3"/>
    <w:rsid w:val="002162F6"/>
    <w:rsid w:val="00216322"/>
    <w:rsid w:val="00216328"/>
    <w:rsid w:val="00216493"/>
    <w:rsid w:val="0021651B"/>
    <w:rsid w:val="002165CA"/>
    <w:rsid w:val="0021662E"/>
    <w:rsid w:val="002166BF"/>
    <w:rsid w:val="00216EEB"/>
    <w:rsid w:val="00216F37"/>
    <w:rsid w:val="0021707C"/>
    <w:rsid w:val="00217152"/>
    <w:rsid w:val="002171FA"/>
    <w:rsid w:val="00217211"/>
    <w:rsid w:val="00217503"/>
    <w:rsid w:val="00217648"/>
    <w:rsid w:val="0021769F"/>
    <w:rsid w:val="00217DD5"/>
    <w:rsid w:val="0022005C"/>
    <w:rsid w:val="00220103"/>
    <w:rsid w:val="00220220"/>
    <w:rsid w:val="00220296"/>
    <w:rsid w:val="002202B3"/>
    <w:rsid w:val="002202BC"/>
    <w:rsid w:val="0022032A"/>
    <w:rsid w:val="0022051D"/>
    <w:rsid w:val="0022054F"/>
    <w:rsid w:val="00220578"/>
    <w:rsid w:val="0022061C"/>
    <w:rsid w:val="002206D3"/>
    <w:rsid w:val="002208B2"/>
    <w:rsid w:val="002208FD"/>
    <w:rsid w:val="00220A10"/>
    <w:rsid w:val="00220B56"/>
    <w:rsid w:val="00220B5D"/>
    <w:rsid w:val="00220C4F"/>
    <w:rsid w:val="00220CDE"/>
    <w:rsid w:val="00220E42"/>
    <w:rsid w:val="00220EAD"/>
    <w:rsid w:val="00220FE5"/>
    <w:rsid w:val="0022118D"/>
    <w:rsid w:val="00221263"/>
    <w:rsid w:val="002213D9"/>
    <w:rsid w:val="002214CF"/>
    <w:rsid w:val="0022152B"/>
    <w:rsid w:val="002216A4"/>
    <w:rsid w:val="0022188B"/>
    <w:rsid w:val="00221899"/>
    <w:rsid w:val="00221B6F"/>
    <w:rsid w:val="00221C13"/>
    <w:rsid w:val="00221C2C"/>
    <w:rsid w:val="00221CB0"/>
    <w:rsid w:val="00221CCF"/>
    <w:rsid w:val="00221D17"/>
    <w:rsid w:val="00221D62"/>
    <w:rsid w:val="00221D72"/>
    <w:rsid w:val="00221DCB"/>
    <w:rsid w:val="00221E84"/>
    <w:rsid w:val="00222015"/>
    <w:rsid w:val="0022220B"/>
    <w:rsid w:val="00222298"/>
    <w:rsid w:val="00222371"/>
    <w:rsid w:val="002225B5"/>
    <w:rsid w:val="002225E4"/>
    <w:rsid w:val="002225F3"/>
    <w:rsid w:val="002226C5"/>
    <w:rsid w:val="00222C2B"/>
    <w:rsid w:val="00222C4A"/>
    <w:rsid w:val="00222C8B"/>
    <w:rsid w:val="00222C9D"/>
    <w:rsid w:val="00222DC0"/>
    <w:rsid w:val="00222E54"/>
    <w:rsid w:val="00222F81"/>
    <w:rsid w:val="0022301A"/>
    <w:rsid w:val="002230A1"/>
    <w:rsid w:val="00223150"/>
    <w:rsid w:val="002231FA"/>
    <w:rsid w:val="002232D1"/>
    <w:rsid w:val="00223347"/>
    <w:rsid w:val="00223590"/>
    <w:rsid w:val="00223658"/>
    <w:rsid w:val="002236AA"/>
    <w:rsid w:val="002236D6"/>
    <w:rsid w:val="00223709"/>
    <w:rsid w:val="0022391F"/>
    <w:rsid w:val="00223934"/>
    <w:rsid w:val="00223A38"/>
    <w:rsid w:val="00223B7C"/>
    <w:rsid w:val="00223C02"/>
    <w:rsid w:val="00223DA4"/>
    <w:rsid w:val="00223E75"/>
    <w:rsid w:val="00224006"/>
    <w:rsid w:val="002240A0"/>
    <w:rsid w:val="0022410A"/>
    <w:rsid w:val="00224247"/>
    <w:rsid w:val="00224250"/>
    <w:rsid w:val="002242B4"/>
    <w:rsid w:val="0022449B"/>
    <w:rsid w:val="002244E5"/>
    <w:rsid w:val="0022454B"/>
    <w:rsid w:val="00224555"/>
    <w:rsid w:val="0022455E"/>
    <w:rsid w:val="00224577"/>
    <w:rsid w:val="00224579"/>
    <w:rsid w:val="00224619"/>
    <w:rsid w:val="00224646"/>
    <w:rsid w:val="002246BF"/>
    <w:rsid w:val="002246E8"/>
    <w:rsid w:val="00224776"/>
    <w:rsid w:val="002249A1"/>
    <w:rsid w:val="00224A94"/>
    <w:rsid w:val="00224AE3"/>
    <w:rsid w:val="00224B6F"/>
    <w:rsid w:val="00224CA4"/>
    <w:rsid w:val="00224E33"/>
    <w:rsid w:val="00224E41"/>
    <w:rsid w:val="00224EB3"/>
    <w:rsid w:val="00225179"/>
    <w:rsid w:val="002252E5"/>
    <w:rsid w:val="002253F6"/>
    <w:rsid w:val="002253F8"/>
    <w:rsid w:val="00225471"/>
    <w:rsid w:val="00225681"/>
    <w:rsid w:val="0022594D"/>
    <w:rsid w:val="00225A9F"/>
    <w:rsid w:val="00225B77"/>
    <w:rsid w:val="00225D72"/>
    <w:rsid w:val="00225E55"/>
    <w:rsid w:val="0022618C"/>
    <w:rsid w:val="002263CE"/>
    <w:rsid w:val="002265D8"/>
    <w:rsid w:val="00226693"/>
    <w:rsid w:val="002266B6"/>
    <w:rsid w:val="002267A4"/>
    <w:rsid w:val="002267B7"/>
    <w:rsid w:val="002267D2"/>
    <w:rsid w:val="00226887"/>
    <w:rsid w:val="002268E4"/>
    <w:rsid w:val="00226935"/>
    <w:rsid w:val="00226B0F"/>
    <w:rsid w:val="00226B34"/>
    <w:rsid w:val="00226C27"/>
    <w:rsid w:val="00226E04"/>
    <w:rsid w:val="00226E2E"/>
    <w:rsid w:val="00226F1F"/>
    <w:rsid w:val="00226FA4"/>
    <w:rsid w:val="00226FAE"/>
    <w:rsid w:val="00227011"/>
    <w:rsid w:val="002271C4"/>
    <w:rsid w:val="002271FF"/>
    <w:rsid w:val="00227301"/>
    <w:rsid w:val="002273CF"/>
    <w:rsid w:val="00227422"/>
    <w:rsid w:val="00227626"/>
    <w:rsid w:val="002276EF"/>
    <w:rsid w:val="00227716"/>
    <w:rsid w:val="00227BA4"/>
    <w:rsid w:val="00227D4F"/>
    <w:rsid w:val="00227DF9"/>
    <w:rsid w:val="00227E77"/>
    <w:rsid w:val="00227FC2"/>
    <w:rsid w:val="0023001E"/>
    <w:rsid w:val="0023069C"/>
    <w:rsid w:val="002307D4"/>
    <w:rsid w:val="002309C3"/>
    <w:rsid w:val="002309E1"/>
    <w:rsid w:val="00230A0D"/>
    <w:rsid w:val="00230A61"/>
    <w:rsid w:val="00230C18"/>
    <w:rsid w:val="00230C8E"/>
    <w:rsid w:val="00230DD5"/>
    <w:rsid w:val="00230E79"/>
    <w:rsid w:val="0023117A"/>
    <w:rsid w:val="002312ED"/>
    <w:rsid w:val="0023130D"/>
    <w:rsid w:val="002316A3"/>
    <w:rsid w:val="0023186D"/>
    <w:rsid w:val="00231952"/>
    <w:rsid w:val="00231A0C"/>
    <w:rsid w:val="00231A4F"/>
    <w:rsid w:val="00231A7A"/>
    <w:rsid w:val="00231B7D"/>
    <w:rsid w:val="00231E1B"/>
    <w:rsid w:val="00231F29"/>
    <w:rsid w:val="00231F54"/>
    <w:rsid w:val="00231FE9"/>
    <w:rsid w:val="0023215C"/>
    <w:rsid w:val="00232208"/>
    <w:rsid w:val="002322F5"/>
    <w:rsid w:val="002322FA"/>
    <w:rsid w:val="00232379"/>
    <w:rsid w:val="00232508"/>
    <w:rsid w:val="002325D1"/>
    <w:rsid w:val="00232694"/>
    <w:rsid w:val="002326BB"/>
    <w:rsid w:val="00232796"/>
    <w:rsid w:val="00232A1B"/>
    <w:rsid w:val="00232B2E"/>
    <w:rsid w:val="00232CF4"/>
    <w:rsid w:val="00232E92"/>
    <w:rsid w:val="00232EC2"/>
    <w:rsid w:val="00232F9B"/>
    <w:rsid w:val="00232FA1"/>
    <w:rsid w:val="00233239"/>
    <w:rsid w:val="002332C0"/>
    <w:rsid w:val="00233304"/>
    <w:rsid w:val="00233423"/>
    <w:rsid w:val="00233548"/>
    <w:rsid w:val="0023366A"/>
    <w:rsid w:val="002336AB"/>
    <w:rsid w:val="00233834"/>
    <w:rsid w:val="002339A0"/>
    <w:rsid w:val="00233A0D"/>
    <w:rsid w:val="00233B36"/>
    <w:rsid w:val="00233C8B"/>
    <w:rsid w:val="00233D3A"/>
    <w:rsid w:val="00233E90"/>
    <w:rsid w:val="00233F29"/>
    <w:rsid w:val="002340D0"/>
    <w:rsid w:val="00234267"/>
    <w:rsid w:val="00234301"/>
    <w:rsid w:val="002343A1"/>
    <w:rsid w:val="002343B5"/>
    <w:rsid w:val="00234467"/>
    <w:rsid w:val="00234469"/>
    <w:rsid w:val="002344CE"/>
    <w:rsid w:val="00234683"/>
    <w:rsid w:val="00234703"/>
    <w:rsid w:val="00234766"/>
    <w:rsid w:val="00234877"/>
    <w:rsid w:val="002349C9"/>
    <w:rsid w:val="00234AEC"/>
    <w:rsid w:val="00234B50"/>
    <w:rsid w:val="00234BE9"/>
    <w:rsid w:val="00234C5E"/>
    <w:rsid w:val="00234F11"/>
    <w:rsid w:val="00234F56"/>
    <w:rsid w:val="002351D6"/>
    <w:rsid w:val="002352E6"/>
    <w:rsid w:val="00235381"/>
    <w:rsid w:val="002354A1"/>
    <w:rsid w:val="0023564C"/>
    <w:rsid w:val="002356F6"/>
    <w:rsid w:val="00235703"/>
    <w:rsid w:val="00235A94"/>
    <w:rsid w:val="00235BDC"/>
    <w:rsid w:val="00235C1F"/>
    <w:rsid w:val="00235F48"/>
    <w:rsid w:val="00236240"/>
    <w:rsid w:val="0023630D"/>
    <w:rsid w:val="0023631C"/>
    <w:rsid w:val="00236365"/>
    <w:rsid w:val="00236560"/>
    <w:rsid w:val="00236616"/>
    <w:rsid w:val="0023686C"/>
    <w:rsid w:val="002368CE"/>
    <w:rsid w:val="0023692F"/>
    <w:rsid w:val="00236A93"/>
    <w:rsid w:val="00236AE6"/>
    <w:rsid w:val="00236B48"/>
    <w:rsid w:val="00236BB6"/>
    <w:rsid w:val="00236D87"/>
    <w:rsid w:val="00236E1A"/>
    <w:rsid w:val="00236E76"/>
    <w:rsid w:val="0023711D"/>
    <w:rsid w:val="0023728C"/>
    <w:rsid w:val="00237321"/>
    <w:rsid w:val="002373AD"/>
    <w:rsid w:val="0023741B"/>
    <w:rsid w:val="0023765D"/>
    <w:rsid w:val="0023767C"/>
    <w:rsid w:val="0023769D"/>
    <w:rsid w:val="002376B4"/>
    <w:rsid w:val="00237813"/>
    <w:rsid w:val="00237866"/>
    <w:rsid w:val="0023793E"/>
    <w:rsid w:val="00237B4D"/>
    <w:rsid w:val="00237B6F"/>
    <w:rsid w:val="00237BE1"/>
    <w:rsid w:val="00237C2E"/>
    <w:rsid w:val="00237D4F"/>
    <w:rsid w:val="00237F68"/>
    <w:rsid w:val="00237F7F"/>
    <w:rsid w:val="00237FF9"/>
    <w:rsid w:val="002400A3"/>
    <w:rsid w:val="00240115"/>
    <w:rsid w:val="002402DC"/>
    <w:rsid w:val="002402EC"/>
    <w:rsid w:val="002405E4"/>
    <w:rsid w:val="002405F5"/>
    <w:rsid w:val="002406F3"/>
    <w:rsid w:val="0024076F"/>
    <w:rsid w:val="002407DC"/>
    <w:rsid w:val="002408EE"/>
    <w:rsid w:val="002409C0"/>
    <w:rsid w:val="00240A66"/>
    <w:rsid w:val="00240B51"/>
    <w:rsid w:val="00240D55"/>
    <w:rsid w:val="00240E61"/>
    <w:rsid w:val="00240E85"/>
    <w:rsid w:val="00240FE5"/>
    <w:rsid w:val="00240FF0"/>
    <w:rsid w:val="00241136"/>
    <w:rsid w:val="00241262"/>
    <w:rsid w:val="00241507"/>
    <w:rsid w:val="002416FF"/>
    <w:rsid w:val="00241719"/>
    <w:rsid w:val="0024174F"/>
    <w:rsid w:val="00241953"/>
    <w:rsid w:val="00241A06"/>
    <w:rsid w:val="00241B98"/>
    <w:rsid w:val="00241CCD"/>
    <w:rsid w:val="00241EB5"/>
    <w:rsid w:val="00242184"/>
    <w:rsid w:val="0024237A"/>
    <w:rsid w:val="00242454"/>
    <w:rsid w:val="0024251A"/>
    <w:rsid w:val="0024256D"/>
    <w:rsid w:val="002425AC"/>
    <w:rsid w:val="002427EA"/>
    <w:rsid w:val="00242886"/>
    <w:rsid w:val="00242921"/>
    <w:rsid w:val="00242CD0"/>
    <w:rsid w:val="00242D2A"/>
    <w:rsid w:val="00242DC8"/>
    <w:rsid w:val="00242E46"/>
    <w:rsid w:val="00242FE1"/>
    <w:rsid w:val="0024305D"/>
    <w:rsid w:val="002431A8"/>
    <w:rsid w:val="002431F6"/>
    <w:rsid w:val="00243296"/>
    <w:rsid w:val="00243348"/>
    <w:rsid w:val="0024337F"/>
    <w:rsid w:val="0024344E"/>
    <w:rsid w:val="002435E9"/>
    <w:rsid w:val="002435FE"/>
    <w:rsid w:val="00243603"/>
    <w:rsid w:val="00243731"/>
    <w:rsid w:val="0024386C"/>
    <w:rsid w:val="002438A0"/>
    <w:rsid w:val="00243A46"/>
    <w:rsid w:val="00243A66"/>
    <w:rsid w:val="00243C43"/>
    <w:rsid w:val="00243E3D"/>
    <w:rsid w:val="00243E58"/>
    <w:rsid w:val="00243E5A"/>
    <w:rsid w:val="00243EF7"/>
    <w:rsid w:val="00244048"/>
    <w:rsid w:val="0024413B"/>
    <w:rsid w:val="00244361"/>
    <w:rsid w:val="0024436A"/>
    <w:rsid w:val="002443C2"/>
    <w:rsid w:val="0024458E"/>
    <w:rsid w:val="0024465C"/>
    <w:rsid w:val="002446C3"/>
    <w:rsid w:val="00244A36"/>
    <w:rsid w:val="00244D51"/>
    <w:rsid w:val="00244D86"/>
    <w:rsid w:val="00244DC2"/>
    <w:rsid w:val="00244DE8"/>
    <w:rsid w:val="00244E1D"/>
    <w:rsid w:val="00244F3E"/>
    <w:rsid w:val="00244F6E"/>
    <w:rsid w:val="0024515D"/>
    <w:rsid w:val="002452B5"/>
    <w:rsid w:val="00245360"/>
    <w:rsid w:val="002456E7"/>
    <w:rsid w:val="00245747"/>
    <w:rsid w:val="00245C91"/>
    <w:rsid w:val="00245DB8"/>
    <w:rsid w:val="00245DFB"/>
    <w:rsid w:val="00245E9A"/>
    <w:rsid w:val="002460D0"/>
    <w:rsid w:val="002461DA"/>
    <w:rsid w:val="002461E8"/>
    <w:rsid w:val="002464BE"/>
    <w:rsid w:val="002464E6"/>
    <w:rsid w:val="00246591"/>
    <w:rsid w:val="002465F1"/>
    <w:rsid w:val="00246785"/>
    <w:rsid w:val="0024680A"/>
    <w:rsid w:val="0024681E"/>
    <w:rsid w:val="00246BE9"/>
    <w:rsid w:val="00246C34"/>
    <w:rsid w:val="00246CA9"/>
    <w:rsid w:val="00246CC1"/>
    <w:rsid w:val="00246DA3"/>
    <w:rsid w:val="00246E7E"/>
    <w:rsid w:val="00246EB1"/>
    <w:rsid w:val="00246F05"/>
    <w:rsid w:val="0024706D"/>
    <w:rsid w:val="00247125"/>
    <w:rsid w:val="00247375"/>
    <w:rsid w:val="00247657"/>
    <w:rsid w:val="00247778"/>
    <w:rsid w:val="002477B1"/>
    <w:rsid w:val="00247AE6"/>
    <w:rsid w:val="00247D79"/>
    <w:rsid w:val="00247DEA"/>
    <w:rsid w:val="00247E34"/>
    <w:rsid w:val="0025002F"/>
    <w:rsid w:val="00250074"/>
    <w:rsid w:val="00250548"/>
    <w:rsid w:val="002505A6"/>
    <w:rsid w:val="0025060A"/>
    <w:rsid w:val="00250654"/>
    <w:rsid w:val="002507E7"/>
    <w:rsid w:val="0025081F"/>
    <w:rsid w:val="002508D0"/>
    <w:rsid w:val="00250965"/>
    <w:rsid w:val="0025099B"/>
    <w:rsid w:val="00250BB8"/>
    <w:rsid w:val="00250C09"/>
    <w:rsid w:val="00250C99"/>
    <w:rsid w:val="00250D2F"/>
    <w:rsid w:val="00250D31"/>
    <w:rsid w:val="00250DF6"/>
    <w:rsid w:val="00250E50"/>
    <w:rsid w:val="00250EA8"/>
    <w:rsid w:val="00250EE2"/>
    <w:rsid w:val="0025109A"/>
    <w:rsid w:val="002510B0"/>
    <w:rsid w:val="00251123"/>
    <w:rsid w:val="00251231"/>
    <w:rsid w:val="00251249"/>
    <w:rsid w:val="00251338"/>
    <w:rsid w:val="0025141D"/>
    <w:rsid w:val="0025144C"/>
    <w:rsid w:val="0025145F"/>
    <w:rsid w:val="00251465"/>
    <w:rsid w:val="00251585"/>
    <w:rsid w:val="0025162D"/>
    <w:rsid w:val="002516D1"/>
    <w:rsid w:val="00251765"/>
    <w:rsid w:val="00251797"/>
    <w:rsid w:val="002517DE"/>
    <w:rsid w:val="00251A35"/>
    <w:rsid w:val="00251B82"/>
    <w:rsid w:val="00251BF8"/>
    <w:rsid w:val="00251C0C"/>
    <w:rsid w:val="00251C4D"/>
    <w:rsid w:val="00251DFC"/>
    <w:rsid w:val="00251EE3"/>
    <w:rsid w:val="00251F74"/>
    <w:rsid w:val="00251F86"/>
    <w:rsid w:val="002520B2"/>
    <w:rsid w:val="002522C6"/>
    <w:rsid w:val="00252314"/>
    <w:rsid w:val="00252570"/>
    <w:rsid w:val="0025293C"/>
    <w:rsid w:val="00252A59"/>
    <w:rsid w:val="00252A5B"/>
    <w:rsid w:val="00252E70"/>
    <w:rsid w:val="00252EEF"/>
    <w:rsid w:val="002531EB"/>
    <w:rsid w:val="002532F5"/>
    <w:rsid w:val="0025338D"/>
    <w:rsid w:val="002533D3"/>
    <w:rsid w:val="00253448"/>
    <w:rsid w:val="00253534"/>
    <w:rsid w:val="0025388A"/>
    <w:rsid w:val="002539EA"/>
    <w:rsid w:val="00253A9B"/>
    <w:rsid w:val="00253D52"/>
    <w:rsid w:val="00253E32"/>
    <w:rsid w:val="00254148"/>
    <w:rsid w:val="00254254"/>
    <w:rsid w:val="00254299"/>
    <w:rsid w:val="002545A4"/>
    <w:rsid w:val="00254607"/>
    <w:rsid w:val="002546BB"/>
    <w:rsid w:val="002547A4"/>
    <w:rsid w:val="00254B98"/>
    <w:rsid w:val="00254CEE"/>
    <w:rsid w:val="00254D0F"/>
    <w:rsid w:val="00254D1B"/>
    <w:rsid w:val="00254E67"/>
    <w:rsid w:val="0025505A"/>
    <w:rsid w:val="002551DB"/>
    <w:rsid w:val="002554CE"/>
    <w:rsid w:val="00255540"/>
    <w:rsid w:val="002555FD"/>
    <w:rsid w:val="00255844"/>
    <w:rsid w:val="002558DE"/>
    <w:rsid w:val="0025592F"/>
    <w:rsid w:val="002559BC"/>
    <w:rsid w:val="00255ABF"/>
    <w:rsid w:val="00255ACF"/>
    <w:rsid w:val="00255BF5"/>
    <w:rsid w:val="00255C11"/>
    <w:rsid w:val="00255CE1"/>
    <w:rsid w:val="00255EB7"/>
    <w:rsid w:val="00255F09"/>
    <w:rsid w:val="00255F10"/>
    <w:rsid w:val="00256163"/>
    <w:rsid w:val="002562CD"/>
    <w:rsid w:val="00256387"/>
    <w:rsid w:val="00256428"/>
    <w:rsid w:val="0025666A"/>
    <w:rsid w:val="002569CB"/>
    <w:rsid w:val="00256C1C"/>
    <w:rsid w:val="00256D3E"/>
    <w:rsid w:val="00256EA6"/>
    <w:rsid w:val="00256F13"/>
    <w:rsid w:val="0025734D"/>
    <w:rsid w:val="00257392"/>
    <w:rsid w:val="002573C0"/>
    <w:rsid w:val="002574B2"/>
    <w:rsid w:val="002575AA"/>
    <w:rsid w:val="00257610"/>
    <w:rsid w:val="00257637"/>
    <w:rsid w:val="002576F7"/>
    <w:rsid w:val="002577CB"/>
    <w:rsid w:val="002577E4"/>
    <w:rsid w:val="00257922"/>
    <w:rsid w:val="00257AAE"/>
    <w:rsid w:val="00257C9E"/>
    <w:rsid w:val="00257F4C"/>
    <w:rsid w:val="00260048"/>
    <w:rsid w:val="00260255"/>
    <w:rsid w:val="002603CE"/>
    <w:rsid w:val="002605B9"/>
    <w:rsid w:val="002607EC"/>
    <w:rsid w:val="00260849"/>
    <w:rsid w:val="00260889"/>
    <w:rsid w:val="002608E0"/>
    <w:rsid w:val="00260BD9"/>
    <w:rsid w:val="00260D18"/>
    <w:rsid w:val="00260E32"/>
    <w:rsid w:val="00260EAD"/>
    <w:rsid w:val="00261080"/>
    <w:rsid w:val="0026126C"/>
    <w:rsid w:val="00261368"/>
    <w:rsid w:val="0026147E"/>
    <w:rsid w:val="00261566"/>
    <w:rsid w:val="00261655"/>
    <w:rsid w:val="0026171A"/>
    <w:rsid w:val="0026173B"/>
    <w:rsid w:val="0026179A"/>
    <w:rsid w:val="00261997"/>
    <w:rsid w:val="00261C01"/>
    <w:rsid w:val="00261D14"/>
    <w:rsid w:val="00261D54"/>
    <w:rsid w:val="00261DA1"/>
    <w:rsid w:val="00261FC1"/>
    <w:rsid w:val="0026215F"/>
    <w:rsid w:val="00262173"/>
    <w:rsid w:val="00262384"/>
    <w:rsid w:val="00262445"/>
    <w:rsid w:val="00262499"/>
    <w:rsid w:val="00262589"/>
    <w:rsid w:val="002625B7"/>
    <w:rsid w:val="00262630"/>
    <w:rsid w:val="0026272D"/>
    <w:rsid w:val="0026275F"/>
    <w:rsid w:val="0026277D"/>
    <w:rsid w:val="002627DF"/>
    <w:rsid w:val="002627EE"/>
    <w:rsid w:val="00262814"/>
    <w:rsid w:val="0026295B"/>
    <w:rsid w:val="00262A38"/>
    <w:rsid w:val="00262A5D"/>
    <w:rsid w:val="00262B01"/>
    <w:rsid w:val="00262B1F"/>
    <w:rsid w:val="00262B87"/>
    <w:rsid w:val="00262BC6"/>
    <w:rsid w:val="00262BF7"/>
    <w:rsid w:val="00262D1E"/>
    <w:rsid w:val="00262D42"/>
    <w:rsid w:val="00262D70"/>
    <w:rsid w:val="00262E76"/>
    <w:rsid w:val="00262FE4"/>
    <w:rsid w:val="0026307D"/>
    <w:rsid w:val="0026316C"/>
    <w:rsid w:val="00263337"/>
    <w:rsid w:val="002633E9"/>
    <w:rsid w:val="00263675"/>
    <w:rsid w:val="00263955"/>
    <w:rsid w:val="00263A23"/>
    <w:rsid w:val="00263A62"/>
    <w:rsid w:val="00263AC8"/>
    <w:rsid w:val="00263DF4"/>
    <w:rsid w:val="00263EA7"/>
    <w:rsid w:val="00263FF8"/>
    <w:rsid w:val="002641C2"/>
    <w:rsid w:val="00264268"/>
    <w:rsid w:val="002642D8"/>
    <w:rsid w:val="002642FA"/>
    <w:rsid w:val="0026432C"/>
    <w:rsid w:val="002643A4"/>
    <w:rsid w:val="002645AA"/>
    <w:rsid w:val="00264677"/>
    <w:rsid w:val="002646BC"/>
    <w:rsid w:val="00264995"/>
    <w:rsid w:val="00264AA5"/>
    <w:rsid w:val="00264AD8"/>
    <w:rsid w:val="00264E17"/>
    <w:rsid w:val="00264F3C"/>
    <w:rsid w:val="00264F3D"/>
    <w:rsid w:val="00265058"/>
    <w:rsid w:val="002653BF"/>
    <w:rsid w:val="00265457"/>
    <w:rsid w:val="002655D6"/>
    <w:rsid w:val="00265693"/>
    <w:rsid w:val="002656C7"/>
    <w:rsid w:val="00265A08"/>
    <w:rsid w:val="00265BD5"/>
    <w:rsid w:val="00265E77"/>
    <w:rsid w:val="002660A4"/>
    <w:rsid w:val="002662E1"/>
    <w:rsid w:val="00266338"/>
    <w:rsid w:val="002664A9"/>
    <w:rsid w:val="002664AA"/>
    <w:rsid w:val="00266520"/>
    <w:rsid w:val="00266665"/>
    <w:rsid w:val="002666B2"/>
    <w:rsid w:val="002666B5"/>
    <w:rsid w:val="00266732"/>
    <w:rsid w:val="0026675F"/>
    <w:rsid w:val="00266788"/>
    <w:rsid w:val="00266794"/>
    <w:rsid w:val="00266ACA"/>
    <w:rsid w:val="00266B29"/>
    <w:rsid w:val="00266B3F"/>
    <w:rsid w:val="00266BE1"/>
    <w:rsid w:val="00266CD9"/>
    <w:rsid w:val="002670A6"/>
    <w:rsid w:val="002673A4"/>
    <w:rsid w:val="00267753"/>
    <w:rsid w:val="0026788E"/>
    <w:rsid w:val="00267A21"/>
    <w:rsid w:val="00267BF4"/>
    <w:rsid w:val="00267DEF"/>
    <w:rsid w:val="00267E01"/>
    <w:rsid w:val="00267F91"/>
    <w:rsid w:val="00270008"/>
    <w:rsid w:val="00270180"/>
    <w:rsid w:val="002702B3"/>
    <w:rsid w:val="00270343"/>
    <w:rsid w:val="002703DA"/>
    <w:rsid w:val="002705A1"/>
    <w:rsid w:val="002705D1"/>
    <w:rsid w:val="00270622"/>
    <w:rsid w:val="00270724"/>
    <w:rsid w:val="0027072E"/>
    <w:rsid w:val="00270746"/>
    <w:rsid w:val="002708DF"/>
    <w:rsid w:val="0027091E"/>
    <w:rsid w:val="0027092A"/>
    <w:rsid w:val="002709C5"/>
    <w:rsid w:val="00270AE3"/>
    <w:rsid w:val="00270BA8"/>
    <w:rsid w:val="00270BBA"/>
    <w:rsid w:val="00270C30"/>
    <w:rsid w:val="00270D47"/>
    <w:rsid w:val="00270F37"/>
    <w:rsid w:val="00271145"/>
    <w:rsid w:val="0027114D"/>
    <w:rsid w:val="00271264"/>
    <w:rsid w:val="00271361"/>
    <w:rsid w:val="002713A2"/>
    <w:rsid w:val="00271552"/>
    <w:rsid w:val="00271565"/>
    <w:rsid w:val="00271642"/>
    <w:rsid w:val="002716B8"/>
    <w:rsid w:val="002719A1"/>
    <w:rsid w:val="00271A0F"/>
    <w:rsid w:val="00271AAD"/>
    <w:rsid w:val="00271B83"/>
    <w:rsid w:val="00271C5B"/>
    <w:rsid w:val="00271D74"/>
    <w:rsid w:val="00271E60"/>
    <w:rsid w:val="0027212C"/>
    <w:rsid w:val="002721C8"/>
    <w:rsid w:val="00272247"/>
    <w:rsid w:val="002722DC"/>
    <w:rsid w:val="00272302"/>
    <w:rsid w:val="0027255E"/>
    <w:rsid w:val="00272581"/>
    <w:rsid w:val="00272696"/>
    <w:rsid w:val="00272710"/>
    <w:rsid w:val="002727A8"/>
    <w:rsid w:val="002728A3"/>
    <w:rsid w:val="002728F1"/>
    <w:rsid w:val="00272921"/>
    <w:rsid w:val="00272978"/>
    <w:rsid w:val="002729E8"/>
    <w:rsid w:val="00272A40"/>
    <w:rsid w:val="00272A70"/>
    <w:rsid w:val="00272B5A"/>
    <w:rsid w:val="00272C0D"/>
    <w:rsid w:val="00272D5E"/>
    <w:rsid w:val="00272E06"/>
    <w:rsid w:val="00272FC1"/>
    <w:rsid w:val="00273010"/>
    <w:rsid w:val="00273090"/>
    <w:rsid w:val="002730D5"/>
    <w:rsid w:val="002731A0"/>
    <w:rsid w:val="002733DB"/>
    <w:rsid w:val="0027346C"/>
    <w:rsid w:val="002736C3"/>
    <w:rsid w:val="002737DE"/>
    <w:rsid w:val="0027381B"/>
    <w:rsid w:val="00273883"/>
    <w:rsid w:val="00273916"/>
    <w:rsid w:val="002739EB"/>
    <w:rsid w:val="00273A24"/>
    <w:rsid w:val="00273A57"/>
    <w:rsid w:val="00273C47"/>
    <w:rsid w:val="00273DF1"/>
    <w:rsid w:val="00273DF4"/>
    <w:rsid w:val="00273EBA"/>
    <w:rsid w:val="00273ECE"/>
    <w:rsid w:val="00273F32"/>
    <w:rsid w:val="0027400E"/>
    <w:rsid w:val="00274180"/>
    <w:rsid w:val="00274195"/>
    <w:rsid w:val="002741A5"/>
    <w:rsid w:val="0027425D"/>
    <w:rsid w:val="00274625"/>
    <w:rsid w:val="002746C0"/>
    <w:rsid w:val="002748EB"/>
    <w:rsid w:val="00274AA2"/>
    <w:rsid w:val="00274AB5"/>
    <w:rsid w:val="00274CC8"/>
    <w:rsid w:val="00274CD3"/>
    <w:rsid w:val="00274D5F"/>
    <w:rsid w:val="00274E0C"/>
    <w:rsid w:val="002750B4"/>
    <w:rsid w:val="0027525C"/>
    <w:rsid w:val="00275545"/>
    <w:rsid w:val="00275566"/>
    <w:rsid w:val="002755DA"/>
    <w:rsid w:val="002755E2"/>
    <w:rsid w:val="0027580E"/>
    <w:rsid w:val="00275941"/>
    <w:rsid w:val="0027597D"/>
    <w:rsid w:val="002759D8"/>
    <w:rsid w:val="00275B02"/>
    <w:rsid w:val="00275BF5"/>
    <w:rsid w:val="00275BF9"/>
    <w:rsid w:val="00275DC6"/>
    <w:rsid w:val="00275F91"/>
    <w:rsid w:val="00276227"/>
    <w:rsid w:val="00276322"/>
    <w:rsid w:val="0027634B"/>
    <w:rsid w:val="0027642E"/>
    <w:rsid w:val="00276489"/>
    <w:rsid w:val="002766DA"/>
    <w:rsid w:val="00276726"/>
    <w:rsid w:val="00276818"/>
    <w:rsid w:val="00276880"/>
    <w:rsid w:val="002768B1"/>
    <w:rsid w:val="002768C7"/>
    <w:rsid w:val="00276A74"/>
    <w:rsid w:val="00276B01"/>
    <w:rsid w:val="00276C2F"/>
    <w:rsid w:val="00276C49"/>
    <w:rsid w:val="00276CE9"/>
    <w:rsid w:val="0027700F"/>
    <w:rsid w:val="00277070"/>
    <w:rsid w:val="002770AB"/>
    <w:rsid w:val="00277119"/>
    <w:rsid w:val="002772C6"/>
    <w:rsid w:val="00277353"/>
    <w:rsid w:val="002774DB"/>
    <w:rsid w:val="002778A4"/>
    <w:rsid w:val="00277984"/>
    <w:rsid w:val="00277B17"/>
    <w:rsid w:val="00277B9E"/>
    <w:rsid w:val="00277C4C"/>
    <w:rsid w:val="00277E58"/>
    <w:rsid w:val="00277EBB"/>
    <w:rsid w:val="00277EFB"/>
    <w:rsid w:val="00277F12"/>
    <w:rsid w:val="00277FE7"/>
    <w:rsid w:val="00280061"/>
    <w:rsid w:val="0028015B"/>
    <w:rsid w:val="002802C9"/>
    <w:rsid w:val="0028034A"/>
    <w:rsid w:val="00280529"/>
    <w:rsid w:val="00280567"/>
    <w:rsid w:val="0028080A"/>
    <w:rsid w:val="00280912"/>
    <w:rsid w:val="00280A24"/>
    <w:rsid w:val="00280BFA"/>
    <w:rsid w:val="00280ED3"/>
    <w:rsid w:val="002811D5"/>
    <w:rsid w:val="00281217"/>
    <w:rsid w:val="00281367"/>
    <w:rsid w:val="002813CB"/>
    <w:rsid w:val="002814B4"/>
    <w:rsid w:val="00281649"/>
    <w:rsid w:val="0028170E"/>
    <w:rsid w:val="00281896"/>
    <w:rsid w:val="00281921"/>
    <w:rsid w:val="002819BC"/>
    <w:rsid w:val="002819DD"/>
    <w:rsid w:val="00281B62"/>
    <w:rsid w:val="00281BD5"/>
    <w:rsid w:val="00281E08"/>
    <w:rsid w:val="00281E76"/>
    <w:rsid w:val="00281E8B"/>
    <w:rsid w:val="00282009"/>
    <w:rsid w:val="00282098"/>
    <w:rsid w:val="00282166"/>
    <w:rsid w:val="00282398"/>
    <w:rsid w:val="00282445"/>
    <w:rsid w:val="002824E2"/>
    <w:rsid w:val="002825CD"/>
    <w:rsid w:val="0028260C"/>
    <w:rsid w:val="002826CC"/>
    <w:rsid w:val="00282AB1"/>
    <w:rsid w:val="00282B72"/>
    <w:rsid w:val="00282BFE"/>
    <w:rsid w:val="00282DF9"/>
    <w:rsid w:val="0028318D"/>
    <w:rsid w:val="002832CB"/>
    <w:rsid w:val="002832D6"/>
    <w:rsid w:val="0028331B"/>
    <w:rsid w:val="00283622"/>
    <w:rsid w:val="00283711"/>
    <w:rsid w:val="0028378C"/>
    <w:rsid w:val="0028382B"/>
    <w:rsid w:val="00283968"/>
    <w:rsid w:val="00283BBE"/>
    <w:rsid w:val="00283C0B"/>
    <w:rsid w:val="00283CCE"/>
    <w:rsid w:val="00283EAA"/>
    <w:rsid w:val="00283F7A"/>
    <w:rsid w:val="00284016"/>
    <w:rsid w:val="0028416E"/>
    <w:rsid w:val="002843C8"/>
    <w:rsid w:val="002844E2"/>
    <w:rsid w:val="002844F2"/>
    <w:rsid w:val="002845C9"/>
    <w:rsid w:val="002846EF"/>
    <w:rsid w:val="00284757"/>
    <w:rsid w:val="002847FA"/>
    <w:rsid w:val="0028486E"/>
    <w:rsid w:val="002848F5"/>
    <w:rsid w:val="00284A63"/>
    <w:rsid w:val="00284D7D"/>
    <w:rsid w:val="00284E4B"/>
    <w:rsid w:val="00285089"/>
    <w:rsid w:val="00285164"/>
    <w:rsid w:val="002852DF"/>
    <w:rsid w:val="002855C4"/>
    <w:rsid w:val="00285758"/>
    <w:rsid w:val="0028578E"/>
    <w:rsid w:val="002859B2"/>
    <w:rsid w:val="00285AD9"/>
    <w:rsid w:val="00285D28"/>
    <w:rsid w:val="00285D49"/>
    <w:rsid w:val="00285EFC"/>
    <w:rsid w:val="00285F70"/>
    <w:rsid w:val="00285F8E"/>
    <w:rsid w:val="00286033"/>
    <w:rsid w:val="00286127"/>
    <w:rsid w:val="0028615F"/>
    <w:rsid w:val="00286162"/>
    <w:rsid w:val="0028630E"/>
    <w:rsid w:val="00286398"/>
    <w:rsid w:val="002864BA"/>
    <w:rsid w:val="0028659C"/>
    <w:rsid w:val="002866E2"/>
    <w:rsid w:val="0028677C"/>
    <w:rsid w:val="00286948"/>
    <w:rsid w:val="00286986"/>
    <w:rsid w:val="0028698C"/>
    <w:rsid w:val="00286A04"/>
    <w:rsid w:val="00286B4C"/>
    <w:rsid w:val="00286B8D"/>
    <w:rsid w:val="00286C7F"/>
    <w:rsid w:val="00286C89"/>
    <w:rsid w:val="00286F3D"/>
    <w:rsid w:val="002870AF"/>
    <w:rsid w:val="002872EF"/>
    <w:rsid w:val="002874CE"/>
    <w:rsid w:val="0028798A"/>
    <w:rsid w:val="00287A96"/>
    <w:rsid w:val="00287BA1"/>
    <w:rsid w:val="00287DEF"/>
    <w:rsid w:val="00287F4F"/>
    <w:rsid w:val="00290314"/>
    <w:rsid w:val="0029032E"/>
    <w:rsid w:val="0029049F"/>
    <w:rsid w:val="002905AF"/>
    <w:rsid w:val="0029070B"/>
    <w:rsid w:val="00290711"/>
    <w:rsid w:val="0029088D"/>
    <w:rsid w:val="0029091B"/>
    <w:rsid w:val="0029105F"/>
    <w:rsid w:val="00291131"/>
    <w:rsid w:val="002911B0"/>
    <w:rsid w:val="00291320"/>
    <w:rsid w:val="00291414"/>
    <w:rsid w:val="0029142D"/>
    <w:rsid w:val="0029143E"/>
    <w:rsid w:val="00291488"/>
    <w:rsid w:val="00291592"/>
    <w:rsid w:val="00291650"/>
    <w:rsid w:val="00291723"/>
    <w:rsid w:val="002918CA"/>
    <w:rsid w:val="00291980"/>
    <w:rsid w:val="00291D42"/>
    <w:rsid w:val="00291D54"/>
    <w:rsid w:val="00291D7A"/>
    <w:rsid w:val="00291DD4"/>
    <w:rsid w:val="00292016"/>
    <w:rsid w:val="002920AE"/>
    <w:rsid w:val="0029237F"/>
    <w:rsid w:val="00292573"/>
    <w:rsid w:val="002925CC"/>
    <w:rsid w:val="002925E2"/>
    <w:rsid w:val="0029262A"/>
    <w:rsid w:val="002926FC"/>
    <w:rsid w:val="00292775"/>
    <w:rsid w:val="00292A58"/>
    <w:rsid w:val="00292B70"/>
    <w:rsid w:val="002931B9"/>
    <w:rsid w:val="0029328A"/>
    <w:rsid w:val="0029348D"/>
    <w:rsid w:val="0029363E"/>
    <w:rsid w:val="002936E9"/>
    <w:rsid w:val="0029380F"/>
    <w:rsid w:val="0029395A"/>
    <w:rsid w:val="002939E2"/>
    <w:rsid w:val="00293A66"/>
    <w:rsid w:val="00293AD2"/>
    <w:rsid w:val="00293B13"/>
    <w:rsid w:val="00293C43"/>
    <w:rsid w:val="00293CCC"/>
    <w:rsid w:val="00293EB5"/>
    <w:rsid w:val="002940F6"/>
    <w:rsid w:val="00294212"/>
    <w:rsid w:val="0029429E"/>
    <w:rsid w:val="00294592"/>
    <w:rsid w:val="00294734"/>
    <w:rsid w:val="00294760"/>
    <w:rsid w:val="0029497B"/>
    <w:rsid w:val="00294A94"/>
    <w:rsid w:val="00294AEF"/>
    <w:rsid w:val="00294B23"/>
    <w:rsid w:val="00294BA7"/>
    <w:rsid w:val="00294C6E"/>
    <w:rsid w:val="00294C8D"/>
    <w:rsid w:val="00294CAC"/>
    <w:rsid w:val="00294DE2"/>
    <w:rsid w:val="00294E35"/>
    <w:rsid w:val="00294E57"/>
    <w:rsid w:val="00294EA7"/>
    <w:rsid w:val="00294EBB"/>
    <w:rsid w:val="00294F72"/>
    <w:rsid w:val="00295168"/>
    <w:rsid w:val="002952B0"/>
    <w:rsid w:val="00295339"/>
    <w:rsid w:val="002957A0"/>
    <w:rsid w:val="00295849"/>
    <w:rsid w:val="002958AC"/>
    <w:rsid w:val="00295931"/>
    <w:rsid w:val="00295A40"/>
    <w:rsid w:val="00295B3D"/>
    <w:rsid w:val="00295B63"/>
    <w:rsid w:val="00295B91"/>
    <w:rsid w:val="00295DA3"/>
    <w:rsid w:val="00295FB9"/>
    <w:rsid w:val="002960D8"/>
    <w:rsid w:val="00296139"/>
    <w:rsid w:val="002962EA"/>
    <w:rsid w:val="00296320"/>
    <w:rsid w:val="00296365"/>
    <w:rsid w:val="0029673A"/>
    <w:rsid w:val="002969AD"/>
    <w:rsid w:val="00296A12"/>
    <w:rsid w:val="00296A16"/>
    <w:rsid w:val="00296C94"/>
    <w:rsid w:val="00296D23"/>
    <w:rsid w:val="00296E2C"/>
    <w:rsid w:val="00296E4A"/>
    <w:rsid w:val="002972D0"/>
    <w:rsid w:val="002973EE"/>
    <w:rsid w:val="00297463"/>
    <w:rsid w:val="0029757B"/>
    <w:rsid w:val="00297720"/>
    <w:rsid w:val="002977C9"/>
    <w:rsid w:val="002977F4"/>
    <w:rsid w:val="00297861"/>
    <w:rsid w:val="00297A0D"/>
    <w:rsid w:val="00297B2A"/>
    <w:rsid w:val="00297B4C"/>
    <w:rsid w:val="00297B75"/>
    <w:rsid w:val="00297B8F"/>
    <w:rsid w:val="00297C4A"/>
    <w:rsid w:val="00297D10"/>
    <w:rsid w:val="00297E03"/>
    <w:rsid w:val="00297E52"/>
    <w:rsid w:val="00297EBC"/>
    <w:rsid w:val="00297FB0"/>
    <w:rsid w:val="002A000A"/>
    <w:rsid w:val="002A0075"/>
    <w:rsid w:val="002A00A4"/>
    <w:rsid w:val="002A00C5"/>
    <w:rsid w:val="002A031E"/>
    <w:rsid w:val="002A0496"/>
    <w:rsid w:val="002A04D5"/>
    <w:rsid w:val="002A0513"/>
    <w:rsid w:val="002A0740"/>
    <w:rsid w:val="002A074A"/>
    <w:rsid w:val="002A0761"/>
    <w:rsid w:val="002A0889"/>
    <w:rsid w:val="002A0ACF"/>
    <w:rsid w:val="002A0CB6"/>
    <w:rsid w:val="002A0D84"/>
    <w:rsid w:val="002A0E06"/>
    <w:rsid w:val="002A1057"/>
    <w:rsid w:val="002A107E"/>
    <w:rsid w:val="002A10A2"/>
    <w:rsid w:val="002A10E1"/>
    <w:rsid w:val="002A1211"/>
    <w:rsid w:val="002A127C"/>
    <w:rsid w:val="002A12D6"/>
    <w:rsid w:val="002A137C"/>
    <w:rsid w:val="002A13B7"/>
    <w:rsid w:val="002A13F6"/>
    <w:rsid w:val="002A143C"/>
    <w:rsid w:val="002A1477"/>
    <w:rsid w:val="002A15AE"/>
    <w:rsid w:val="002A15B3"/>
    <w:rsid w:val="002A1606"/>
    <w:rsid w:val="002A1677"/>
    <w:rsid w:val="002A16F2"/>
    <w:rsid w:val="002A17A3"/>
    <w:rsid w:val="002A183C"/>
    <w:rsid w:val="002A18CB"/>
    <w:rsid w:val="002A1980"/>
    <w:rsid w:val="002A1995"/>
    <w:rsid w:val="002A21C6"/>
    <w:rsid w:val="002A22A5"/>
    <w:rsid w:val="002A22B3"/>
    <w:rsid w:val="002A2467"/>
    <w:rsid w:val="002A258C"/>
    <w:rsid w:val="002A26F2"/>
    <w:rsid w:val="002A2714"/>
    <w:rsid w:val="002A27FD"/>
    <w:rsid w:val="002A297E"/>
    <w:rsid w:val="002A298C"/>
    <w:rsid w:val="002A2A10"/>
    <w:rsid w:val="002A2D22"/>
    <w:rsid w:val="002A2E5F"/>
    <w:rsid w:val="002A31B2"/>
    <w:rsid w:val="002A3224"/>
    <w:rsid w:val="002A3265"/>
    <w:rsid w:val="002A3363"/>
    <w:rsid w:val="002A33B7"/>
    <w:rsid w:val="002A3406"/>
    <w:rsid w:val="002A3A11"/>
    <w:rsid w:val="002A3C96"/>
    <w:rsid w:val="002A3CA9"/>
    <w:rsid w:val="002A3D53"/>
    <w:rsid w:val="002A3DD1"/>
    <w:rsid w:val="002A3FA6"/>
    <w:rsid w:val="002A3FE0"/>
    <w:rsid w:val="002A4077"/>
    <w:rsid w:val="002A4252"/>
    <w:rsid w:val="002A4278"/>
    <w:rsid w:val="002A4362"/>
    <w:rsid w:val="002A4394"/>
    <w:rsid w:val="002A44A2"/>
    <w:rsid w:val="002A45A4"/>
    <w:rsid w:val="002A45A9"/>
    <w:rsid w:val="002A4841"/>
    <w:rsid w:val="002A498E"/>
    <w:rsid w:val="002A4A55"/>
    <w:rsid w:val="002A4BF7"/>
    <w:rsid w:val="002A4CE1"/>
    <w:rsid w:val="002A4D1E"/>
    <w:rsid w:val="002A4D29"/>
    <w:rsid w:val="002A4D8D"/>
    <w:rsid w:val="002A4E63"/>
    <w:rsid w:val="002A4EAB"/>
    <w:rsid w:val="002A4EC0"/>
    <w:rsid w:val="002A4F06"/>
    <w:rsid w:val="002A5014"/>
    <w:rsid w:val="002A5018"/>
    <w:rsid w:val="002A5065"/>
    <w:rsid w:val="002A50B4"/>
    <w:rsid w:val="002A50B7"/>
    <w:rsid w:val="002A5242"/>
    <w:rsid w:val="002A5243"/>
    <w:rsid w:val="002A525A"/>
    <w:rsid w:val="002A53EA"/>
    <w:rsid w:val="002A5491"/>
    <w:rsid w:val="002A54EE"/>
    <w:rsid w:val="002A559D"/>
    <w:rsid w:val="002A566B"/>
    <w:rsid w:val="002A57C8"/>
    <w:rsid w:val="002A57D2"/>
    <w:rsid w:val="002A590B"/>
    <w:rsid w:val="002A5BBE"/>
    <w:rsid w:val="002A5DF2"/>
    <w:rsid w:val="002A5F30"/>
    <w:rsid w:val="002A61CB"/>
    <w:rsid w:val="002A6239"/>
    <w:rsid w:val="002A6401"/>
    <w:rsid w:val="002A644A"/>
    <w:rsid w:val="002A649A"/>
    <w:rsid w:val="002A65FD"/>
    <w:rsid w:val="002A6673"/>
    <w:rsid w:val="002A670C"/>
    <w:rsid w:val="002A6843"/>
    <w:rsid w:val="002A69B1"/>
    <w:rsid w:val="002A6A9E"/>
    <w:rsid w:val="002A6B84"/>
    <w:rsid w:val="002A6BD2"/>
    <w:rsid w:val="002A6C45"/>
    <w:rsid w:val="002A6D91"/>
    <w:rsid w:val="002A6E0F"/>
    <w:rsid w:val="002A6EFA"/>
    <w:rsid w:val="002A6F4A"/>
    <w:rsid w:val="002A6F73"/>
    <w:rsid w:val="002A7093"/>
    <w:rsid w:val="002A7123"/>
    <w:rsid w:val="002A735F"/>
    <w:rsid w:val="002A73F7"/>
    <w:rsid w:val="002A740A"/>
    <w:rsid w:val="002A755E"/>
    <w:rsid w:val="002A7742"/>
    <w:rsid w:val="002A78BF"/>
    <w:rsid w:val="002A78E3"/>
    <w:rsid w:val="002A7978"/>
    <w:rsid w:val="002A7A72"/>
    <w:rsid w:val="002A7B4E"/>
    <w:rsid w:val="002A7C31"/>
    <w:rsid w:val="002A7CE4"/>
    <w:rsid w:val="002A7E2D"/>
    <w:rsid w:val="002B02F9"/>
    <w:rsid w:val="002B0378"/>
    <w:rsid w:val="002B0520"/>
    <w:rsid w:val="002B0522"/>
    <w:rsid w:val="002B0527"/>
    <w:rsid w:val="002B0590"/>
    <w:rsid w:val="002B07F9"/>
    <w:rsid w:val="002B0B30"/>
    <w:rsid w:val="002B0BC2"/>
    <w:rsid w:val="002B0CF6"/>
    <w:rsid w:val="002B0D05"/>
    <w:rsid w:val="002B0D11"/>
    <w:rsid w:val="002B0DBB"/>
    <w:rsid w:val="002B0E60"/>
    <w:rsid w:val="002B0EA1"/>
    <w:rsid w:val="002B0EB1"/>
    <w:rsid w:val="002B0F87"/>
    <w:rsid w:val="002B132A"/>
    <w:rsid w:val="002B14D4"/>
    <w:rsid w:val="002B1680"/>
    <w:rsid w:val="002B16DA"/>
    <w:rsid w:val="002B1713"/>
    <w:rsid w:val="002B178B"/>
    <w:rsid w:val="002B182B"/>
    <w:rsid w:val="002B1904"/>
    <w:rsid w:val="002B1A18"/>
    <w:rsid w:val="002B1A34"/>
    <w:rsid w:val="002B1BE3"/>
    <w:rsid w:val="002B1FE5"/>
    <w:rsid w:val="002B205E"/>
    <w:rsid w:val="002B223D"/>
    <w:rsid w:val="002B22FF"/>
    <w:rsid w:val="002B23A2"/>
    <w:rsid w:val="002B247A"/>
    <w:rsid w:val="002B25B8"/>
    <w:rsid w:val="002B2608"/>
    <w:rsid w:val="002B269D"/>
    <w:rsid w:val="002B26D0"/>
    <w:rsid w:val="002B26E1"/>
    <w:rsid w:val="002B2947"/>
    <w:rsid w:val="002B296D"/>
    <w:rsid w:val="002B2B5C"/>
    <w:rsid w:val="002B2D01"/>
    <w:rsid w:val="002B2EA4"/>
    <w:rsid w:val="002B2EA7"/>
    <w:rsid w:val="002B31B4"/>
    <w:rsid w:val="002B31B6"/>
    <w:rsid w:val="002B34BF"/>
    <w:rsid w:val="002B34DE"/>
    <w:rsid w:val="002B38D6"/>
    <w:rsid w:val="002B3A0C"/>
    <w:rsid w:val="002B3A43"/>
    <w:rsid w:val="002B3DD3"/>
    <w:rsid w:val="002B3F05"/>
    <w:rsid w:val="002B3FA3"/>
    <w:rsid w:val="002B3FB0"/>
    <w:rsid w:val="002B4141"/>
    <w:rsid w:val="002B4147"/>
    <w:rsid w:val="002B4219"/>
    <w:rsid w:val="002B4247"/>
    <w:rsid w:val="002B4254"/>
    <w:rsid w:val="002B4436"/>
    <w:rsid w:val="002B4539"/>
    <w:rsid w:val="002B46AD"/>
    <w:rsid w:val="002B476D"/>
    <w:rsid w:val="002B4784"/>
    <w:rsid w:val="002B4792"/>
    <w:rsid w:val="002B48AF"/>
    <w:rsid w:val="002B4908"/>
    <w:rsid w:val="002B4A28"/>
    <w:rsid w:val="002B4BFE"/>
    <w:rsid w:val="002B4CBA"/>
    <w:rsid w:val="002B4D04"/>
    <w:rsid w:val="002B4DD8"/>
    <w:rsid w:val="002B5249"/>
    <w:rsid w:val="002B5301"/>
    <w:rsid w:val="002B5407"/>
    <w:rsid w:val="002B5466"/>
    <w:rsid w:val="002B54C9"/>
    <w:rsid w:val="002B54FA"/>
    <w:rsid w:val="002B56BD"/>
    <w:rsid w:val="002B57C9"/>
    <w:rsid w:val="002B5A94"/>
    <w:rsid w:val="002B5B3E"/>
    <w:rsid w:val="002B5C54"/>
    <w:rsid w:val="002B5CC0"/>
    <w:rsid w:val="002B62AB"/>
    <w:rsid w:val="002B6450"/>
    <w:rsid w:val="002B6485"/>
    <w:rsid w:val="002B666A"/>
    <w:rsid w:val="002B670B"/>
    <w:rsid w:val="002B68B2"/>
    <w:rsid w:val="002B6CD9"/>
    <w:rsid w:val="002B6D39"/>
    <w:rsid w:val="002B6E5B"/>
    <w:rsid w:val="002B6E92"/>
    <w:rsid w:val="002B6FB0"/>
    <w:rsid w:val="002B75AD"/>
    <w:rsid w:val="002B7686"/>
    <w:rsid w:val="002B770E"/>
    <w:rsid w:val="002B7725"/>
    <w:rsid w:val="002B7754"/>
    <w:rsid w:val="002B7773"/>
    <w:rsid w:val="002B7921"/>
    <w:rsid w:val="002B79AD"/>
    <w:rsid w:val="002B7AD7"/>
    <w:rsid w:val="002B7C3B"/>
    <w:rsid w:val="002B7D36"/>
    <w:rsid w:val="002C0294"/>
    <w:rsid w:val="002C055B"/>
    <w:rsid w:val="002C088D"/>
    <w:rsid w:val="002C08AE"/>
    <w:rsid w:val="002C0B90"/>
    <w:rsid w:val="002C0C0C"/>
    <w:rsid w:val="002C0C84"/>
    <w:rsid w:val="002C0DDF"/>
    <w:rsid w:val="002C104F"/>
    <w:rsid w:val="002C1452"/>
    <w:rsid w:val="002C1683"/>
    <w:rsid w:val="002C18DA"/>
    <w:rsid w:val="002C1A50"/>
    <w:rsid w:val="002C1AD1"/>
    <w:rsid w:val="002C1AD2"/>
    <w:rsid w:val="002C1D6E"/>
    <w:rsid w:val="002C1D85"/>
    <w:rsid w:val="002C1DFA"/>
    <w:rsid w:val="002C1F07"/>
    <w:rsid w:val="002C1FBE"/>
    <w:rsid w:val="002C21CC"/>
    <w:rsid w:val="002C22A5"/>
    <w:rsid w:val="002C22CB"/>
    <w:rsid w:val="002C233C"/>
    <w:rsid w:val="002C237E"/>
    <w:rsid w:val="002C240B"/>
    <w:rsid w:val="002C2457"/>
    <w:rsid w:val="002C249B"/>
    <w:rsid w:val="002C24A7"/>
    <w:rsid w:val="002C24D1"/>
    <w:rsid w:val="002C280E"/>
    <w:rsid w:val="002C28CF"/>
    <w:rsid w:val="002C28DD"/>
    <w:rsid w:val="002C2918"/>
    <w:rsid w:val="002C2949"/>
    <w:rsid w:val="002C2A87"/>
    <w:rsid w:val="002C2CFC"/>
    <w:rsid w:val="002C2E47"/>
    <w:rsid w:val="002C2E7C"/>
    <w:rsid w:val="002C2EFA"/>
    <w:rsid w:val="002C30A5"/>
    <w:rsid w:val="002C30DB"/>
    <w:rsid w:val="002C30FD"/>
    <w:rsid w:val="002C3293"/>
    <w:rsid w:val="002C341A"/>
    <w:rsid w:val="002C358E"/>
    <w:rsid w:val="002C3628"/>
    <w:rsid w:val="002C36AC"/>
    <w:rsid w:val="002C377B"/>
    <w:rsid w:val="002C3819"/>
    <w:rsid w:val="002C3AD5"/>
    <w:rsid w:val="002C3B1D"/>
    <w:rsid w:val="002C3D52"/>
    <w:rsid w:val="002C3D57"/>
    <w:rsid w:val="002C3DAC"/>
    <w:rsid w:val="002C3FB7"/>
    <w:rsid w:val="002C40B6"/>
    <w:rsid w:val="002C4174"/>
    <w:rsid w:val="002C4229"/>
    <w:rsid w:val="002C423A"/>
    <w:rsid w:val="002C45D1"/>
    <w:rsid w:val="002C49DB"/>
    <w:rsid w:val="002C4C4A"/>
    <w:rsid w:val="002C4C5E"/>
    <w:rsid w:val="002C4C91"/>
    <w:rsid w:val="002C4F54"/>
    <w:rsid w:val="002C4FFA"/>
    <w:rsid w:val="002C5126"/>
    <w:rsid w:val="002C5138"/>
    <w:rsid w:val="002C5261"/>
    <w:rsid w:val="002C52AA"/>
    <w:rsid w:val="002C52D6"/>
    <w:rsid w:val="002C52F5"/>
    <w:rsid w:val="002C538A"/>
    <w:rsid w:val="002C5468"/>
    <w:rsid w:val="002C556C"/>
    <w:rsid w:val="002C5654"/>
    <w:rsid w:val="002C5679"/>
    <w:rsid w:val="002C5799"/>
    <w:rsid w:val="002C5808"/>
    <w:rsid w:val="002C5823"/>
    <w:rsid w:val="002C59A1"/>
    <w:rsid w:val="002C5B27"/>
    <w:rsid w:val="002C5F3B"/>
    <w:rsid w:val="002C5F4A"/>
    <w:rsid w:val="002C6083"/>
    <w:rsid w:val="002C6113"/>
    <w:rsid w:val="002C63F8"/>
    <w:rsid w:val="002C64B6"/>
    <w:rsid w:val="002C6575"/>
    <w:rsid w:val="002C65A8"/>
    <w:rsid w:val="002C6A2E"/>
    <w:rsid w:val="002C6A92"/>
    <w:rsid w:val="002C6C3C"/>
    <w:rsid w:val="002C6C67"/>
    <w:rsid w:val="002C6CC9"/>
    <w:rsid w:val="002C73C7"/>
    <w:rsid w:val="002C740C"/>
    <w:rsid w:val="002C751A"/>
    <w:rsid w:val="002C7649"/>
    <w:rsid w:val="002C78AD"/>
    <w:rsid w:val="002C7908"/>
    <w:rsid w:val="002C7A16"/>
    <w:rsid w:val="002C7A36"/>
    <w:rsid w:val="002C7B2B"/>
    <w:rsid w:val="002C7BAC"/>
    <w:rsid w:val="002C7CE4"/>
    <w:rsid w:val="002C7DBB"/>
    <w:rsid w:val="002C7F68"/>
    <w:rsid w:val="002C7F9D"/>
    <w:rsid w:val="002D0007"/>
    <w:rsid w:val="002D00D9"/>
    <w:rsid w:val="002D0125"/>
    <w:rsid w:val="002D049E"/>
    <w:rsid w:val="002D0508"/>
    <w:rsid w:val="002D0600"/>
    <w:rsid w:val="002D060F"/>
    <w:rsid w:val="002D077C"/>
    <w:rsid w:val="002D09D9"/>
    <w:rsid w:val="002D0A3C"/>
    <w:rsid w:val="002D0A49"/>
    <w:rsid w:val="002D0E62"/>
    <w:rsid w:val="002D0E9E"/>
    <w:rsid w:val="002D0EEA"/>
    <w:rsid w:val="002D1013"/>
    <w:rsid w:val="002D1021"/>
    <w:rsid w:val="002D103E"/>
    <w:rsid w:val="002D11B0"/>
    <w:rsid w:val="002D130B"/>
    <w:rsid w:val="002D1470"/>
    <w:rsid w:val="002D1756"/>
    <w:rsid w:val="002D1889"/>
    <w:rsid w:val="002D1A69"/>
    <w:rsid w:val="002D1D36"/>
    <w:rsid w:val="002D1DCF"/>
    <w:rsid w:val="002D1DDF"/>
    <w:rsid w:val="002D1E7E"/>
    <w:rsid w:val="002D1E85"/>
    <w:rsid w:val="002D1E86"/>
    <w:rsid w:val="002D200E"/>
    <w:rsid w:val="002D2035"/>
    <w:rsid w:val="002D2091"/>
    <w:rsid w:val="002D2092"/>
    <w:rsid w:val="002D2288"/>
    <w:rsid w:val="002D24A2"/>
    <w:rsid w:val="002D2656"/>
    <w:rsid w:val="002D278A"/>
    <w:rsid w:val="002D27A3"/>
    <w:rsid w:val="002D27A9"/>
    <w:rsid w:val="002D27B7"/>
    <w:rsid w:val="002D27F8"/>
    <w:rsid w:val="002D27FA"/>
    <w:rsid w:val="002D2839"/>
    <w:rsid w:val="002D2C55"/>
    <w:rsid w:val="002D2CEB"/>
    <w:rsid w:val="002D2FFD"/>
    <w:rsid w:val="002D3004"/>
    <w:rsid w:val="002D3108"/>
    <w:rsid w:val="002D3269"/>
    <w:rsid w:val="002D3398"/>
    <w:rsid w:val="002D33FB"/>
    <w:rsid w:val="002D3576"/>
    <w:rsid w:val="002D3583"/>
    <w:rsid w:val="002D38D8"/>
    <w:rsid w:val="002D395E"/>
    <w:rsid w:val="002D3A6A"/>
    <w:rsid w:val="002D3AE0"/>
    <w:rsid w:val="002D3C69"/>
    <w:rsid w:val="002D3D4D"/>
    <w:rsid w:val="002D3DFC"/>
    <w:rsid w:val="002D3E4A"/>
    <w:rsid w:val="002D4056"/>
    <w:rsid w:val="002D412A"/>
    <w:rsid w:val="002D4243"/>
    <w:rsid w:val="002D443A"/>
    <w:rsid w:val="002D44FB"/>
    <w:rsid w:val="002D450C"/>
    <w:rsid w:val="002D4571"/>
    <w:rsid w:val="002D46EA"/>
    <w:rsid w:val="002D4887"/>
    <w:rsid w:val="002D48D6"/>
    <w:rsid w:val="002D48FB"/>
    <w:rsid w:val="002D49FA"/>
    <w:rsid w:val="002D4B1A"/>
    <w:rsid w:val="002D4DA9"/>
    <w:rsid w:val="002D4DCA"/>
    <w:rsid w:val="002D4E6B"/>
    <w:rsid w:val="002D4EFE"/>
    <w:rsid w:val="002D4F7B"/>
    <w:rsid w:val="002D4FB3"/>
    <w:rsid w:val="002D5105"/>
    <w:rsid w:val="002D5136"/>
    <w:rsid w:val="002D5235"/>
    <w:rsid w:val="002D5295"/>
    <w:rsid w:val="002D52CA"/>
    <w:rsid w:val="002D53AF"/>
    <w:rsid w:val="002D55F4"/>
    <w:rsid w:val="002D5752"/>
    <w:rsid w:val="002D595A"/>
    <w:rsid w:val="002D5B58"/>
    <w:rsid w:val="002D5BB8"/>
    <w:rsid w:val="002D5C66"/>
    <w:rsid w:val="002D5D52"/>
    <w:rsid w:val="002D5F6D"/>
    <w:rsid w:val="002D602E"/>
    <w:rsid w:val="002D60AD"/>
    <w:rsid w:val="002D6341"/>
    <w:rsid w:val="002D6363"/>
    <w:rsid w:val="002D6379"/>
    <w:rsid w:val="002D6609"/>
    <w:rsid w:val="002D6738"/>
    <w:rsid w:val="002D67AD"/>
    <w:rsid w:val="002D67BD"/>
    <w:rsid w:val="002D6887"/>
    <w:rsid w:val="002D6B23"/>
    <w:rsid w:val="002D6D67"/>
    <w:rsid w:val="002D6E00"/>
    <w:rsid w:val="002D6E53"/>
    <w:rsid w:val="002D715D"/>
    <w:rsid w:val="002D7282"/>
    <w:rsid w:val="002D7602"/>
    <w:rsid w:val="002D7710"/>
    <w:rsid w:val="002D778C"/>
    <w:rsid w:val="002D783E"/>
    <w:rsid w:val="002D7D04"/>
    <w:rsid w:val="002D7D7D"/>
    <w:rsid w:val="002D7DA5"/>
    <w:rsid w:val="002D7F2D"/>
    <w:rsid w:val="002E00F2"/>
    <w:rsid w:val="002E0124"/>
    <w:rsid w:val="002E012D"/>
    <w:rsid w:val="002E0228"/>
    <w:rsid w:val="002E026A"/>
    <w:rsid w:val="002E04C2"/>
    <w:rsid w:val="002E05AE"/>
    <w:rsid w:val="002E07E9"/>
    <w:rsid w:val="002E08C8"/>
    <w:rsid w:val="002E09CE"/>
    <w:rsid w:val="002E0AB9"/>
    <w:rsid w:val="002E0BA1"/>
    <w:rsid w:val="002E0D67"/>
    <w:rsid w:val="002E0F77"/>
    <w:rsid w:val="002E0FDB"/>
    <w:rsid w:val="002E114D"/>
    <w:rsid w:val="002E1247"/>
    <w:rsid w:val="002E12BC"/>
    <w:rsid w:val="002E12F8"/>
    <w:rsid w:val="002E1401"/>
    <w:rsid w:val="002E147B"/>
    <w:rsid w:val="002E14BA"/>
    <w:rsid w:val="002E1581"/>
    <w:rsid w:val="002E18D1"/>
    <w:rsid w:val="002E1933"/>
    <w:rsid w:val="002E19A1"/>
    <w:rsid w:val="002E19F4"/>
    <w:rsid w:val="002E1B6C"/>
    <w:rsid w:val="002E1BB7"/>
    <w:rsid w:val="002E1D7E"/>
    <w:rsid w:val="002E1F98"/>
    <w:rsid w:val="002E202B"/>
    <w:rsid w:val="002E20F1"/>
    <w:rsid w:val="002E20FF"/>
    <w:rsid w:val="002E21AF"/>
    <w:rsid w:val="002E21B0"/>
    <w:rsid w:val="002E22CE"/>
    <w:rsid w:val="002E259E"/>
    <w:rsid w:val="002E27F2"/>
    <w:rsid w:val="002E281C"/>
    <w:rsid w:val="002E289E"/>
    <w:rsid w:val="002E292F"/>
    <w:rsid w:val="002E2AC2"/>
    <w:rsid w:val="002E2C22"/>
    <w:rsid w:val="002E2CB9"/>
    <w:rsid w:val="002E2D06"/>
    <w:rsid w:val="002E2DC0"/>
    <w:rsid w:val="002E2EE0"/>
    <w:rsid w:val="002E2EE3"/>
    <w:rsid w:val="002E2FFC"/>
    <w:rsid w:val="002E31C0"/>
    <w:rsid w:val="002E335D"/>
    <w:rsid w:val="002E349F"/>
    <w:rsid w:val="002E36D5"/>
    <w:rsid w:val="002E37CE"/>
    <w:rsid w:val="002E3A18"/>
    <w:rsid w:val="002E3ADD"/>
    <w:rsid w:val="002E3D60"/>
    <w:rsid w:val="002E3D64"/>
    <w:rsid w:val="002E3DEA"/>
    <w:rsid w:val="002E3EDE"/>
    <w:rsid w:val="002E4169"/>
    <w:rsid w:val="002E4481"/>
    <w:rsid w:val="002E44CB"/>
    <w:rsid w:val="002E4532"/>
    <w:rsid w:val="002E45E7"/>
    <w:rsid w:val="002E47A6"/>
    <w:rsid w:val="002E47D2"/>
    <w:rsid w:val="002E4880"/>
    <w:rsid w:val="002E494E"/>
    <w:rsid w:val="002E497D"/>
    <w:rsid w:val="002E4990"/>
    <w:rsid w:val="002E4A88"/>
    <w:rsid w:val="002E4B28"/>
    <w:rsid w:val="002E4BAF"/>
    <w:rsid w:val="002E4C28"/>
    <w:rsid w:val="002E4D74"/>
    <w:rsid w:val="002E4DA9"/>
    <w:rsid w:val="002E4DF7"/>
    <w:rsid w:val="002E4FD9"/>
    <w:rsid w:val="002E508C"/>
    <w:rsid w:val="002E5150"/>
    <w:rsid w:val="002E5428"/>
    <w:rsid w:val="002E552A"/>
    <w:rsid w:val="002E5566"/>
    <w:rsid w:val="002E5700"/>
    <w:rsid w:val="002E58DE"/>
    <w:rsid w:val="002E595A"/>
    <w:rsid w:val="002E5996"/>
    <w:rsid w:val="002E5BD6"/>
    <w:rsid w:val="002E5D46"/>
    <w:rsid w:val="002E5D96"/>
    <w:rsid w:val="002E5E24"/>
    <w:rsid w:val="002E5E5D"/>
    <w:rsid w:val="002E5E81"/>
    <w:rsid w:val="002E5F12"/>
    <w:rsid w:val="002E5F2E"/>
    <w:rsid w:val="002E6239"/>
    <w:rsid w:val="002E62D7"/>
    <w:rsid w:val="002E64EE"/>
    <w:rsid w:val="002E65E3"/>
    <w:rsid w:val="002E6686"/>
    <w:rsid w:val="002E6886"/>
    <w:rsid w:val="002E6A9A"/>
    <w:rsid w:val="002E6B29"/>
    <w:rsid w:val="002E6DE4"/>
    <w:rsid w:val="002E6E25"/>
    <w:rsid w:val="002E6E99"/>
    <w:rsid w:val="002E6EEF"/>
    <w:rsid w:val="002E709D"/>
    <w:rsid w:val="002E72AB"/>
    <w:rsid w:val="002E72F8"/>
    <w:rsid w:val="002E7308"/>
    <w:rsid w:val="002E75F9"/>
    <w:rsid w:val="002E76E7"/>
    <w:rsid w:val="002E77DE"/>
    <w:rsid w:val="002E7810"/>
    <w:rsid w:val="002E7941"/>
    <w:rsid w:val="002E796C"/>
    <w:rsid w:val="002E7986"/>
    <w:rsid w:val="002E7C6B"/>
    <w:rsid w:val="002E7CB4"/>
    <w:rsid w:val="002F003E"/>
    <w:rsid w:val="002F0058"/>
    <w:rsid w:val="002F0138"/>
    <w:rsid w:val="002F048A"/>
    <w:rsid w:val="002F04AC"/>
    <w:rsid w:val="002F04D2"/>
    <w:rsid w:val="002F05BA"/>
    <w:rsid w:val="002F073B"/>
    <w:rsid w:val="002F08EF"/>
    <w:rsid w:val="002F09D0"/>
    <w:rsid w:val="002F0A9F"/>
    <w:rsid w:val="002F0B31"/>
    <w:rsid w:val="002F0B35"/>
    <w:rsid w:val="002F0BB9"/>
    <w:rsid w:val="002F0C74"/>
    <w:rsid w:val="002F0D7A"/>
    <w:rsid w:val="002F0F3F"/>
    <w:rsid w:val="002F0F78"/>
    <w:rsid w:val="002F10D4"/>
    <w:rsid w:val="002F1170"/>
    <w:rsid w:val="002F11D7"/>
    <w:rsid w:val="002F1229"/>
    <w:rsid w:val="002F13BF"/>
    <w:rsid w:val="002F1418"/>
    <w:rsid w:val="002F1665"/>
    <w:rsid w:val="002F17E0"/>
    <w:rsid w:val="002F1938"/>
    <w:rsid w:val="002F1A5F"/>
    <w:rsid w:val="002F1B63"/>
    <w:rsid w:val="002F1B64"/>
    <w:rsid w:val="002F1B82"/>
    <w:rsid w:val="002F1BEE"/>
    <w:rsid w:val="002F1C82"/>
    <w:rsid w:val="002F1E73"/>
    <w:rsid w:val="002F20D0"/>
    <w:rsid w:val="002F2346"/>
    <w:rsid w:val="002F260E"/>
    <w:rsid w:val="002F2674"/>
    <w:rsid w:val="002F271B"/>
    <w:rsid w:val="002F271E"/>
    <w:rsid w:val="002F27BF"/>
    <w:rsid w:val="002F286F"/>
    <w:rsid w:val="002F290D"/>
    <w:rsid w:val="002F2AED"/>
    <w:rsid w:val="002F2BB8"/>
    <w:rsid w:val="002F2C81"/>
    <w:rsid w:val="002F2E53"/>
    <w:rsid w:val="002F2F1E"/>
    <w:rsid w:val="002F31D0"/>
    <w:rsid w:val="002F3211"/>
    <w:rsid w:val="002F326D"/>
    <w:rsid w:val="002F3366"/>
    <w:rsid w:val="002F3425"/>
    <w:rsid w:val="002F3524"/>
    <w:rsid w:val="002F3540"/>
    <w:rsid w:val="002F3566"/>
    <w:rsid w:val="002F35C9"/>
    <w:rsid w:val="002F35DD"/>
    <w:rsid w:val="002F3615"/>
    <w:rsid w:val="002F3766"/>
    <w:rsid w:val="002F37BD"/>
    <w:rsid w:val="002F386B"/>
    <w:rsid w:val="002F3AB5"/>
    <w:rsid w:val="002F3B4E"/>
    <w:rsid w:val="002F3B94"/>
    <w:rsid w:val="002F3CA3"/>
    <w:rsid w:val="002F3F39"/>
    <w:rsid w:val="002F3FF1"/>
    <w:rsid w:val="002F3FFD"/>
    <w:rsid w:val="002F4177"/>
    <w:rsid w:val="002F41FE"/>
    <w:rsid w:val="002F4260"/>
    <w:rsid w:val="002F4277"/>
    <w:rsid w:val="002F429C"/>
    <w:rsid w:val="002F4390"/>
    <w:rsid w:val="002F4509"/>
    <w:rsid w:val="002F4630"/>
    <w:rsid w:val="002F46ED"/>
    <w:rsid w:val="002F474B"/>
    <w:rsid w:val="002F4806"/>
    <w:rsid w:val="002F4A0C"/>
    <w:rsid w:val="002F4A42"/>
    <w:rsid w:val="002F4D2C"/>
    <w:rsid w:val="002F4D7D"/>
    <w:rsid w:val="002F4DCC"/>
    <w:rsid w:val="002F4FB2"/>
    <w:rsid w:val="002F5082"/>
    <w:rsid w:val="002F5092"/>
    <w:rsid w:val="002F51E3"/>
    <w:rsid w:val="002F5586"/>
    <w:rsid w:val="002F5789"/>
    <w:rsid w:val="002F579D"/>
    <w:rsid w:val="002F59A7"/>
    <w:rsid w:val="002F5BFB"/>
    <w:rsid w:val="002F5C52"/>
    <w:rsid w:val="002F5C67"/>
    <w:rsid w:val="002F5EC8"/>
    <w:rsid w:val="002F5F1E"/>
    <w:rsid w:val="002F6006"/>
    <w:rsid w:val="002F6023"/>
    <w:rsid w:val="002F614B"/>
    <w:rsid w:val="002F62CE"/>
    <w:rsid w:val="002F6378"/>
    <w:rsid w:val="002F6538"/>
    <w:rsid w:val="002F65E9"/>
    <w:rsid w:val="002F674C"/>
    <w:rsid w:val="002F68F6"/>
    <w:rsid w:val="002F69AB"/>
    <w:rsid w:val="002F6BEA"/>
    <w:rsid w:val="002F6C7E"/>
    <w:rsid w:val="002F6C96"/>
    <w:rsid w:val="002F6D06"/>
    <w:rsid w:val="002F6DFA"/>
    <w:rsid w:val="002F70D5"/>
    <w:rsid w:val="002F7166"/>
    <w:rsid w:val="002F716A"/>
    <w:rsid w:val="002F7198"/>
    <w:rsid w:val="002F7236"/>
    <w:rsid w:val="002F748E"/>
    <w:rsid w:val="002F74EA"/>
    <w:rsid w:val="002F75B1"/>
    <w:rsid w:val="002F77A0"/>
    <w:rsid w:val="002F7825"/>
    <w:rsid w:val="002F7896"/>
    <w:rsid w:val="002F790F"/>
    <w:rsid w:val="002F7A0B"/>
    <w:rsid w:val="002F7A9F"/>
    <w:rsid w:val="002F7ACB"/>
    <w:rsid w:val="002F7DAD"/>
    <w:rsid w:val="002F7DCB"/>
    <w:rsid w:val="002F7F89"/>
    <w:rsid w:val="002F7F9E"/>
    <w:rsid w:val="003000E7"/>
    <w:rsid w:val="00300355"/>
    <w:rsid w:val="00300453"/>
    <w:rsid w:val="0030045D"/>
    <w:rsid w:val="00300567"/>
    <w:rsid w:val="00300569"/>
    <w:rsid w:val="003006E6"/>
    <w:rsid w:val="00300746"/>
    <w:rsid w:val="00300A79"/>
    <w:rsid w:val="00300B59"/>
    <w:rsid w:val="00301232"/>
    <w:rsid w:val="003012AB"/>
    <w:rsid w:val="003013B0"/>
    <w:rsid w:val="003014B4"/>
    <w:rsid w:val="0030152E"/>
    <w:rsid w:val="00301725"/>
    <w:rsid w:val="00301778"/>
    <w:rsid w:val="003018D8"/>
    <w:rsid w:val="0030194C"/>
    <w:rsid w:val="00301B57"/>
    <w:rsid w:val="00301B7A"/>
    <w:rsid w:val="00302019"/>
    <w:rsid w:val="00302043"/>
    <w:rsid w:val="00302061"/>
    <w:rsid w:val="0030208D"/>
    <w:rsid w:val="0030223D"/>
    <w:rsid w:val="00302302"/>
    <w:rsid w:val="003024B8"/>
    <w:rsid w:val="00302549"/>
    <w:rsid w:val="0030262B"/>
    <w:rsid w:val="00302671"/>
    <w:rsid w:val="003026B5"/>
    <w:rsid w:val="00302844"/>
    <w:rsid w:val="003029B3"/>
    <w:rsid w:val="00302B44"/>
    <w:rsid w:val="00302B89"/>
    <w:rsid w:val="00302BBE"/>
    <w:rsid w:val="00302BCD"/>
    <w:rsid w:val="00302C62"/>
    <w:rsid w:val="00302F91"/>
    <w:rsid w:val="00303023"/>
    <w:rsid w:val="0030322C"/>
    <w:rsid w:val="00303239"/>
    <w:rsid w:val="00303280"/>
    <w:rsid w:val="00303284"/>
    <w:rsid w:val="003033B3"/>
    <w:rsid w:val="0030349F"/>
    <w:rsid w:val="00303590"/>
    <w:rsid w:val="003035DD"/>
    <w:rsid w:val="00303606"/>
    <w:rsid w:val="003036CF"/>
    <w:rsid w:val="00303718"/>
    <w:rsid w:val="003037AE"/>
    <w:rsid w:val="00303950"/>
    <w:rsid w:val="00303A00"/>
    <w:rsid w:val="00303C0B"/>
    <w:rsid w:val="00303E30"/>
    <w:rsid w:val="00303EC4"/>
    <w:rsid w:val="00303FDC"/>
    <w:rsid w:val="00304017"/>
    <w:rsid w:val="0030411E"/>
    <w:rsid w:val="00304277"/>
    <w:rsid w:val="00304562"/>
    <w:rsid w:val="003045F2"/>
    <w:rsid w:val="00304702"/>
    <w:rsid w:val="003047C4"/>
    <w:rsid w:val="00304935"/>
    <w:rsid w:val="00304C00"/>
    <w:rsid w:val="003050C5"/>
    <w:rsid w:val="003053A4"/>
    <w:rsid w:val="00305444"/>
    <w:rsid w:val="003058BE"/>
    <w:rsid w:val="00305B8F"/>
    <w:rsid w:val="00305C76"/>
    <w:rsid w:val="00305CED"/>
    <w:rsid w:val="00305D10"/>
    <w:rsid w:val="00305D39"/>
    <w:rsid w:val="00305F63"/>
    <w:rsid w:val="00305FB7"/>
    <w:rsid w:val="00306081"/>
    <w:rsid w:val="003060F8"/>
    <w:rsid w:val="0030623B"/>
    <w:rsid w:val="00306271"/>
    <w:rsid w:val="003063ED"/>
    <w:rsid w:val="0030642A"/>
    <w:rsid w:val="003066E7"/>
    <w:rsid w:val="0030676F"/>
    <w:rsid w:val="00306774"/>
    <w:rsid w:val="00306868"/>
    <w:rsid w:val="00306880"/>
    <w:rsid w:val="003068EC"/>
    <w:rsid w:val="00306AB1"/>
    <w:rsid w:val="00306B78"/>
    <w:rsid w:val="00306BB3"/>
    <w:rsid w:val="00306C09"/>
    <w:rsid w:val="00306C7D"/>
    <w:rsid w:val="00306CB9"/>
    <w:rsid w:val="00306DEF"/>
    <w:rsid w:val="00306F4B"/>
    <w:rsid w:val="0030736C"/>
    <w:rsid w:val="0030751A"/>
    <w:rsid w:val="00307641"/>
    <w:rsid w:val="00307851"/>
    <w:rsid w:val="00307897"/>
    <w:rsid w:val="00307921"/>
    <w:rsid w:val="00307A8C"/>
    <w:rsid w:val="00307AAD"/>
    <w:rsid w:val="00307B98"/>
    <w:rsid w:val="00307D73"/>
    <w:rsid w:val="00307DD6"/>
    <w:rsid w:val="00307F47"/>
    <w:rsid w:val="00310082"/>
    <w:rsid w:val="003102C1"/>
    <w:rsid w:val="00310350"/>
    <w:rsid w:val="0031036E"/>
    <w:rsid w:val="0031037A"/>
    <w:rsid w:val="00310569"/>
    <w:rsid w:val="003105B0"/>
    <w:rsid w:val="00310821"/>
    <w:rsid w:val="00310A0B"/>
    <w:rsid w:val="00310A2E"/>
    <w:rsid w:val="00310A7E"/>
    <w:rsid w:val="00310C1C"/>
    <w:rsid w:val="00310C4F"/>
    <w:rsid w:val="00310E62"/>
    <w:rsid w:val="0031112F"/>
    <w:rsid w:val="00311467"/>
    <w:rsid w:val="00311532"/>
    <w:rsid w:val="00311602"/>
    <w:rsid w:val="00311772"/>
    <w:rsid w:val="003119BF"/>
    <w:rsid w:val="00311A3B"/>
    <w:rsid w:val="00311C01"/>
    <w:rsid w:val="00311C9D"/>
    <w:rsid w:val="00311D12"/>
    <w:rsid w:val="00311D7C"/>
    <w:rsid w:val="00311E42"/>
    <w:rsid w:val="00311FCD"/>
    <w:rsid w:val="00312017"/>
    <w:rsid w:val="0031203D"/>
    <w:rsid w:val="00312179"/>
    <w:rsid w:val="003121EF"/>
    <w:rsid w:val="00312285"/>
    <w:rsid w:val="00312304"/>
    <w:rsid w:val="0031235F"/>
    <w:rsid w:val="003123A6"/>
    <w:rsid w:val="003125D3"/>
    <w:rsid w:val="00312698"/>
    <w:rsid w:val="003129A6"/>
    <w:rsid w:val="003129FD"/>
    <w:rsid w:val="00312BD7"/>
    <w:rsid w:val="00312CD3"/>
    <w:rsid w:val="00312FED"/>
    <w:rsid w:val="00313042"/>
    <w:rsid w:val="0031317C"/>
    <w:rsid w:val="003132A3"/>
    <w:rsid w:val="003132E2"/>
    <w:rsid w:val="0031330B"/>
    <w:rsid w:val="003134ED"/>
    <w:rsid w:val="00313563"/>
    <w:rsid w:val="00313817"/>
    <w:rsid w:val="00313904"/>
    <w:rsid w:val="00313922"/>
    <w:rsid w:val="003139F3"/>
    <w:rsid w:val="00313A5F"/>
    <w:rsid w:val="00313A67"/>
    <w:rsid w:val="00313A68"/>
    <w:rsid w:val="00313BED"/>
    <w:rsid w:val="00313DC3"/>
    <w:rsid w:val="00313DF8"/>
    <w:rsid w:val="00313EF1"/>
    <w:rsid w:val="00313F21"/>
    <w:rsid w:val="00313F22"/>
    <w:rsid w:val="00313F66"/>
    <w:rsid w:val="003140B9"/>
    <w:rsid w:val="0031415D"/>
    <w:rsid w:val="003142CF"/>
    <w:rsid w:val="003143D9"/>
    <w:rsid w:val="003143FB"/>
    <w:rsid w:val="0031443F"/>
    <w:rsid w:val="0031450C"/>
    <w:rsid w:val="00314566"/>
    <w:rsid w:val="0031468E"/>
    <w:rsid w:val="0031468F"/>
    <w:rsid w:val="00314720"/>
    <w:rsid w:val="003148FA"/>
    <w:rsid w:val="003149C9"/>
    <w:rsid w:val="00314B8A"/>
    <w:rsid w:val="00314BE6"/>
    <w:rsid w:val="00314CCB"/>
    <w:rsid w:val="00314DBB"/>
    <w:rsid w:val="00314F4D"/>
    <w:rsid w:val="00314F5A"/>
    <w:rsid w:val="00315058"/>
    <w:rsid w:val="0031511B"/>
    <w:rsid w:val="00315194"/>
    <w:rsid w:val="003151A7"/>
    <w:rsid w:val="00315298"/>
    <w:rsid w:val="003152B7"/>
    <w:rsid w:val="00315366"/>
    <w:rsid w:val="0031546A"/>
    <w:rsid w:val="00315657"/>
    <w:rsid w:val="003156BA"/>
    <w:rsid w:val="003157F8"/>
    <w:rsid w:val="00315845"/>
    <w:rsid w:val="00315895"/>
    <w:rsid w:val="00315ABA"/>
    <w:rsid w:val="00315AE7"/>
    <w:rsid w:val="00315C1F"/>
    <w:rsid w:val="00315FAA"/>
    <w:rsid w:val="00316224"/>
    <w:rsid w:val="0031649B"/>
    <w:rsid w:val="00316593"/>
    <w:rsid w:val="003165B0"/>
    <w:rsid w:val="003166BA"/>
    <w:rsid w:val="0031671F"/>
    <w:rsid w:val="00316745"/>
    <w:rsid w:val="0031675E"/>
    <w:rsid w:val="003168A0"/>
    <w:rsid w:val="003168E1"/>
    <w:rsid w:val="0031690F"/>
    <w:rsid w:val="00316A86"/>
    <w:rsid w:val="00316C2A"/>
    <w:rsid w:val="00316C67"/>
    <w:rsid w:val="0031717F"/>
    <w:rsid w:val="0031721C"/>
    <w:rsid w:val="003172B0"/>
    <w:rsid w:val="003172E2"/>
    <w:rsid w:val="003175E7"/>
    <w:rsid w:val="00317669"/>
    <w:rsid w:val="00317732"/>
    <w:rsid w:val="00317734"/>
    <w:rsid w:val="00317978"/>
    <w:rsid w:val="0031799B"/>
    <w:rsid w:val="00317BAA"/>
    <w:rsid w:val="00317C16"/>
    <w:rsid w:val="00317C4A"/>
    <w:rsid w:val="00317CA9"/>
    <w:rsid w:val="00317CE3"/>
    <w:rsid w:val="00317D7E"/>
    <w:rsid w:val="00320105"/>
    <w:rsid w:val="00320122"/>
    <w:rsid w:val="0032014F"/>
    <w:rsid w:val="003203A6"/>
    <w:rsid w:val="0032041E"/>
    <w:rsid w:val="003204EE"/>
    <w:rsid w:val="003205E6"/>
    <w:rsid w:val="003207C3"/>
    <w:rsid w:val="00320811"/>
    <w:rsid w:val="003208FF"/>
    <w:rsid w:val="00320B1D"/>
    <w:rsid w:val="00320D14"/>
    <w:rsid w:val="0032126A"/>
    <w:rsid w:val="003212B9"/>
    <w:rsid w:val="003215B0"/>
    <w:rsid w:val="00321616"/>
    <w:rsid w:val="00321781"/>
    <w:rsid w:val="003218CF"/>
    <w:rsid w:val="00321A26"/>
    <w:rsid w:val="00321C5A"/>
    <w:rsid w:val="00321CD3"/>
    <w:rsid w:val="00321E72"/>
    <w:rsid w:val="0032202D"/>
    <w:rsid w:val="00322074"/>
    <w:rsid w:val="003220D3"/>
    <w:rsid w:val="003222DF"/>
    <w:rsid w:val="003223C5"/>
    <w:rsid w:val="003224D3"/>
    <w:rsid w:val="00322616"/>
    <w:rsid w:val="0032263D"/>
    <w:rsid w:val="00322896"/>
    <w:rsid w:val="003228D8"/>
    <w:rsid w:val="003228DC"/>
    <w:rsid w:val="0032294A"/>
    <w:rsid w:val="003229C6"/>
    <w:rsid w:val="00322A84"/>
    <w:rsid w:val="00322BE8"/>
    <w:rsid w:val="00322CCF"/>
    <w:rsid w:val="00323017"/>
    <w:rsid w:val="00323068"/>
    <w:rsid w:val="003231CA"/>
    <w:rsid w:val="0032320A"/>
    <w:rsid w:val="00323305"/>
    <w:rsid w:val="0032343B"/>
    <w:rsid w:val="0032345F"/>
    <w:rsid w:val="003237BA"/>
    <w:rsid w:val="00323869"/>
    <w:rsid w:val="00323873"/>
    <w:rsid w:val="00323AE9"/>
    <w:rsid w:val="00323CF8"/>
    <w:rsid w:val="00323D4E"/>
    <w:rsid w:val="00323DEF"/>
    <w:rsid w:val="00323E51"/>
    <w:rsid w:val="0032404F"/>
    <w:rsid w:val="00324077"/>
    <w:rsid w:val="0032461D"/>
    <w:rsid w:val="00324747"/>
    <w:rsid w:val="00324896"/>
    <w:rsid w:val="003248B9"/>
    <w:rsid w:val="003248E7"/>
    <w:rsid w:val="00324981"/>
    <w:rsid w:val="003249F4"/>
    <w:rsid w:val="00324AD0"/>
    <w:rsid w:val="00324BCC"/>
    <w:rsid w:val="00324C12"/>
    <w:rsid w:val="00324C6C"/>
    <w:rsid w:val="00324C9D"/>
    <w:rsid w:val="003250B5"/>
    <w:rsid w:val="0032548C"/>
    <w:rsid w:val="003254D2"/>
    <w:rsid w:val="00325625"/>
    <w:rsid w:val="0032564E"/>
    <w:rsid w:val="00325733"/>
    <w:rsid w:val="00325841"/>
    <w:rsid w:val="00325AAA"/>
    <w:rsid w:val="00325B93"/>
    <w:rsid w:val="00325B9C"/>
    <w:rsid w:val="00325BAD"/>
    <w:rsid w:val="00326070"/>
    <w:rsid w:val="00326178"/>
    <w:rsid w:val="003261B2"/>
    <w:rsid w:val="00326244"/>
    <w:rsid w:val="003262C7"/>
    <w:rsid w:val="00326826"/>
    <w:rsid w:val="0032691F"/>
    <w:rsid w:val="00326A96"/>
    <w:rsid w:val="00326AD6"/>
    <w:rsid w:val="00326B54"/>
    <w:rsid w:val="00326C95"/>
    <w:rsid w:val="00326CF5"/>
    <w:rsid w:val="00326D41"/>
    <w:rsid w:val="00326D44"/>
    <w:rsid w:val="00326E46"/>
    <w:rsid w:val="00326EE0"/>
    <w:rsid w:val="00326F65"/>
    <w:rsid w:val="00326F74"/>
    <w:rsid w:val="00326FA7"/>
    <w:rsid w:val="003270EB"/>
    <w:rsid w:val="00327105"/>
    <w:rsid w:val="0032717F"/>
    <w:rsid w:val="003271B5"/>
    <w:rsid w:val="003271E9"/>
    <w:rsid w:val="0032721D"/>
    <w:rsid w:val="00327383"/>
    <w:rsid w:val="00327457"/>
    <w:rsid w:val="0032751F"/>
    <w:rsid w:val="00327537"/>
    <w:rsid w:val="00327590"/>
    <w:rsid w:val="003275C5"/>
    <w:rsid w:val="00327606"/>
    <w:rsid w:val="00327936"/>
    <w:rsid w:val="0032799B"/>
    <w:rsid w:val="003279BC"/>
    <w:rsid w:val="00327C29"/>
    <w:rsid w:val="00327CFF"/>
    <w:rsid w:val="00327D16"/>
    <w:rsid w:val="00327EC4"/>
    <w:rsid w:val="00327FCB"/>
    <w:rsid w:val="00327FE5"/>
    <w:rsid w:val="00330509"/>
    <w:rsid w:val="00330589"/>
    <w:rsid w:val="003306FB"/>
    <w:rsid w:val="0033075F"/>
    <w:rsid w:val="00330971"/>
    <w:rsid w:val="003309F4"/>
    <w:rsid w:val="00330A55"/>
    <w:rsid w:val="00330A7F"/>
    <w:rsid w:val="00330AD0"/>
    <w:rsid w:val="00330DA8"/>
    <w:rsid w:val="00330DEC"/>
    <w:rsid w:val="003310B6"/>
    <w:rsid w:val="0033117D"/>
    <w:rsid w:val="00331324"/>
    <w:rsid w:val="0033138B"/>
    <w:rsid w:val="0033163E"/>
    <w:rsid w:val="0033165D"/>
    <w:rsid w:val="003316BD"/>
    <w:rsid w:val="003316D4"/>
    <w:rsid w:val="0033173D"/>
    <w:rsid w:val="003317FD"/>
    <w:rsid w:val="003318EF"/>
    <w:rsid w:val="003319A8"/>
    <w:rsid w:val="00331B1A"/>
    <w:rsid w:val="00331BF7"/>
    <w:rsid w:val="00331D4D"/>
    <w:rsid w:val="00331D60"/>
    <w:rsid w:val="00331EB9"/>
    <w:rsid w:val="00331FAA"/>
    <w:rsid w:val="00331FBC"/>
    <w:rsid w:val="00332046"/>
    <w:rsid w:val="003320DF"/>
    <w:rsid w:val="00332301"/>
    <w:rsid w:val="00332480"/>
    <w:rsid w:val="0033267D"/>
    <w:rsid w:val="003326C0"/>
    <w:rsid w:val="003327A5"/>
    <w:rsid w:val="00332B39"/>
    <w:rsid w:val="00332B93"/>
    <w:rsid w:val="00332BD2"/>
    <w:rsid w:val="00332E9C"/>
    <w:rsid w:val="00332F8B"/>
    <w:rsid w:val="00333171"/>
    <w:rsid w:val="00333310"/>
    <w:rsid w:val="0033344B"/>
    <w:rsid w:val="00333519"/>
    <w:rsid w:val="0033352B"/>
    <w:rsid w:val="003336F9"/>
    <w:rsid w:val="003338E6"/>
    <w:rsid w:val="003338F8"/>
    <w:rsid w:val="00333AF8"/>
    <w:rsid w:val="00333BC8"/>
    <w:rsid w:val="00333CE6"/>
    <w:rsid w:val="0033403C"/>
    <w:rsid w:val="00334256"/>
    <w:rsid w:val="0033425A"/>
    <w:rsid w:val="00334285"/>
    <w:rsid w:val="00334326"/>
    <w:rsid w:val="003343E3"/>
    <w:rsid w:val="003345F1"/>
    <w:rsid w:val="0033462A"/>
    <w:rsid w:val="003349D4"/>
    <w:rsid w:val="00334A24"/>
    <w:rsid w:val="00334AC7"/>
    <w:rsid w:val="00334C54"/>
    <w:rsid w:val="00334CE0"/>
    <w:rsid w:val="00334D60"/>
    <w:rsid w:val="00334D92"/>
    <w:rsid w:val="00334F3E"/>
    <w:rsid w:val="00335212"/>
    <w:rsid w:val="003353AE"/>
    <w:rsid w:val="00335428"/>
    <w:rsid w:val="003354B0"/>
    <w:rsid w:val="003355DB"/>
    <w:rsid w:val="00335693"/>
    <w:rsid w:val="0033583D"/>
    <w:rsid w:val="0033585A"/>
    <w:rsid w:val="00335872"/>
    <w:rsid w:val="00335AC2"/>
    <w:rsid w:val="00335B0A"/>
    <w:rsid w:val="00335C5C"/>
    <w:rsid w:val="00335CAB"/>
    <w:rsid w:val="00335CEA"/>
    <w:rsid w:val="00335D9E"/>
    <w:rsid w:val="00335F02"/>
    <w:rsid w:val="00336064"/>
    <w:rsid w:val="003360C9"/>
    <w:rsid w:val="00336211"/>
    <w:rsid w:val="00336254"/>
    <w:rsid w:val="00336265"/>
    <w:rsid w:val="003362E9"/>
    <w:rsid w:val="003363D2"/>
    <w:rsid w:val="003365BB"/>
    <w:rsid w:val="003366F8"/>
    <w:rsid w:val="00336701"/>
    <w:rsid w:val="003368C7"/>
    <w:rsid w:val="003368D1"/>
    <w:rsid w:val="0033694E"/>
    <w:rsid w:val="003369C0"/>
    <w:rsid w:val="00336A7A"/>
    <w:rsid w:val="00336AE1"/>
    <w:rsid w:val="00336B58"/>
    <w:rsid w:val="00336B8C"/>
    <w:rsid w:val="00336F09"/>
    <w:rsid w:val="00336FB5"/>
    <w:rsid w:val="00337099"/>
    <w:rsid w:val="0033722F"/>
    <w:rsid w:val="003373B5"/>
    <w:rsid w:val="00337472"/>
    <w:rsid w:val="003374F6"/>
    <w:rsid w:val="0033754E"/>
    <w:rsid w:val="003377B3"/>
    <w:rsid w:val="0033793A"/>
    <w:rsid w:val="00337AB3"/>
    <w:rsid w:val="00337E2E"/>
    <w:rsid w:val="00337F47"/>
    <w:rsid w:val="003401E6"/>
    <w:rsid w:val="0034020A"/>
    <w:rsid w:val="00340385"/>
    <w:rsid w:val="003404E4"/>
    <w:rsid w:val="00340521"/>
    <w:rsid w:val="00340588"/>
    <w:rsid w:val="003405DF"/>
    <w:rsid w:val="0034080F"/>
    <w:rsid w:val="00340819"/>
    <w:rsid w:val="0034084B"/>
    <w:rsid w:val="00340B5B"/>
    <w:rsid w:val="00340B8A"/>
    <w:rsid w:val="00340C33"/>
    <w:rsid w:val="00340D19"/>
    <w:rsid w:val="0034103D"/>
    <w:rsid w:val="003410E8"/>
    <w:rsid w:val="00341227"/>
    <w:rsid w:val="00341283"/>
    <w:rsid w:val="00341598"/>
    <w:rsid w:val="003417CC"/>
    <w:rsid w:val="003417DE"/>
    <w:rsid w:val="0034193D"/>
    <w:rsid w:val="0034197F"/>
    <w:rsid w:val="00341D86"/>
    <w:rsid w:val="00341E58"/>
    <w:rsid w:val="00341F18"/>
    <w:rsid w:val="00342044"/>
    <w:rsid w:val="003420BD"/>
    <w:rsid w:val="003421E3"/>
    <w:rsid w:val="0034226C"/>
    <w:rsid w:val="0034253A"/>
    <w:rsid w:val="0034256C"/>
    <w:rsid w:val="003425CF"/>
    <w:rsid w:val="003427AA"/>
    <w:rsid w:val="003427E4"/>
    <w:rsid w:val="003429A1"/>
    <w:rsid w:val="003429FF"/>
    <w:rsid w:val="00342AC8"/>
    <w:rsid w:val="00342C4A"/>
    <w:rsid w:val="00342CC3"/>
    <w:rsid w:val="00342DA8"/>
    <w:rsid w:val="00342EE1"/>
    <w:rsid w:val="00342F0B"/>
    <w:rsid w:val="00342F36"/>
    <w:rsid w:val="00342FF6"/>
    <w:rsid w:val="0034307D"/>
    <w:rsid w:val="00343170"/>
    <w:rsid w:val="00343277"/>
    <w:rsid w:val="00343390"/>
    <w:rsid w:val="00343499"/>
    <w:rsid w:val="0034350E"/>
    <w:rsid w:val="00343622"/>
    <w:rsid w:val="003437E6"/>
    <w:rsid w:val="00343D6A"/>
    <w:rsid w:val="00343D8C"/>
    <w:rsid w:val="00343E96"/>
    <w:rsid w:val="00343F21"/>
    <w:rsid w:val="00343F75"/>
    <w:rsid w:val="003440A5"/>
    <w:rsid w:val="003442A3"/>
    <w:rsid w:val="0034436E"/>
    <w:rsid w:val="0034440B"/>
    <w:rsid w:val="00344521"/>
    <w:rsid w:val="003445C4"/>
    <w:rsid w:val="00344657"/>
    <w:rsid w:val="00344697"/>
    <w:rsid w:val="0034477E"/>
    <w:rsid w:val="00344937"/>
    <w:rsid w:val="00344BF5"/>
    <w:rsid w:val="00344D08"/>
    <w:rsid w:val="00344DB5"/>
    <w:rsid w:val="00344E35"/>
    <w:rsid w:val="00344E94"/>
    <w:rsid w:val="00344EFB"/>
    <w:rsid w:val="00344FA3"/>
    <w:rsid w:val="00344FD7"/>
    <w:rsid w:val="003451A3"/>
    <w:rsid w:val="003451A8"/>
    <w:rsid w:val="0034545D"/>
    <w:rsid w:val="0034585A"/>
    <w:rsid w:val="003458CA"/>
    <w:rsid w:val="003459BB"/>
    <w:rsid w:val="00345B0C"/>
    <w:rsid w:val="00345BD3"/>
    <w:rsid w:val="00345CB9"/>
    <w:rsid w:val="00345CCD"/>
    <w:rsid w:val="00345DCF"/>
    <w:rsid w:val="00345F27"/>
    <w:rsid w:val="00345F86"/>
    <w:rsid w:val="00346061"/>
    <w:rsid w:val="00346150"/>
    <w:rsid w:val="0034615F"/>
    <w:rsid w:val="003461EB"/>
    <w:rsid w:val="003463E0"/>
    <w:rsid w:val="003463E7"/>
    <w:rsid w:val="00346430"/>
    <w:rsid w:val="00346463"/>
    <w:rsid w:val="0034650E"/>
    <w:rsid w:val="003465BF"/>
    <w:rsid w:val="00346631"/>
    <w:rsid w:val="00346815"/>
    <w:rsid w:val="00346944"/>
    <w:rsid w:val="003469CB"/>
    <w:rsid w:val="00346B7A"/>
    <w:rsid w:val="00346D35"/>
    <w:rsid w:val="00346EC6"/>
    <w:rsid w:val="003472C5"/>
    <w:rsid w:val="003472D2"/>
    <w:rsid w:val="003473E2"/>
    <w:rsid w:val="003473E5"/>
    <w:rsid w:val="00347539"/>
    <w:rsid w:val="00347580"/>
    <w:rsid w:val="003476DA"/>
    <w:rsid w:val="00347701"/>
    <w:rsid w:val="003477B4"/>
    <w:rsid w:val="003478C5"/>
    <w:rsid w:val="00347925"/>
    <w:rsid w:val="00347A17"/>
    <w:rsid w:val="00347ACE"/>
    <w:rsid w:val="00347B07"/>
    <w:rsid w:val="00347B2C"/>
    <w:rsid w:val="00347BD8"/>
    <w:rsid w:val="00347C41"/>
    <w:rsid w:val="00347D51"/>
    <w:rsid w:val="00347D66"/>
    <w:rsid w:val="00347DDB"/>
    <w:rsid w:val="00347E70"/>
    <w:rsid w:val="00347FCB"/>
    <w:rsid w:val="00347FCF"/>
    <w:rsid w:val="00349809"/>
    <w:rsid w:val="00350090"/>
    <w:rsid w:val="00350102"/>
    <w:rsid w:val="0035011B"/>
    <w:rsid w:val="0035012A"/>
    <w:rsid w:val="003502D0"/>
    <w:rsid w:val="00350489"/>
    <w:rsid w:val="0035048F"/>
    <w:rsid w:val="0035054F"/>
    <w:rsid w:val="00350841"/>
    <w:rsid w:val="003508D4"/>
    <w:rsid w:val="00350951"/>
    <w:rsid w:val="00350A07"/>
    <w:rsid w:val="00350A3C"/>
    <w:rsid w:val="00350AF0"/>
    <w:rsid w:val="00350BA5"/>
    <w:rsid w:val="00350C95"/>
    <w:rsid w:val="00350CDD"/>
    <w:rsid w:val="00350D9D"/>
    <w:rsid w:val="00350DA7"/>
    <w:rsid w:val="00350DAA"/>
    <w:rsid w:val="00350E4D"/>
    <w:rsid w:val="00350E7A"/>
    <w:rsid w:val="00350EEF"/>
    <w:rsid w:val="00350EFE"/>
    <w:rsid w:val="00350F80"/>
    <w:rsid w:val="003512A7"/>
    <w:rsid w:val="003513C9"/>
    <w:rsid w:val="00351420"/>
    <w:rsid w:val="0035146C"/>
    <w:rsid w:val="0035160B"/>
    <w:rsid w:val="00351687"/>
    <w:rsid w:val="00351849"/>
    <w:rsid w:val="00351904"/>
    <w:rsid w:val="003519EB"/>
    <w:rsid w:val="00351A6D"/>
    <w:rsid w:val="00351B49"/>
    <w:rsid w:val="00351BED"/>
    <w:rsid w:val="00351C1E"/>
    <w:rsid w:val="00351C3A"/>
    <w:rsid w:val="00351C9E"/>
    <w:rsid w:val="00351CEB"/>
    <w:rsid w:val="00351D15"/>
    <w:rsid w:val="00351DBB"/>
    <w:rsid w:val="00351E25"/>
    <w:rsid w:val="00351F07"/>
    <w:rsid w:val="00351FA5"/>
    <w:rsid w:val="003520BE"/>
    <w:rsid w:val="003520DD"/>
    <w:rsid w:val="003520DE"/>
    <w:rsid w:val="003521BF"/>
    <w:rsid w:val="003523B2"/>
    <w:rsid w:val="0035251F"/>
    <w:rsid w:val="00352561"/>
    <w:rsid w:val="0035272E"/>
    <w:rsid w:val="003527B3"/>
    <w:rsid w:val="00352800"/>
    <w:rsid w:val="00352804"/>
    <w:rsid w:val="00352848"/>
    <w:rsid w:val="003529E3"/>
    <w:rsid w:val="003534DD"/>
    <w:rsid w:val="003536E4"/>
    <w:rsid w:val="00353806"/>
    <w:rsid w:val="00353882"/>
    <w:rsid w:val="00353931"/>
    <w:rsid w:val="00353A31"/>
    <w:rsid w:val="00353A79"/>
    <w:rsid w:val="00353BFC"/>
    <w:rsid w:val="00353D68"/>
    <w:rsid w:val="00353DF0"/>
    <w:rsid w:val="00353EE0"/>
    <w:rsid w:val="00353F63"/>
    <w:rsid w:val="00353FBF"/>
    <w:rsid w:val="003542E2"/>
    <w:rsid w:val="00354363"/>
    <w:rsid w:val="00354376"/>
    <w:rsid w:val="00354594"/>
    <w:rsid w:val="003546C9"/>
    <w:rsid w:val="003546FB"/>
    <w:rsid w:val="00354997"/>
    <w:rsid w:val="00354A54"/>
    <w:rsid w:val="00354A56"/>
    <w:rsid w:val="00354B96"/>
    <w:rsid w:val="00354BCF"/>
    <w:rsid w:val="00354BD2"/>
    <w:rsid w:val="00354EAA"/>
    <w:rsid w:val="00354F0C"/>
    <w:rsid w:val="00354F9A"/>
    <w:rsid w:val="0035509D"/>
    <w:rsid w:val="0035513B"/>
    <w:rsid w:val="00355213"/>
    <w:rsid w:val="003553D5"/>
    <w:rsid w:val="003554FF"/>
    <w:rsid w:val="00355576"/>
    <w:rsid w:val="0035585A"/>
    <w:rsid w:val="003558D9"/>
    <w:rsid w:val="003559E1"/>
    <w:rsid w:val="003559FF"/>
    <w:rsid w:val="00355A2D"/>
    <w:rsid w:val="00355A3C"/>
    <w:rsid w:val="00355C11"/>
    <w:rsid w:val="00355CA8"/>
    <w:rsid w:val="00355DA7"/>
    <w:rsid w:val="00355E1A"/>
    <w:rsid w:val="00355E52"/>
    <w:rsid w:val="00355E96"/>
    <w:rsid w:val="00355F4D"/>
    <w:rsid w:val="00355FD5"/>
    <w:rsid w:val="0035601C"/>
    <w:rsid w:val="0035623C"/>
    <w:rsid w:val="0035632A"/>
    <w:rsid w:val="0035648D"/>
    <w:rsid w:val="00356582"/>
    <w:rsid w:val="003568B2"/>
    <w:rsid w:val="00356903"/>
    <w:rsid w:val="00356A17"/>
    <w:rsid w:val="00356BBA"/>
    <w:rsid w:val="00356C29"/>
    <w:rsid w:val="00356CE5"/>
    <w:rsid w:val="00356D3D"/>
    <w:rsid w:val="00356D94"/>
    <w:rsid w:val="00357092"/>
    <w:rsid w:val="003571FA"/>
    <w:rsid w:val="00357223"/>
    <w:rsid w:val="003573A3"/>
    <w:rsid w:val="003573A5"/>
    <w:rsid w:val="0035740B"/>
    <w:rsid w:val="003574BB"/>
    <w:rsid w:val="00357598"/>
    <w:rsid w:val="00357739"/>
    <w:rsid w:val="003579F0"/>
    <w:rsid w:val="00357B8A"/>
    <w:rsid w:val="00357D22"/>
    <w:rsid w:val="00357F90"/>
    <w:rsid w:val="00357FAD"/>
    <w:rsid w:val="00360196"/>
    <w:rsid w:val="00360299"/>
    <w:rsid w:val="003603FC"/>
    <w:rsid w:val="003604BC"/>
    <w:rsid w:val="00360601"/>
    <w:rsid w:val="003606DC"/>
    <w:rsid w:val="00360710"/>
    <w:rsid w:val="00360798"/>
    <w:rsid w:val="0036080D"/>
    <w:rsid w:val="0036095C"/>
    <w:rsid w:val="00360BFD"/>
    <w:rsid w:val="00360C63"/>
    <w:rsid w:val="00360F3D"/>
    <w:rsid w:val="00361030"/>
    <w:rsid w:val="00361217"/>
    <w:rsid w:val="00361340"/>
    <w:rsid w:val="0036157B"/>
    <w:rsid w:val="0036159C"/>
    <w:rsid w:val="0036175E"/>
    <w:rsid w:val="00361770"/>
    <w:rsid w:val="00361839"/>
    <w:rsid w:val="00361886"/>
    <w:rsid w:val="00361A86"/>
    <w:rsid w:val="00361B2D"/>
    <w:rsid w:val="00361BA5"/>
    <w:rsid w:val="00361D2F"/>
    <w:rsid w:val="00361E13"/>
    <w:rsid w:val="003621F0"/>
    <w:rsid w:val="0036221C"/>
    <w:rsid w:val="0036222F"/>
    <w:rsid w:val="003622CC"/>
    <w:rsid w:val="00362336"/>
    <w:rsid w:val="00362389"/>
    <w:rsid w:val="0036254D"/>
    <w:rsid w:val="0036257E"/>
    <w:rsid w:val="003625A5"/>
    <w:rsid w:val="003628BB"/>
    <w:rsid w:val="003629D9"/>
    <w:rsid w:val="00362B0E"/>
    <w:rsid w:val="00362B18"/>
    <w:rsid w:val="00362B71"/>
    <w:rsid w:val="00362BDB"/>
    <w:rsid w:val="00362C9E"/>
    <w:rsid w:val="00362CAE"/>
    <w:rsid w:val="00362D10"/>
    <w:rsid w:val="00362F49"/>
    <w:rsid w:val="003632F4"/>
    <w:rsid w:val="00363303"/>
    <w:rsid w:val="00363405"/>
    <w:rsid w:val="0036344F"/>
    <w:rsid w:val="00363657"/>
    <w:rsid w:val="00363683"/>
    <w:rsid w:val="003637A2"/>
    <w:rsid w:val="00363805"/>
    <w:rsid w:val="00363881"/>
    <w:rsid w:val="003638A8"/>
    <w:rsid w:val="003638EA"/>
    <w:rsid w:val="003639B2"/>
    <w:rsid w:val="003639C7"/>
    <w:rsid w:val="00363BEF"/>
    <w:rsid w:val="00363E1F"/>
    <w:rsid w:val="003640B9"/>
    <w:rsid w:val="0036416D"/>
    <w:rsid w:val="00364312"/>
    <w:rsid w:val="0036432F"/>
    <w:rsid w:val="00364565"/>
    <w:rsid w:val="003646AC"/>
    <w:rsid w:val="003646D8"/>
    <w:rsid w:val="00364708"/>
    <w:rsid w:val="003647AA"/>
    <w:rsid w:val="00364868"/>
    <w:rsid w:val="00364908"/>
    <w:rsid w:val="00364B5F"/>
    <w:rsid w:val="00364C80"/>
    <w:rsid w:val="00364CF1"/>
    <w:rsid w:val="00364D22"/>
    <w:rsid w:val="00364D4B"/>
    <w:rsid w:val="00364DCC"/>
    <w:rsid w:val="00364DDB"/>
    <w:rsid w:val="00364DE9"/>
    <w:rsid w:val="00364E19"/>
    <w:rsid w:val="00364E80"/>
    <w:rsid w:val="00364F5A"/>
    <w:rsid w:val="00364F6E"/>
    <w:rsid w:val="00364FCC"/>
    <w:rsid w:val="003650E2"/>
    <w:rsid w:val="00365229"/>
    <w:rsid w:val="00365485"/>
    <w:rsid w:val="0036548C"/>
    <w:rsid w:val="00365A57"/>
    <w:rsid w:val="00365C41"/>
    <w:rsid w:val="00365CCB"/>
    <w:rsid w:val="00365F21"/>
    <w:rsid w:val="00365FAC"/>
    <w:rsid w:val="00365FE5"/>
    <w:rsid w:val="00366058"/>
    <w:rsid w:val="003663E3"/>
    <w:rsid w:val="003667DC"/>
    <w:rsid w:val="003667FE"/>
    <w:rsid w:val="003669AA"/>
    <w:rsid w:val="003669B0"/>
    <w:rsid w:val="003669C3"/>
    <w:rsid w:val="00366BC0"/>
    <w:rsid w:val="00366CD1"/>
    <w:rsid w:val="00366D9A"/>
    <w:rsid w:val="00366E9B"/>
    <w:rsid w:val="00367448"/>
    <w:rsid w:val="0036751F"/>
    <w:rsid w:val="00367538"/>
    <w:rsid w:val="00367629"/>
    <w:rsid w:val="00367745"/>
    <w:rsid w:val="00367950"/>
    <w:rsid w:val="00367C90"/>
    <w:rsid w:val="00367C9C"/>
    <w:rsid w:val="00367DA0"/>
    <w:rsid w:val="00370142"/>
    <w:rsid w:val="003701F7"/>
    <w:rsid w:val="00370241"/>
    <w:rsid w:val="00370698"/>
    <w:rsid w:val="0037077F"/>
    <w:rsid w:val="003707D5"/>
    <w:rsid w:val="003708D2"/>
    <w:rsid w:val="00370AAE"/>
    <w:rsid w:val="00370DD6"/>
    <w:rsid w:val="00370F32"/>
    <w:rsid w:val="00370F3A"/>
    <w:rsid w:val="0037129B"/>
    <w:rsid w:val="00371485"/>
    <w:rsid w:val="003714CD"/>
    <w:rsid w:val="00371760"/>
    <w:rsid w:val="0037184B"/>
    <w:rsid w:val="0037187E"/>
    <w:rsid w:val="003718B5"/>
    <w:rsid w:val="003718C8"/>
    <w:rsid w:val="00371943"/>
    <w:rsid w:val="003719FA"/>
    <w:rsid w:val="00371B4B"/>
    <w:rsid w:val="00371CA5"/>
    <w:rsid w:val="00371DF4"/>
    <w:rsid w:val="00371E33"/>
    <w:rsid w:val="00371E87"/>
    <w:rsid w:val="00371EA5"/>
    <w:rsid w:val="00371F37"/>
    <w:rsid w:val="00372079"/>
    <w:rsid w:val="00372082"/>
    <w:rsid w:val="003720C9"/>
    <w:rsid w:val="003721F5"/>
    <w:rsid w:val="00372212"/>
    <w:rsid w:val="0037226E"/>
    <w:rsid w:val="00372299"/>
    <w:rsid w:val="0037247A"/>
    <w:rsid w:val="0037272B"/>
    <w:rsid w:val="0037273D"/>
    <w:rsid w:val="00372B89"/>
    <w:rsid w:val="00372BE7"/>
    <w:rsid w:val="00372C5A"/>
    <w:rsid w:val="00372C9A"/>
    <w:rsid w:val="00372D2A"/>
    <w:rsid w:val="00372D55"/>
    <w:rsid w:val="00372DC9"/>
    <w:rsid w:val="00372EF2"/>
    <w:rsid w:val="00372F10"/>
    <w:rsid w:val="00372F90"/>
    <w:rsid w:val="00372FC4"/>
    <w:rsid w:val="0037316E"/>
    <w:rsid w:val="003731CB"/>
    <w:rsid w:val="00373249"/>
    <w:rsid w:val="003732BF"/>
    <w:rsid w:val="00373357"/>
    <w:rsid w:val="003733AF"/>
    <w:rsid w:val="003735BC"/>
    <w:rsid w:val="00373711"/>
    <w:rsid w:val="00373742"/>
    <w:rsid w:val="00373890"/>
    <w:rsid w:val="00373926"/>
    <w:rsid w:val="00373B72"/>
    <w:rsid w:val="00373CFE"/>
    <w:rsid w:val="00373EC7"/>
    <w:rsid w:val="00373F1D"/>
    <w:rsid w:val="00374158"/>
    <w:rsid w:val="0037425E"/>
    <w:rsid w:val="00374318"/>
    <w:rsid w:val="003744C0"/>
    <w:rsid w:val="0037451F"/>
    <w:rsid w:val="0037456E"/>
    <w:rsid w:val="00374737"/>
    <w:rsid w:val="00374AA7"/>
    <w:rsid w:val="00374B73"/>
    <w:rsid w:val="00374BF2"/>
    <w:rsid w:val="00374C59"/>
    <w:rsid w:val="00374E98"/>
    <w:rsid w:val="0037505C"/>
    <w:rsid w:val="003750C7"/>
    <w:rsid w:val="003752A3"/>
    <w:rsid w:val="003754CB"/>
    <w:rsid w:val="003758BF"/>
    <w:rsid w:val="0037596E"/>
    <w:rsid w:val="00375B8F"/>
    <w:rsid w:val="00375EC2"/>
    <w:rsid w:val="0037631F"/>
    <w:rsid w:val="00376333"/>
    <w:rsid w:val="003763E2"/>
    <w:rsid w:val="003764C5"/>
    <w:rsid w:val="003764EF"/>
    <w:rsid w:val="003765C5"/>
    <w:rsid w:val="00376620"/>
    <w:rsid w:val="00376643"/>
    <w:rsid w:val="00376706"/>
    <w:rsid w:val="0037680E"/>
    <w:rsid w:val="0037690D"/>
    <w:rsid w:val="00376AAE"/>
    <w:rsid w:val="00376AC4"/>
    <w:rsid w:val="00376B79"/>
    <w:rsid w:val="00376CE1"/>
    <w:rsid w:val="00376D11"/>
    <w:rsid w:val="00376DE2"/>
    <w:rsid w:val="00377051"/>
    <w:rsid w:val="003772AD"/>
    <w:rsid w:val="0037738D"/>
    <w:rsid w:val="003773FF"/>
    <w:rsid w:val="00377446"/>
    <w:rsid w:val="0037785D"/>
    <w:rsid w:val="00377888"/>
    <w:rsid w:val="0037795D"/>
    <w:rsid w:val="00377A1E"/>
    <w:rsid w:val="00377BD4"/>
    <w:rsid w:val="00377D93"/>
    <w:rsid w:val="00377FDB"/>
    <w:rsid w:val="003801E2"/>
    <w:rsid w:val="0038037A"/>
    <w:rsid w:val="0038039C"/>
    <w:rsid w:val="00380468"/>
    <w:rsid w:val="003806E7"/>
    <w:rsid w:val="003808E6"/>
    <w:rsid w:val="00380931"/>
    <w:rsid w:val="00380C88"/>
    <w:rsid w:val="00380E2C"/>
    <w:rsid w:val="00380F72"/>
    <w:rsid w:val="003810DE"/>
    <w:rsid w:val="003811B6"/>
    <w:rsid w:val="00381286"/>
    <w:rsid w:val="003812E1"/>
    <w:rsid w:val="0038130E"/>
    <w:rsid w:val="003813A6"/>
    <w:rsid w:val="003814D7"/>
    <w:rsid w:val="00381529"/>
    <w:rsid w:val="00381645"/>
    <w:rsid w:val="0038165D"/>
    <w:rsid w:val="003816D8"/>
    <w:rsid w:val="0038189B"/>
    <w:rsid w:val="003818E1"/>
    <w:rsid w:val="003819BC"/>
    <w:rsid w:val="00381A3B"/>
    <w:rsid w:val="00381AB4"/>
    <w:rsid w:val="00381AFC"/>
    <w:rsid w:val="00381C7D"/>
    <w:rsid w:val="00381D26"/>
    <w:rsid w:val="00381E51"/>
    <w:rsid w:val="00381E95"/>
    <w:rsid w:val="00381F2E"/>
    <w:rsid w:val="00381F43"/>
    <w:rsid w:val="00381F53"/>
    <w:rsid w:val="003821BF"/>
    <w:rsid w:val="00382276"/>
    <w:rsid w:val="003822C4"/>
    <w:rsid w:val="003822D0"/>
    <w:rsid w:val="0038230B"/>
    <w:rsid w:val="00382323"/>
    <w:rsid w:val="00382356"/>
    <w:rsid w:val="003823A0"/>
    <w:rsid w:val="0038252B"/>
    <w:rsid w:val="0038255B"/>
    <w:rsid w:val="003825DE"/>
    <w:rsid w:val="003826D5"/>
    <w:rsid w:val="003827F7"/>
    <w:rsid w:val="00382856"/>
    <w:rsid w:val="00382868"/>
    <w:rsid w:val="003828B0"/>
    <w:rsid w:val="003828DC"/>
    <w:rsid w:val="003829BF"/>
    <w:rsid w:val="003829E0"/>
    <w:rsid w:val="00382A4D"/>
    <w:rsid w:val="00382BFF"/>
    <w:rsid w:val="00382CD7"/>
    <w:rsid w:val="00382F17"/>
    <w:rsid w:val="00382F68"/>
    <w:rsid w:val="0038316B"/>
    <w:rsid w:val="003831C5"/>
    <w:rsid w:val="00383345"/>
    <w:rsid w:val="003833AF"/>
    <w:rsid w:val="0038341F"/>
    <w:rsid w:val="00383430"/>
    <w:rsid w:val="0038348A"/>
    <w:rsid w:val="0038366C"/>
    <w:rsid w:val="003838D3"/>
    <w:rsid w:val="0038391D"/>
    <w:rsid w:val="00383985"/>
    <w:rsid w:val="003839FC"/>
    <w:rsid w:val="00383BE9"/>
    <w:rsid w:val="00383C9D"/>
    <w:rsid w:val="00383D05"/>
    <w:rsid w:val="00383D13"/>
    <w:rsid w:val="00383D73"/>
    <w:rsid w:val="00383F79"/>
    <w:rsid w:val="00384141"/>
    <w:rsid w:val="003844E5"/>
    <w:rsid w:val="003844E9"/>
    <w:rsid w:val="00384627"/>
    <w:rsid w:val="00384660"/>
    <w:rsid w:val="0038467F"/>
    <w:rsid w:val="00384770"/>
    <w:rsid w:val="003848A3"/>
    <w:rsid w:val="00384A15"/>
    <w:rsid w:val="00384BD4"/>
    <w:rsid w:val="00384C99"/>
    <w:rsid w:val="00385058"/>
    <w:rsid w:val="00385124"/>
    <w:rsid w:val="00385126"/>
    <w:rsid w:val="00385311"/>
    <w:rsid w:val="00385413"/>
    <w:rsid w:val="003856C2"/>
    <w:rsid w:val="00385707"/>
    <w:rsid w:val="00385789"/>
    <w:rsid w:val="003857D7"/>
    <w:rsid w:val="00385AAC"/>
    <w:rsid w:val="00385B93"/>
    <w:rsid w:val="00385BF6"/>
    <w:rsid w:val="00385C5C"/>
    <w:rsid w:val="00385DDC"/>
    <w:rsid w:val="00385ECC"/>
    <w:rsid w:val="00386279"/>
    <w:rsid w:val="003862C5"/>
    <w:rsid w:val="0038649D"/>
    <w:rsid w:val="003864FC"/>
    <w:rsid w:val="00386687"/>
    <w:rsid w:val="00386698"/>
    <w:rsid w:val="00386A47"/>
    <w:rsid w:val="00386AF3"/>
    <w:rsid w:val="00386C62"/>
    <w:rsid w:val="00386C7B"/>
    <w:rsid w:val="00386CD1"/>
    <w:rsid w:val="00386D00"/>
    <w:rsid w:val="00386D3E"/>
    <w:rsid w:val="00386D8E"/>
    <w:rsid w:val="00386E15"/>
    <w:rsid w:val="00386E5F"/>
    <w:rsid w:val="00386F6E"/>
    <w:rsid w:val="00387105"/>
    <w:rsid w:val="003871B8"/>
    <w:rsid w:val="003873A6"/>
    <w:rsid w:val="00387447"/>
    <w:rsid w:val="003874F8"/>
    <w:rsid w:val="00387520"/>
    <w:rsid w:val="00387630"/>
    <w:rsid w:val="003877B0"/>
    <w:rsid w:val="003878E1"/>
    <w:rsid w:val="003879EB"/>
    <w:rsid w:val="00387AB9"/>
    <w:rsid w:val="00387C73"/>
    <w:rsid w:val="00387C95"/>
    <w:rsid w:val="00387CC2"/>
    <w:rsid w:val="00387DA2"/>
    <w:rsid w:val="00387F01"/>
    <w:rsid w:val="003900F8"/>
    <w:rsid w:val="003903F6"/>
    <w:rsid w:val="00390555"/>
    <w:rsid w:val="00390561"/>
    <w:rsid w:val="003905EA"/>
    <w:rsid w:val="003906E2"/>
    <w:rsid w:val="003906F0"/>
    <w:rsid w:val="00390727"/>
    <w:rsid w:val="00390776"/>
    <w:rsid w:val="003907D1"/>
    <w:rsid w:val="0039093D"/>
    <w:rsid w:val="00390A53"/>
    <w:rsid w:val="00390AA1"/>
    <w:rsid w:val="00390B53"/>
    <w:rsid w:val="00390BC4"/>
    <w:rsid w:val="00390BF7"/>
    <w:rsid w:val="00390C54"/>
    <w:rsid w:val="00390D6B"/>
    <w:rsid w:val="00390DBB"/>
    <w:rsid w:val="00390E00"/>
    <w:rsid w:val="00390F13"/>
    <w:rsid w:val="00391004"/>
    <w:rsid w:val="0039118E"/>
    <w:rsid w:val="0039135F"/>
    <w:rsid w:val="003913D8"/>
    <w:rsid w:val="003913EB"/>
    <w:rsid w:val="00391701"/>
    <w:rsid w:val="0039177A"/>
    <w:rsid w:val="003917C9"/>
    <w:rsid w:val="003918AE"/>
    <w:rsid w:val="003918B9"/>
    <w:rsid w:val="0039190E"/>
    <w:rsid w:val="00391C23"/>
    <w:rsid w:val="00391C57"/>
    <w:rsid w:val="00391D15"/>
    <w:rsid w:val="00391D3C"/>
    <w:rsid w:val="003920BF"/>
    <w:rsid w:val="0039219B"/>
    <w:rsid w:val="003922FC"/>
    <w:rsid w:val="003923A2"/>
    <w:rsid w:val="00392478"/>
    <w:rsid w:val="00392663"/>
    <w:rsid w:val="00392733"/>
    <w:rsid w:val="0039275F"/>
    <w:rsid w:val="003928A5"/>
    <w:rsid w:val="00392C15"/>
    <w:rsid w:val="00392E76"/>
    <w:rsid w:val="00392EA9"/>
    <w:rsid w:val="0039304E"/>
    <w:rsid w:val="0039320E"/>
    <w:rsid w:val="0039331A"/>
    <w:rsid w:val="00393625"/>
    <w:rsid w:val="00393651"/>
    <w:rsid w:val="003936FD"/>
    <w:rsid w:val="00393767"/>
    <w:rsid w:val="00393B21"/>
    <w:rsid w:val="00393B5A"/>
    <w:rsid w:val="00393B76"/>
    <w:rsid w:val="00393B89"/>
    <w:rsid w:val="00393C9C"/>
    <w:rsid w:val="00393CDE"/>
    <w:rsid w:val="00393E18"/>
    <w:rsid w:val="00393E8B"/>
    <w:rsid w:val="00393F2A"/>
    <w:rsid w:val="003940A9"/>
    <w:rsid w:val="003941B5"/>
    <w:rsid w:val="003942F3"/>
    <w:rsid w:val="00394302"/>
    <w:rsid w:val="0039431F"/>
    <w:rsid w:val="0039442F"/>
    <w:rsid w:val="0039459F"/>
    <w:rsid w:val="003947C1"/>
    <w:rsid w:val="00394829"/>
    <w:rsid w:val="00394944"/>
    <w:rsid w:val="00394C08"/>
    <w:rsid w:val="00394C9C"/>
    <w:rsid w:val="00394CAC"/>
    <w:rsid w:val="00394D2B"/>
    <w:rsid w:val="00394DD1"/>
    <w:rsid w:val="00394ED1"/>
    <w:rsid w:val="00395001"/>
    <w:rsid w:val="003951ED"/>
    <w:rsid w:val="00395493"/>
    <w:rsid w:val="00395513"/>
    <w:rsid w:val="0039564B"/>
    <w:rsid w:val="003956D0"/>
    <w:rsid w:val="0039587E"/>
    <w:rsid w:val="0039595A"/>
    <w:rsid w:val="00395973"/>
    <w:rsid w:val="00395B36"/>
    <w:rsid w:val="00395B78"/>
    <w:rsid w:val="00395C51"/>
    <w:rsid w:val="00395DC0"/>
    <w:rsid w:val="00395E57"/>
    <w:rsid w:val="00395EEE"/>
    <w:rsid w:val="00395EF0"/>
    <w:rsid w:val="00395FB8"/>
    <w:rsid w:val="0039602A"/>
    <w:rsid w:val="0039617E"/>
    <w:rsid w:val="00396236"/>
    <w:rsid w:val="0039632B"/>
    <w:rsid w:val="00396554"/>
    <w:rsid w:val="00396686"/>
    <w:rsid w:val="003966BB"/>
    <w:rsid w:val="003966DA"/>
    <w:rsid w:val="00396761"/>
    <w:rsid w:val="0039688B"/>
    <w:rsid w:val="0039696E"/>
    <w:rsid w:val="00396A81"/>
    <w:rsid w:val="00396AF8"/>
    <w:rsid w:val="00396B34"/>
    <w:rsid w:val="00396BC2"/>
    <w:rsid w:val="00396CBC"/>
    <w:rsid w:val="00396DAF"/>
    <w:rsid w:val="00396DFA"/>
    <w:rsid w:val="00397065"/>
    <w:rsid w:val="0039714F"/>
    <w:rsid w:val="003973A7"/>
    <w:rsid w:val="0039750F"/>
    <w:rsid w:val="00397836"/>
    <w:rsid w:val="003978BB"/>
    <w:rsid w:val="00397C81"/>
    <w:rsid w:val="00397C97"/>
    <w:rsid w:val="00397F42"/>
    <w:rsid w:val="00397F6F"/>
    <w:rsid w:val="003A005B"/>
    <w:rsid w:val="003A029A"/>
    <w:rsid w:val="003A0358"/>
    <w:rsid w:val="003A043D"/>
    <w:rsid w:val="003A0498"/>
    <w:rsid w:val="003A0664"/>
    <w:rsid w:val="003A06D0"/>
    <w:rsid w:val="003A075E"/>
    <w:rsid w:val="003A0839"/>
    <w:rsid w:val="003A0BEF"/>
    <w:rsid w:val="003A0C00"/>
    <w:rsid w:val="003A0C64"/>
    <w:rsid w:val="003A0CC7"/>
    <w:rsid w:val="003A0D4B"/>
    <w:rsid w:val="003A0DD7"/>
    <w:rsid w:val="003A0DDC"/>
    <w:rsid w:val="003A1138"/>
    <w:rsid w:val="003A11BF"/>
    <w:rsid w:val="003A1334"/>
    <w:rsid w:val="003A1459"/>
    <w:rsid w:val="003A146E"/>
    <w:rsid w:val="003A1511"/>
    <w:rsid w:val="003A16ED"/>
    <w:rsid w:val="003A17F0"/>
    <w:rsid w:val="003A180E"/>
    <w:rsid w:val="003A1911"/>
    <w:rsid w:val="003A1A0C"/>
    <w:rsid w:val="003A1A7B"/>
    <w:rsid w:val="003A1C00"/>
    <w:rsid w:val="003A1DA1"/>
    <w:rsid w:val="003A1E86"/>
    <w:rsid w:val="003A1EAF"/>
    <w:rsid w:val="003A20BD"/>
    <w:rsid w:val="003A2563"/>
    <w:rsid w:val="003A266E"/>
    <w:rsid w:val="003A27C4"/>
    <w:rsid w:val="003A27FF"/>
    <w:rsid w:val="003A2ACE"/>
    <w:rsid w:val="003A2CDE"/>
    <w:rsid w:val="003A2D05"/>
    <w:rsid w:val="003A2F3C"/>
    <w:rsid w:val="003A2FE8"/>
    <w:rsid w:val="003A31D2"/>
    <w:rsid w:val="003A3371"/>
    <w:rsid w:val="003A3524"/>
    <w:rsid w:val="003A3559"/>
    <w:rsid w:val="003A35F6"/>
    <w:rsid w:val="003A3684"/>
    <w:rsid w:val="003A36A6"/>
    <w:rsid w:val="003A3795"/>
    <w:rsid w:val="003A37CA"/>
    <w:rsid w:val="003A3A0A"/>
    <w:rsid w:val="003A3ACD"/>
    <w:rsid w:val="003A3BF4"/>
    <w:rsid w:val="003A3C37"/>
    <w:rsid w:val="003A3DB1"/>
    <w:rsid w:val="003A3DCF"/>
    <w:rsid w:val="003A3E24"/>
    <w:rsid w:val="003A3E84"/>
    <w:rsid w:val="003A3FB2"/>
    <w:rsid w:val="003A4108"/>
    <w:rsid w:val="003A416B"/>
    <w:rsid w:val="003A4349"/>
    <w:rsid w:val="003A43F5"/>
    <w:rsid w:val="003A448E"/>
    <w:rsid w:val="003A456B"/>
    <w:rsid w:val="003A45B3"/>
    <w:rsid w:val="003A4677"/>
    <w:rsid w:val="003A46BB"/>
    <w:rsid w:val="003A48EC"/>
    <w:rsid w:val="003A4987"/>
    <w:rsid w:val="003A4CDE"/>
    <w:rsid w:val="003A4D35"/>
    <w:rsid w:val="003A4DA7"/>
    <w:rsid w:val="003A4E88"/>
    <w:rsid w:val="003A503C"/>
    <w:rsid w:val="003A51B4"/>
    <w:rsid w:val="003A52A4"/>
    <w:rsid w:val="003A53D5"/>
    <w:rsid w:val="003A556D"/>
    <w:rsid w:val="003A5687"/>
    <w:rsid w:val="003A56A5"/>
    <w:rsid w:val="003A574D"/>
    <w:rsid w:val="003A57EE"/>
    <w:rsid w:val="003A599B"/>
    <w:rsid w:val="003A5A08"/>
    <w:rsid w:val="003A5C6F"/>
    <w:rsid w:val="003A5CB6"/>
    <w:rsid w:val="003A5D74"/>
    <w:rsid w:val="003A5E62"/>
    <w:rsid w:val="003A5F68"/>
    <w:rsid w:val="003A6103"/>
    <w:rsid w:val="003A6197"/>
    <w:rsid w:val="003A61E8"/>
    <w:rsid w:val="003A649C"/>
    <w:rsid w:val="003A6521"/>
    <w:rsid w:val="003A65E4"/>
    <w:rsid w:val="003A6631"/>
    <w:rsid w:val="003A664F"/>
    <w:rsid w:val="003A69BB"/>
    <w:rsid w:val="003A69BC"/>
    <w:rsid w:val="003A6A2D"/>
    <w:rsid w:val="003A6B82"/>
    <w:rsid w:val="003A6CCA"/>
    <w:rsid w:val="003A6E48"/>
    <w:rsid w:val="003A711D"/>
    <w:rsid w:val="003A72F7"/>
    <w:rsid w:val="003A74A9"/>
    <w:rsid w:val="003A75CA"/>
    <w:rsid w:val="003A75D4"/>
    <w:rsid w:val="003A7798"/>
    <w:rsid w:val="003A780C"/>
    <w:rsid w:val="003A7B18"/>
    <w:rsid w:val="003A7BE1"/>
    <w:rsid w:val="003A7DC2"/>
    <w:rsid w:val="003A7E45"/>
    <w:rsid w:val="003A7E84"/>
    <w:rsid w:val="003A7FE9"/>
    <w:rsid w:val="003B003F"/>
    <w:rsid w:val="003B00A1"/>
    <w:rsid w:val="003B0162"/>
    <w:rsid w:val="003B0193"/>
    <w:rsid w:val="003B01FB"/>
    <w:rsid w:val="003B037E"/>
    <w:rsid w:val="003B0441"/>
    <w:rsid w:val="003B05A2"/>
    <w:rsid w:val="003B0680"/>
    <w:rsid w:val="003B099B"/>
    <w:rsid w:val="003B0C78"/>
    <w:rsid w:val="003B12E6"/>
    <w:rsid w:val="003B1493"/>
    <w:rsid w:val="003B14AF"/>
    <w:rsid w:val="003B18D3"/>
    <w:rsid w:val="003B1A21"/>
    <w:rsid w:val="003B1D69"/>
    <w:rsid w:val="003B1E07"/>
    <w:rsid w:val="003B1F22"/>
    <w:rsid w:val="003B1F52"/>
    <w:rsid w:val="003B2133"/>
    <w:rsid w:val="003B2154"/>
    <w:rsid w:val="003B2254"/>
    <w:rsid w:val="003B228E"/>
    <w:rsid w:val="003B2309"/>
    <w:rsid w:val="003B2345"/>
    <w:rsid w:val="003B2391"/>
    <w:rsid w:val="003B2453"/>
    <w:rsid w:val="003B25DE"/>
    <w:rsid w:val="003B295A"/>
    <w:rsid w:val="003B2C3C"/>
    <w:rsid w:val="003B2D1A"/>
    <w:rsid w:val="003B2F06"/>
    <w:rsid w:val="003B2F30"/>
    <w:rsid w:val="003B2FA7"/>
    <w:rsid w:val="003B2FF7"/>
    <w:rsid w:val="003B3085"/>
    <w:rsid w:val="003B332E"/>
    <w:rsid w:val="003B3632"/>
    <w:rsid w:val="003B36C6"/>
    <w:rsid w:val="003B37DC"/>
    <w:rsid w:val="003B3870"/>
    <w:rsid w:val="003B393D"/>
    <w:rsid w:val="003B3956"/>
    <w:rsid w:val="003B3958"/>
    <w:rsid w:val="003B39C4"/>
    <w:rsid w:val="003B3AE4"/>
    <w:rsid w:val="003B3BC4"/>
    <w:rsid w:val="003B3BEC"/>
    <w:rsid w:val="003B3CAE"/>
    <w:rsid w:val="003B3CC1"/>
    <w:rsid w:val="003B3D8A"/>
    <w:rsid w:val="003B3E8E"/>
    <w:rsid w:val="003B3FFF"/>
    <w:rsid w:val="003B4048"/>
    <w:rsid w:val="003B4153"/>
    <w:rsid w:val="003B41A5"/>
    <w:rsid w:val="003B4225"/>
    <w:rsid w:val="003B4227"/>
    <w:rsid w:val="003B42DC"/>
    <w:rsid w:val="003B4454"/>
    <w:rsid w:val="003B4777"/>
    <w:rsid w:val="003B4A6F"/>
    <w:rsid w:val="003B4BD1"/>
    <w:rsid w:val="003B4D60"/>
    <w:rsid w:val="003B501C"/>
    <w:rsid w:val="003B5074"/>
    <w:rsid w:val="003B5085"/>
    <w:rsid w:val="003B5167"/>
    <w:rsid w:val="003B524C"/>
    <w:rsid w:val="003B530D"/>
    <w:rsid w:val="003B5336"/>
    <w:rsid w:val="003B5505"/>
    <w:rsid w:val="003B55A3"/>
    <w:rsid w:val="003B5624"/>
    <w:rsid w:val="003B5727"/>
    <w:rsid w:val="003B5989"/>
    <w:rsid w:val="003B598F"/>
    <w:rsid w:val="003B59D9"/>
    <w:rsid w:val="003B5AB3"/>
    <w:rsid w:val="003B5AEC"/>
    <w:rsid w:val="003B5B0C"/>
    <w:rsid w:val="003B5B61"/>
    <w:rsid w:val="003B5B86"/>
    <w:rsid w:val="003B5C9D"/>
    <w:rsid w:val="003B5D8F"/>
    <w:rsid w:val="003B5F0D"/>
    <w:rsid w:val="003B5F70"/>
    <w:rsid w:val="003B60A9"/>
    <w:rsid w:val="003B62C9"/>
    <w:rsid w:val="003B635F"/>
    <w:rsid w:val="003B64BD"/>
    <w:rsid w:val="003B6738"/>
    <w:rsid w:val="003B6794"/>
    <w:rsid w:val="003B67F7"/>
    <w:rsid w:val="003B6B4E"/>
    <w:rsid w:val="003B6CEB"/>
    <w:rsid w:val="003B6E78"/>
    <w:rsid w:val="003B6FD2"/>
    <w:rsid w:val="003B7171"/>
    <w:rsid w:val="003B7224"/>
    <w:rsid w:val="003B7241"/>
    <w:rsid w:val="003B72F2"/>
    <w:rsid w:val="003B7369"/>
    <w:rsid w:val="003B73EB"/>
    <w:rsid w:val="003B74C6"/>
    <w:rsid w:val="003B74DD"/>
    <w:rsid w:val="003B7550"/>
    <w:rsid w:val="003B756C"/>
    <w:rsid w:val="003B7592"/>
    <w:rsid w:val="003B7594"/>
    <w:rsid w:val="003B75E2"/>
    <w:rsid w:val="003B75F5"/>
    <w:rsid w:val="003B7791"/>
    <w:rsid w:val="003B78D3"/>
    <w:rsid w:val="003B7C6B"/>
    <w:rsid w:val="003B7D1C"/>
    <w:rsid w:val="003B7F05"/>
    <w:rsid w:val="003B7F75"/>
    <w:rsid w:val="003B7F87"/>
    <w:rsid w:val="003C0161"/>
    <w:rsid w:val="003C0213"/>
    <w:rsid w:val="003C0345"/>
    <w:rsid w:val="003C03B6"/>
    <w:rsid w:val="003C0408"/>
    <w:rsid w:val="003C04AA"/>
    <w:rsid w:val="003C05B7"/>
    <w:rsid w:val="003C0630"/>
    <w:rsid w:val="003C06B3"/>
    <w:rsid w:val="003C072A"/>
    <w:rsid w:val="003C0841"/>
    <w:rsid w:val="003C0846"/>
    <w:rsid w:val="003C09B3"/>
    <w:rsid w:val="003C0A0A"/>
    <w:rsid w:val="003C0C15"/>
    <w:rsid w:val="003C0D02"/>
    <w:rsid w:val="003C0D87"/>
    <w:rsid w:val="003C0F68"/>
    <w:rsid w:val="003C1118"/>
    <w:rsid w:val="003C136C"/>
    <w:rsid w:val="003C16F9"/>
    <w:rsid w:val="003C17AE"/>
    <w:rsid w:val="003C1889"/>
    <w:rsid w:val="003C194C"/>
    <w:rsid w:val="003C1981"/>
    <w:rsid w:val="003C1A2E"/>
    <w:rsid w:val="003C1BA2"/>
    <w:rsid w:val="003C1BCC"/>
    <w:rsid w:val="003C1CE5"/>
    <w:rsid w:val="003C1D88"/>
    <w:rsid w:val="003C1EF0"/>
    <w:rsid w:val="003C1F20"/>
    <w:rsid w:val="003C1F81"/>
    <w:rsid w:val="003C1FCF"/>
    <w:rsid w:val="003C21C8"/>
    <w:rsid w:val="003C2204"/>
    <w:rsid w:val="003C23B2"/>
    <w:rsid w:val="003C23B6"/>
    <w:rsid w:val="003C2408"/>
    <w:rsid w:val="003C2485"/>
    <w:rsid w:val="003C2863"/>
    <w:rsid w:val="003C2ABB"/>
    <w:rsid w:val="003C2B02"/>
    <w:rsid w:val="003C2B93"/>
    <w:rsid w:val="003C2C26"/>
    <w:rsid w:val="003C2C61"/>
    <w:rsid w:val="003C2D12"/>
    <w:rsid w:val="003C2D80"/>
    <w:rsid w:val="003C2E94"/>
    <w:rsid w:val="003C2FE4"/>
    <w:rsid w:val="003C310F"/>
    <w:rsid w:val="003C33C7"/>
    <w:rsid w:val="003C36C0"/>
    <w:rsid w:val="003C38E3"/>
    <w:rsid w:val="003C3B86"/>
    <w:rsid w:val="003C3C5D"/>
    <w:rsid w:val="003C3CF2"/>
    <w:rsid w:val="003C3EDB"/>
    <w:rsid w:val="003C3FDE"/>
    <w:rsid w:val="003C4085"/>
    <w:rsid w:val="003C4319"/>
    <w:rsid w:val="003C4717"/>
    <w:rsid w:val="003C4930"/>
    <w:rsid w:val="003C4978"/>
    <w:rsid w:val="003C4B91"/>
    <w:rsid w:val="003C4C4F"/>
    <w:rsid w:val="003C4D2E"/>
    <w:rsid w:val="003C4D74"/>
    <w:rsid w:val="003C50D6"/>
    <w:rsid w:val="003C50F0"/>
    <w:rsid w:val="003C5160"/>
    <w:rsid w:val="003C51A3"/>
    <w:rsid w:val="003C51A6"/>
    <w:rsid w:val="003C51DD"/>
    <w:rsid w:val="003C5334"/>
    <w:rsid w:val="003C53F6"/>
    <w:rsid w:val="003C542D"/>
    <w:rsid w:val="003C5565"/>
    <w:rsid w:val="003C580A"/>
    <w:rsid w:val="003C5959"/>
    <w:rsid w:val="003C59A4"/>
    <w:rsid w:val="003C59A6"/>
    <w:rsid w:val="003C5B65"/>
    <w:rsid w:val="003C5CA0"/>
    <w:rsid w:val="003C5DC2"/>
    <w:rsid w:val="003C5E62"/>
    <w:rsid w:val="003C5EAE"/>
    <w:rsid w:val="003C6062"/>
    <w:rsid w:val="003C6088"/>
    <w:rsid w:val="003C60A4"/>
    <w:rsid w:val="003C61E1"/>
    <w:rsid w:val="003C6284"/>
    <w:rsid w:val="003C6311"/>
    <w:rsid w:val="003C642E"/>
    <w:rsid w:val="003C6436"/>
    <w:rsid w:val="003C64F2"/>
    <w:rsid w:val="003C6601"/>
    <w:rsid w:val="003C66F0"/>
    <w:rsid w:val="003C676A"/>
    <w:rsid w:val="003C67B7"/>
    <w:rsid w:val="003C6820"/>
    <w:rsid w:val="003C69E3"/>
    <w:rsid w:val="003C6B3C"/>
    <w:rsid w:val="003C6CCD"/>
    <w:rsid w:val="003C6E8D"/>
    <w:rsid w:val="003C6E9A"/>
    <w:rsid w:val="003C6F55"/>
    <w:rsid w:val="003C70D6"/>
    <w:rsid w:val="003C734E"/>
    <w:rsid w:val="003C7821"/>
    <w:rsid w:val="003C78FD"/>
    <w:rsid w:val="003C7951"/>
    <w:rsid w:val="003C7A1B"/>
    <w:rsid w:val="003C7A9B"/>
    <w:rsid w:val="003C7AD2"/>
    <w:rsid w:val="003C7B58"/>
    <w:rsid w:val="003C7B7F"/>
    <w:rsid w:val="003C7D54"/>
    <w:rsid w:val="003C7ED8"/>
    <w:rsid w:val="003C7EF4"/>
    <w:rsid w:val="003D00FC"/>
    <w:rsid w:val="003D0301"/>
    <w:rsid w:val="003D0345"/>
    <w:rsid w:val="003D0679"/>
    <w:rsid w:val="003D06E8"/>
    <w:rsid w:val="003D0979"/>
    <w:rsid w:val="003D0ABA"/>
    <w:rsid w:val="003D0B88"/>
    <w:rsid w:val="003D0E5B"/>
    <w:rsid w:val="003D0E75"/>
    <w:rsid w:val="003D0EA7"/>
    <w:rsid w:val="003D0EEC"/>
    <w:rsid w:val="003D126F"/>
    <w:rsid w:val="003D12A0"/>
    <w:rsid w:val="003D12B5"/>
    <w:rsid w:val="003D1391"/>
    <w:rsid w:val="003D1578"/>
    <w:rsid w:val="003D1797"/>
    <w:rsid w:val="003D1912"/>
    <w:rsid w:val="003D1AEE"/>
    <w:rsid w:val="003D1DFE"/>
    <w:rsid w:val="003D1E4C"/>
    <w:rsid w:val="003D1ECA"/>
    <w:rsid w:val="003D1F82"/>
    <w:rsid w:val="003D2120"/>
    <w:rsid w:val="003D21E5"/>
    <w:rsid w:val="003D228B"/>
    <w:rsid w:val="003D2451"/>
    <w:rsid w:val="003D24B8"/>
    <w:rsid w:val="003D25A3"/>
    <w:rsid w:val="003D26E4"/>
    <w:rsid w:val="003D29EE"/>
    <w:rsid w:val="003D2BA4"/>
    <w:rsid w:val="003D2C90"/>
    <w:rsid w:val="003D2E1F"/>
    <w:rsid w:val="003D2EEF"/>
    <w:rsid w:val="003D31A3"/>
    <w:rsid w:val="003D3392"/>
    <w:rsid w:val="003D347B"/>
    <w:rsid w:val="003D34D7"/>
    <w:rsid w:val="003D3510"/>
    <w:rsid w:val="003D36EA"/>
    <w:rsid w:val="003D37C0"/>
    <w:rsid w:val="003D3837"/>
    <w:rsid w:val="003D388F"/>
    <w:rsid w:val="003D3A3D"/>
    <w:rsid w:val="003D3B1C"/>
    <w:rsid w:val="003D3B41"/>
    <w:rsid w:val="003D3B56"/>
    <w:rsid w:val="003D3C84"/>
    <w:rsid w:val="003D3CEB"/>
    <w:rsid w:val="003D4268"/>
    <w:rsid w:val="003D42C9"/>
    <w:rsid w:val="003D4479"/>
    <w:rsid w:val="003D46C0"/>
    <w:rsid w:val="003D46D2"/>
    <w:rsid w:val="003D479F"/>
    <w:rsid w:val="003D4813"/>
    <w:rsid w:val="003D4886"/>
    <w:rsid w:val="003D497E"/>
    <w:rsid w:val="003D49A0"/>
    <w:rsid w:val="003D4BE8"/>
    <w:rsid w:val="003D4E44"/>
    <w:rsid w:val="003D4E72"/>
    <w:rsid w:val="003D4EAB"/>
    <w:rsid w:val="003D4ECA"/>
    <w:rsid w:val="003D4FB7"/>
    <w:rsid w:val="003D4FF4"/>
    <w:rsid w:val="003D500A"/>
    <w:rsid w:val="003D50FF"/>
    <w:rsid w:val="003D5266"/>
    <w:rsid w:val="003D53F5"/>
    <w:rsid w:val="003D5471"/>
    <w:rsid w:val="003D54BB"/>
    <w:rsid w:val="003D54C7"/>
    <w:rsid w:val="003D55C9"/>
    <w:rsid w:val="003D56D4"/>
    <w:rsid w:val="003D5924"/>
    <w:rsid w:val="003D5AB6"/>
    <w:rsid w:val="003D5CB5"/>
    <w:rsid w:val="003D5CF7"/>
    <w:rsid w:val="003D5D08"/>
    <w:rsid w:val="003D5D84"/>
    <w:rsid w:val="003D5F5E"/>
    <w:rsid w:val="003D5F69"/>
    <w:rsid w:val="003D6050"/>
    <w:rsid w:val="003D609D"/>
    <w:rsid w:val="003D6298"/>
    <w:rsid w:val="003D66CE"/>
    <w:rsid w:val="003D6A53"/>
    <w:rsid w:val="003D6E7B"/>
    <w:rsid w:val="003D6F7B"/>
    <w:rsid w:val="003D6F93"/>
    <w:rsid w:val="003D7140"/>
    <w:rsid w:val="003D71F1"/>
    <w:rsid w:val="003D726C"/>
    <w:rsid w:val="003D7340"/>
    <w:rsid w:val="003D778F"/>
    <w:rsid w:val="003D77D5"/>
    <w:rsid w:val="003D77EB"/>
    <w:rsid w:val="003D781F"/>
    <w:rsid w:val="003D78C5"/>
    <w:rsid w:val="003D78FA"/>
    <w:rsid w:val="003D794E"/>
    <w:rsid w:val="003D7ABC"/>
    <w:rsid w:val="003D7C3D"/>
    <w:rsid w:val="003D7D34"/>
    <w:rsid w:val="003D7D43"/>
    <w:rsid w:val="003D7D59"/>
    <w:rsid w:val="003D7E0B"/>
    <w:rsid w:val="003D7F72"/>
    <w:rsid w:val="003E01EE"/>
    <w:rsid w:val="003E027A"/>
    <w:rsid w:val="003E0382"/>
    <w:rsid w:val="003E0384"/>
    <w:rsid w:val="003E0411"/>
    <w:rsid w:val="003E05B7"/>
    <w:rsid w:val="003E0830"/>
    <w:rsid w:val="003E0B59"/>
    <w:rsid w:val="003E0B94"/>
    <w:rsid w:val="003E0D16"/>
    <w:rsid w:val="003E0EBE"/>
    <w:rsid w:val="003E0F19"/>
    <w:rsid w:val="003E0F3D"/>
    <w:rsid w:val="003E1060"/>
    <w:rsid w:val="003E135A"/>
    <w:rsid w:val="003E1D39"/>
    <w:rsid w:val="003E1DB2"/>
    <w:rsid w:val="003E1DC3"/>
    <w:rsid w:val="003E1E03"/>
    <w:rsid w:val="003E1F48"/>
    <w:rsid w:val="003E224A"/>
    <w:rsid w:val="003E227D"/>
    <w:rsid w:val="003E26AC"/>
    <w:rsid w:val="003E272D"/>
    <w:rsid w:val="003E2745"/>
    <w:rsid w:val="003E28C7"/>
    <w:rsid w:val="003E2AB3"/>
    <w:rsid w:val="003E2C7C"/>
    <w:rsid w:val="003E2F5A"/>
    <w:rsid w:val="003E2F8F"/>
    <w:rsid w:val="003E317D"/>
    <w:rsid w:val="003E318C"/>
    <w:rsid w:val="003E31BB"/>
    <w:rsid w:val="003E326E"/>
    <w:rsid w:val="003E35C1"/>
    <w:rsid w:val="003E36EC"/>
    <w:rsid w:val="003E38D9"/>
    <w:rsid w:val="003E3A3D"/>
    <w:rsid w:val="003E3A7C"/>
    <w:rsid w:val="003E3A9B"/>
    <w:rsid w:val="003E3B22"/>
    <w:rsid w:val="003E3B3E"/>
    <w:rsid w:val="003E3BAB"/>
    <w:rsid w:val="003E3BD3"/>
    <w:rsid w:val="003E3D6B"/>
    <w:rsid w:val="003E3FF5"/>
    <w:rsid w:val="003E41D3"/>
    <w:rsid w:val="003E42C4"/>
    <w:rsid w:val="003E4321"/>
    <w:rsid w:val="003E4433"/>
    <w:rsid w:val="003E444D"/>
    <w:rsid w:val="003E4481"/>
    <w:rsid w:val="003E45BF"/>
    <w:rsid w:val="003E467D"/>
    <w:rsid w:val="003E4692"/>
    <w:rsid w:val="003E4716"/>
    <w:rsid w:val="003E486D"/>
    <w:rsid w:val="003E48F7"/>
    <w:rsid w:val="003E498B"/>
    <w:rsid w:val="003E4E27"/>
    <w:rsid w:val="003E4E2B"/>
    <w:rsid w:val="003E4F7D"/>
    <w:rsid w:val="003E50C9"/>
    <w:rsid w:val="003E50E9"/>
    <w:rsid w:val="003E5226"/>
    <w:rsid w:val="003E536B"/>
    <w:rsid w:val="003E5525"/>
    <w:rsid w:val="003E5580"/>
    <w:rsid w:val="003E55B5"/>
    <w:rsid w:val="003E56B2"/>
    <w:rsid w:val="003E570D"/>
    <w:rsid w:val="003E578D"/>
    <w:rsid w:val="003E57A5"/>
    <w:rsid w:val="003E5CAF"/>
    <w:rsid w:val="003E5D6A"/>
    <w:rsid w:val="003E5DD5"/>
    <w:rsid w:val="003E5E00"/>
    <w:rsid w:val="003E5F49"/>
    <w:rsid w:val="003E600A"/>
    <w:rsid w:val="003E62D1"/>
    <w:rsid w:val="003E63AF"/>
    <w:rsid w:val="003E63F2"/>
    <w:rsid w:val="003E6605"/>
    <w:rsid w:val="003E6607"/>
    <w:rsid w:val="003E6623"/>
    <w:rsid w:val="003E665D"/>
    <w:rsid w:val="003E66D9"/>
    <w:rsid w:val="003E67C6"/>
    <w:rsid w:val="003E6807"/>
    <w:rsid w:val="003E685C"/>
    <w:rsid w:val="003E6885"/>
    <w:rsid w:val="003E6945"/>
    <w:rsid w:val="003E699E"/>
    <w:rsid w:val="003E6B99"/>
    <w:rsid w:val="003E6CC5"/>
    <w:rsid w:val="003E6CE5"/>
    <w:rsid w:val="003E6D10"/>
    <w:rsid w:val="003E6E63"/>
    <w:rsid w:val="003E6FDC"/>
    <w:rsid w:val="003E7287"/>
    <w:rsid w:val="003E7427"/>
    <w:rsid w:val="003E75A9"/>
    <w:rsid w:val="003E7614"/>
    <w:rsid w:val="003E7780"/>
    <w:rsid w:val="003E77F8"/>
    <w:rsid w:val="003E7829"/>
    <w:rsid w:val="003E7A90"/>
    <w:rsid w:val="003E7C54"/>
    <w:rsid w:val="003E7D46"/>
    <w:rsid w:val="003E7DDC"/>
    <w:rsid w:val="003E7EB5"/>
    <w:rsid w:val="003F003C"/>
    <w:rsid w:val="003F017D"/>
    <w:rsid w:val="003F020C"/>
    <w:rsid w:val="003F0300"/>
    <w:rsid w:val="003F03C3"/>
    <w:rsid w:val="003F0440"/>
    <w:rsid w:val="003F0557"/>
    <w:rsid w:val="003F05BF"/>
    <w:rsid w:val="003F0624"/>
    <w:rsid w:val="003F06CA"/>
    <w:rsid w:val="003F0851"/>
    <w:rsid w:val="003F0934"/>
    <w:rsid w:val="003F0BB1"/>
    <w:rsid w:val="003F0C0E"/>
    <w:rsid w:val="003F0C11"/>
    <w:rsid w:val="003F0C9F"/>
    <w:rsid w:val="003F0D9B"/>
    <w:rsid w:val="003F0EB9"/>
    <w:rsid w:val="003F0FD6"/>
    <w:rsid w:val="003F1181"/>
    <w:rsid w:val="003F1261"/>
    <w:rsid w:val="003F12EB"/>
    <w:rsid w:val="003F14A3"/>
    <w:rsid w:val="003F163B"/>
    <w:rsid w:val="003F164B"/>
    <w:rsid w:val="003F1792"/>
    <w:rsid w:val="003F17CD"/>
    <w:rsid w:val="003F1809"/>
    <w:rsid w:val="003F1813"/>
    <w:rsid w:val="003F18F2"/>
    <w:rsid w:val="003F197B"/>
    <w:rsid w:val="003F1987"/>
    <w:rsid w:val="003F1A6A"/>
    <w:rsid w:val="003F1ADC"/>
    <w:rsid w:val="003F1BF4"/>
    <w:rsid w:val="003F1D25"/>
    <w:rsid w:val="003F1D71"/>
    <w:rsid w:val="003F1EB1"/>
    <w:rsid w:val="003F1FD0"/>
    <w:rsid w:val="003F204A"/>
    <w:rsid w:val="003F22C6"/>
    <w:rsid w:val="003F24A5"/>
    <w:rsid w:val="003F2508"/>
    <w:rsid w:val="003F274E"/>
    <w:rsid w:val="003F299F"/>
    <w:rsid w:val="003F29D3"/>
    <w:rsid w:val="003F2AEC"/>
    <w:rsid w:val="003F2B5E"/>
    <w:rsid w:val="003F2BA9"/>
    <w:rsid w:val="003F2D56"/>
    <w:rsid w:val="003F2DE0"/>
    <w:rsid w:val="003F2EDA"/>
    <w:rsid w:val="003F2FA6"/>
    <w:rsid w:val="003F3048"/>
    <w:rsid w:val="003F3082"/>
    <w:rsid w:val="003F318A"/>
    <w:rsid w:val="003F32E7"/>
    <w:rsid w:val="003F3534"/>
    <w:rsid w:val="003F353E"/>
    <w:rsid w:val="003F363D"/>
    <w:rsid w:val="003F3652"/>
    <w:rsid w:val="003F3664"/>
    <w:rsid w:val="003F3683"/>
    <w:rsid w:val="003F36A9"/>
    <w:rsid w:val="003F36DA"/>
    <w:rsid w:val="003F388C"/>
    <w:rsid w:val="003F3B8D"/>
    <w:rsid w:val="003F3F78"/>
    <w:rsid w:val="003F3FC9"/>
    <w:rsid w:val="003F3FCC"/>
    <w:rsid w:val="003F421C"/>
    <w:rsid w:val="003F461A"/>
    <w:rsid w:val="003F4A31"/>
    <w:rsid w:val="003F4BD7"/>
    <w:rsid w:val="003F4C53"/>
    <w:rsid w:val="003F4C8F"/>
    <w:rsid w:val="003F4CCF"/>
    <w:rsid w:val="003F513F"/>
    <w:rsid w:val="003F5384"/>
    <w:rsid w:val="003F5394"/>
    <w:rsid w:val="003F54FA"/>
    <w:rsid w:val="003F57A9"/>
    <w:rsid w:val="003F57E4"/>
    <w:rsid w:val="003F57F7"/>
    <w:rsid w:val="003F58D4"/>
    <w:rsid w:val="003F5900"/>
    <w:rsid w:val="003F5929"/>
    <w:rsid w:val="003F5963"/>
    <w:rsid w:val="003F5A17"/>
    <w:rsid w:val="003F5A4C"/>
    <w:rsid w:val="003F5AC3"/>
    <w:rsid w:val="003F5B90"/>
    <w:rsid w:val="003F5BAB"/>
    <w:rsid w:val="003F5FB0"/>
    <w:rsid w:val="003F607F"/>
    <w:rsid w:val="003F6123"/>
    <w:rsid w:val="003F616A"/>
    <w:rsid w:val="003F63A0"/>
    <w:rsid w:val="003F6522"/>
    <w:rsid w:val="003F678D"/>
    <w:rsid w:val="003F6848"/>
    <w:rsid w:val="003F6955"/>
    <w:rsid w:val="003F6B56"/>
    <w:rsid w:val="003F6BC4"/>
    <w:rsid w:val="003F6CA2"/>
    <w:rsid w:val="003F6CC2"/>
    <w:rsid w:val="003F6DFE"/>
    <w:rsid w:val="003F6E0C"/>
    <w:rsid w:val="003F709A"/>
    <w:rsid w:val="003F726A"/>
    <w:rsid w:val="003F733D"/>
    <w:rsid w:val="003F740E"/>
    <w:rsid w:val="003F74E6"/>
    <w:rsid w:val="003F74E7"/>
    <w:rsid w:val="003F7500"/>
    <w:rsid w:val="003F7579"/>
    <w:rsid w:val="003F768E"/>
    <w:rsid w:val="003F7785"/>
    <w:rsid w:val="003F783D"/>
    <w:rsid w:val="003F787E"/>
    <w:rsid w:val="003F78DF"/>
    <w:rsid w:val="003F7A28"/>
    <w:rsid w:val="003F7D63"/>
    <w:rsid w:val="003F7E18"/>
    <w:rsid w:val="003F7E4E"/>
    <w:rsid w:val="004001EE"/>
    <w:rsid w:val="004006AD"/>
    <w:rsid w:val="00400760"/>
    <w:rsid w:val="004007EC"/>
    <w:rsid w:val="0040080D"/>
    <w:rsid w:val="0040094E"/>
    <w:rsid w:val="00400A40"/>
    <w:rsid w:val="00400A43"/>
    <w:rsid w:val="00400A6F"/>
    <w:rsid w:val="00400B27"/>
    <w:rsid w:val="00400B7C"/>
    <w:rsid w:val="00400C6D"/>
    <w:rsid w:val="00400C9B"/>
    <w:rsid w:val="00400D22"/>
    <w:rsid w:val="00400E82"/>
    <w:rsid w:val="00400EA2"/>
    <w:rsid w:val="00400F60"/>
    <w:rsid w:val="00400F98"/>
    <w:rsid w:val="0040108F"/>
    <w:rsid w:val="0040110B"/>
    <w:rsid w:val="00401136"/>
    <w:rsid w:val="004011FE"/>
    <w:rsid w:val="00401383"/>
    <w:rsid w:val="004013A1"/>
    <w:rsid w:val="004014AA"/>
    <w:rsid w:val="0040160B"/>
    <w:rsid w:val="00401688"/>
    <w:rsid w:val="0040173A"/>
    <w:rsid w:val="004017BE"/>
    <w:rsid w:val="00401894"/>
    <w:rsid w:val="004018B4"/>
    <w:rsid w:val="00401A80"/>
    <w:rsid w:val="00401B79"/>
    <w:rsid w:val="00401CB6"/>
    <w:rsid w:val="00401CC1"/>
    <w:rsid w:val="00401D6A"/>
    <w:rsid w:val="00401DBE"/>
    <w:rsid w:val="004022B6"/>
    <w:rsid w:val="0040238C"/>
    <w:rsid w:val="0040239F"/>
    <w:rsid w:val="004024DE"/>
    <w:rsid w:val="0040264C"/>
    <w:rsid w:val="004028FD"/>
    <w:rsid w:val="0040290E"/>
    <w:rsid w:val="004029A2"/>
    <w:rsid w:val="00402AC5"/>
    <w:rsid w:val="00402C49"/>
    <w:rsid w:val="00402DC1"/>
    <w:rsid w:val="00402E86"/>
    <w:rsid w:val="00402F0B"/>
    <w:rsid w:val="0040302B"/>
    <w:rsid w:val="00403227"/>
    <w:rsid w:val="00403290"/>
    <w:rsid w:val="00403383"/>
    <w:rsid w:val="0040379E"/>
    <w:rsid w:val="004038F0"/>
    <w:rsid w:val="00403D05"/>
    <w:rsid w:val="00403D8B"/>
    <w:rsid w:val="004040BA"/>
    <w:rsid w:val="0040414D"/>
    <w:rsid w:val="00404199"/>
    <w:rsid w:val="00404386"/>
    <w:rsid w:val="00404501"/>
    <w:rsid w:val="00404558"/>
    <w:rsid w:val="004045CA"/>
    <w:rsid w:val="0040477F"/>
    <w:rsid w:val="0040480D"/>
    <w:rsid w:val="00404825"/>
    <w:rsid w:val="004049A8"/>
    <w:rsid w:val="004049BD"/>
    <w:rsid w:val="00404DD0"/>
    <w:rsid w:val="00404E3A"/>
    <w:rsid w:val="00405051"/>
    <w:rsid w:val="00405127"/>
    <w:rsid w:val="00405209"/>
    <w:rsid w:val="0040534A"/>
    <w:rsid w:val="00405445"/>
    <w:rsid w:val="00405482"/>
    <w:rsid w:val="004055B2"/>
    <w:rsid w:val="0040563A"/>
    <w:rsid w:val="004056B8"/>
    <w:rsid w:val="00405726"/>
    <w:rsid w:val="00405BD8"/>
    <w:rsid w:val="00405E39"/>
    <w:rsid w:val="00405E65"/>
    <w:rsid w:val="00405EF7"/>
    <w:rsid w:val="00405FF6"/>
    <w:rsid w:val="00405FF9"/>
    <w:rsid w:val="00406113"/>
    <w:rsid w:val="0040616E"/>
    <w:rsid w:val="00406230"/>
    <w:rsid w:val="00406239"/>
    <w:rsid w:val="004063D8"/>
    <w:rsid w:val="0040643D"/>
    <w:rsid w:val="004065A4"/>
    <w:rsid w:val="00406714"/>
    <w:rsid w:val="004067BE"/>
    <w:rsid w:val="00406808"/>
    <w:rsid w:val="00406848"/>
    <w:rsid w:val="00406984"/>
    <w:rsid w:val="0040699C"/>
    <w:rsid w:val="00406B9C"/>
    <w:rsid w:val="00406C54"/>
    <w:rsid w:val="00406C76"/>
    <w:rsid w:val="00406CCD"/>
    <w:rsid w:val="00406E72"/>
    <w:rsid w:val="00406F07"/>
    <w:rsid w:val="00406F65"/>
    <w:rsid w:val="00407067"/>
    <w:rsid w:val="0040733A"/>
    <w:rsid w:val="004076B7"/>
    <w:rsid w:val="00407737"/>
    <w:rsid w:val="00407765"/>
    <w:rsid w:val="004077A7"/>
    <w:rsid w:val="00407806"/>
    <w:rsid w:val="00407817"/>
    <w:rsid w:val="00407843"/>
    <w:rsid w:val="00407C39"/>
    <w:rsid w:val="00407D6B"/>
    <w:rsid w:val="00407D8D"/>
    <w:rsid w:val="00407E29"/>
    <w:rsid w:val="0041002C"/>
    <w:rsid w:val="00410077"/>
    <w:rsid w:val="00410128"/>
    <w:rsid w:val="004101A6"/>
    <w:rsid w:val="004101DB"/>
    <w:rsid w:val="0041021D"/>
    <w:rsid w:val="004102B4"/>
    <w:rsid w:val="004102D6"/>
    <w:rsid w:val="00410300"/>
    <w:rsid w:val="004104B5"/>
    <w:rsid w:val="0041064F"/>
    <w:rsid w:val="00410690"/>
    <w:rsid w:val="00410FE7"/>
    <w:rsid w:val="00411169"/>
    <w:rsid w:val="00411598"/>
    <w:rsid w:val="004115E1"/>
    <w:rsid w:val="00411723"/>
    <w:rsid w:val="00411CC6"/>
    <w:rsid w:val="00411E6D"/>
    <w:rsid w:val="00412098"/>
    <w:rsid w:val="004120C6"/>
    <w:rsid w:val="0041214D"/>
    <w:rsid w:val="0041228F"/>
    <w:rsid w:val="004122F1"/>
    <w:rsid w:val="004123F6"/>
    <w:rsid w:val="0041260D"/>
    <w:rsid w:val="00412613"/>
    <w:rsid w:val="00412786"/>
    <w:rsid w:val="004127A8"/>
    <w:rsid w:val="0041288A"/>
    <w:rsid w:val="00412899"/>
    <w:rsid w:val="0041290D"/>
    <w:rsid w:val="0041298C"/>
    <w:rsid w:val="004129DB"/>
    <w:rsid w:val="00412C80"/>
    <w:rsid w:val="00412DB0"/>
    <w:rsid w:val="00412F40"/>
    <w:rsid w:val="004130BF"/>
    <w:rsid w:val="00413107"/>
    <w:rsid w:val="004133BE"/>
    <w:rsid w:val="004133C9"/>
    <w:rsid w:val="004135E6"/>
    <w:rsid w:val="00413991"/>
    <w:rsid w:val="00413A7C"/>
    <w:rsid w:val="00413B56"/>
    <w:rsid w:val="00413BDD"/>
    <w:rsid w:val="00413C1C"/>
    <w:rsid w:val="00413C6B"/>
    <w:rsid w:val="00413FAC"/>
    <w:rsid w:val="00413FAF"/>
    <w:rsid w:val="004140F5"/>
    <w:rsid w:val="0041414E"/>
    <w:rsid w:val="00414193"/>
    <w:rsid w:val="00414287"/>
    <w:rsid w:val="004143EB"/>
    <w:rsid w:val="0041445F"/>
    <w:rsid w:val="004144C1"/>
    <w:rsid w:val="0041452B"/>
    <w:rsid w:val="004145CF"/>
    <w:rsid w:val="004145DF"/>
    <w:rsid w:val="0041464A"/>
    <w:rsid w:val="00414665"/>
    <w:rsid w:val="00414BBC"/>
    <w:rsid w:val="00414BE9"/>
    <w:rsid w:val="00414E40"/>
    <w:rsid w:val="00414F82"/>
    <w:rsid w:val="00414FE6"/>
    <w:rsid w:val="004150A8"/>
    <w:rsid w:val="004150EA"/>
    <w:rsid w:val="004151BB"/>
    <w:rsid w:val="0041535B"/>
    <w:rsid w:val="00415387"/>
    <w:rsid w:val="004156DD"/>
    <w:rsid w:val="004157FE"/>
    <w:rsid w:val="00415881"/>
    <w:rsid w:val="004159A3"/>
    <w:rsid w:val="00415AF4"/>
    <w:rsid w:val="00415DA3"/>
    <w:rsid w:val="00415E27"/>
    <w:rsid w:val="00415E47"/>
    <w:rsid w:val="00415EF1"/>
    <w:rsid w:val="00415EFE"/>
    <w:rsid w:val="00415F08"/>
    <w:rsid w:val="004163B6"/>
    <w:rsid w:val="00416449"/>
    <w:rsid w:val="0041674D"/>
    <w:rsid w:val="004167E4"/>
    <w:rsid w:val="00416A01"/>
    <w:rsid w:val="00416A45"/>
    <w:rsid w:val="00416C60"/>
    <w:rsid w:val="00416E19"/>
    <w:rsid w:val="0041738D"/>
    <w:rsid w:val="0041747E"/>
    <w:rsid w:val="0041753B"/>
    <w:rsid w:val="004177BD"/>
    <w:rsid w:val="0041795A"/>
    <w:rsid w:val="00417A4A"/>
    <w:rsid w:val="00417AC5"/>
    <w:rsid w:val="00417E0D"/>
    <w:rsid w:val="00417E45"/>
    <w:rsid w:val="00417F32"/>
    <w:rsid w:val="0042007A"/>
    <w:rsid w:val="00420147"/>
    <w:rsid w:val="00420189"/>
    <w:rsid w:val="00420214"/>
    <w:rsid w:val="004203A3"/>
    <w:rsid w:val="00420477"/>
    <w:rsid w:val="0042054F"/>
    <w:rsid w:val="004205B0"/>
    <w:rsid w:val="004206E0"/>
    <w:rsid w:val="00420794"/>
    <w:rsid w:val="00420964"/>
    <w:rsid w:val="00420BCC"/>
    <w:rsid w:val="00420C99"/>
    <w:rsid w:val="00420CE0"/>
    <w:rsid w:val="00420D60"/>
    <w:rsid w:val="00420E85"/>
    <w:rsid w:val="00420EBD"/>
    <w:rsid w:val="00420F6D"/>
    <w:rsid w:val="0042113C"/>
    <w:rsid w:val="00421500"/>
    <w:rsid w:val="00421516"/>
    <w:rsid w:val="0042151E"/>
    <w:rsid w:val="00421675"/>
    <w:rsid w:val="00421750"/>
    <w:rsid w:val="00421768"/>
    <w:rsid w:val="0042182B"/>
    <w:rsid w:val="00421860"/>
    <w:rsid w:val="00421A10"/>
    <w:rsid w:val="00421B92"/>
    <w:rsid w:val="00421CF2"/>
    <w:rsid w:val="00421D21"/>
    <w:rsid w:val="00421D56"/>
    <w:rsid w:val="00421D68"/>
    <w:rsid w:val="00421D6C"/>
    <w:rsid w:val="00421E68"/>
    <w:rsid w:val="00421EA9"/>
    <w:rsid w:val="00421F84"/>
    <w:rsid w:val="0042215F"/>
    <w:rsid w:val="004227BF"/>
    <w:rsid w:val="0042295C"/>
    <w:rsid w:val="004229A2"/>
    <w:rsid w:val="00422A66"/>
    <w:rsid w:val="00422AA3"/>
    <w:rsid w:val="00422C78"/>
    <w:rsid w:val="00422E93"/>
    <w:rsid w:val="00423034"/>
    <w:rsid w:val="00423178"/>
    <w:rsid w:val="0042318F"/>
    <w:rsid w:val="004233BD"/>
    <w:rsid w:val="0042345E"/>
    <w:rsid w:val="00423553"/>
    <w:rsid w:val="004235ED"/>
    <w:rsid w:val="004236FC"/>
    <w:rsid w:val="0042370B"/>
    <w:rsid w:val="00423761"/>
    <w:rsid w:val="004237BD"/>
    <w:rsid w:val="004238C1"/>
    <w:rsid w:val="004238C5"/>
    <w:rsid w:val="00423A12"/>
    <w:rsid w:val="00423CBC"/>
    <w:rsid w:val="00423D28"/>
    <w:rsid w:val="00423F58"/>
    <w:rsid w:val="0042407F"/>
    <w:rsid w:val="00424099"/>
    <w:rsid w:val="00424126"/>
    <w:rsid w:val="00424190"/>
    <w:rsid w:val="0042433A"/>
    <w:rsid w:val="0042443A"/>
    <w:rsid w:val="004246E5"/>
    <w:rsid w:val="004246ED"/>
    <w:rsid w:val="0042478B"/>
    <w:rsid w:val="004247A7"/>
    <w:rsid w:val="00424A13"/>
    <w:rsid w:val="00424A30"/>
    <w:rsid w:val="00424A47"/>
    <w:rsid w:val="00424B53"/>
    <w:rsid w:val="00424C39"/>
    <w:rsid w:val="00424EC5"/>
    <w:rsid w:val="00424EFF"/>
    <w:rsid w:val="00424F4E"/>
    <w:rsid w:val="00425012"/>
    <w:rsid w:val="004250F5"/>
    <w:rsid w:val="00425286"/>
    <w:rsid w:val="00425588"/>
    <w:rsid w:val="004255E3"/>
    <w:rsid w:val="00425790"/>
    <w:rsid w:val="00425841"/>
    <w:rsid w:val="004258C1"/>
    <w:rsid w:val="00425A36"/>
    <w:rsid w:val="00425A6C"/>
    <w:rsid w:val="00425B34"/>
    <w:rsid w:val="00425B37"/>
    <w:rsid w:val="00425CED"/>
    <w:rsid w:val="00425D7F"/>
    <w:rsid w:val="00425ED5"/>
    <w:rsid w:val="00425F86"/>
    <w:rsid w:val="00425FA1"/>
    <w:rsid w:val="004260EE"/>
    <w:rsid w:val="00426400"/>
    <w:rsid w:val="0042649A"/>
    <w:rsid w:val="0042650A"/>
    <w:rsid w:val="004266E2"/>
    <w:rsid w:val="00426726"/>
    <w:rsid w:val="004267D9"/>
    <w:rsid w:val="00426969"/>
    <w:rsid w:val="00426A10"/>
    <w:rsid w:val="00426AB7"/>
    <w:rsid w:val="00426B27"/>
    <w:rsid w:val="00426F72"/>
    <w:rsid w:val="00426FAB"/>
    <w:rsid w:val="00426FFE"/>
    <w:rsid w:val="00427147"/>
    <w:rsid w:val="00427148"/>
    <w:rsid w:val="00427203"/>
    <w:rsid w:val="00427232"/>
    <w:rsid w:val="00427249"/>
    <w:rsid w:val="00427320"/>
    <w:rsid w:val="004273AC"/>
    <w:rsid w:val="004274C3"/>
    <w:rsid w:val="004275EA"/>
    <w:rsid w:val="004276C0"/>
    <w:rsid w:val="0042794C"/>
    <w:rsid w:val="00427995"/>
    <w:rsid w:val="00427B1A"/>
    <w:rsid w:val="00427C31"/>
    <w:rsid w:val="00427C97"/>
    <w:rsid w:val="0043007D"/>
    <w:rsid w:val="004300BA"/>
    <w:rsid w:val="00430132"/>
    <w:rsid w:val="004301CD"/>
    <w:rsid w:val="004303C9"/>
    <w:rsid w:val="00430414"/>
    <w:rsid w:val="0043041F"/>
    <w:rsid w:val="004304AE"/>
    <w:rsid w:val="004305B1"/>
    <w:rsid w:val="004305EC"/>
    <w:rsid w:val="004306EF"/>
    <w:rsid w:val="004307AB"/>
    <w:rsid w:val="00430A8F"/>
    <w:rsid w:val="00430AD5"/>
    <w:rsid w:val="00430C26"/>
    <w:rsid w:val="00430C78"/>
    <w:rsid w:val="00430D63"/>
    <w:rsid w:val="00430E1C"/>
    <w:rsid w:val="00430F2F"/>
    <w:rsid w:val="00431073"/>
    <w:rsid w:val="0043108F"/>
    <w:rsid w:val="00431176"/>
    <w:rsid w:val="004311BE"/>
    <w:rsid w:val="004311F3"/>
    <w:rsid w:val="00431347"/>
    <w:rsid w:val="004315A0"/>
    <w:rsid w:val="004316EE"/>
    <w:rsid w:val="00431743"/>
    <w:rsid w:val="00431769"/>
    <w:rsid w:val="004317E7"/>
    <w:rsid w:val="0043180A"/>
    <w:rsid w:val="004318E4"/>
    <w:rsid w:val="00431A06"/>
    <w:rsid w:val="00431A14"/>
    <w:rsid w:val="00431C31"/>
    <w:rsid w:val="00431D38"/>
    <w:rsid w:val="00431E0D"/>
    <w:rsid w:val="00431E10"/>
    <w:rsid w:val="00431E1C"/>
    <w:rsid w:val="00431E67"/>
    <w:rsid w:val="0043204D"/>
    <w:rsid w:val="0043209A"/>
    <w:rsid w:val="004320FC"/>
    <w:rsid w:val="004320FE"/>
    <w:rsid w:val="00432103"/>
    <w:rsid w:val="00432554"/>
    <w:rsid w:val="004325B3"/>
    <w:rsid w:val="004327E7"/>
    <w:rsid w:val="004328B4"/>
    <w:rsid w:val="0043299B"/>
    <w:rsid w:val="004329A6"/>
    <w:rsid w:val="00432AF3"/>
    <w:rsid w:val="00432B00"/>
    <w:rsid w:val="00432C84"/>
    <w:rsid w:val="00432DDC"/>
    <w:rsid w:val="00433030"/>
    <w:rsid w:val="004330FA"/>
    <w:rsid w:val="00433241"/>
    <w:rsid w:val="0043339E"/>
    <w:rsid w:val="0043340D"/>
    <w:rsid w:val="00433517"/>
    <w:rsid w:val="00433547"/>
    <w:rsid w:val="0043360E"/>
    <w:rsid w:val="00433701"/>
    <w:rsid w:val="0043398C"/>
    <w:rsid w:val="00433C23"/>
    <w:rsid w:val="00433C83"/>
    <w:rsid w:val="00433EE2"/>
    <w:rsid w:val="00433F81"/>
    <w:rsid w:val="00434218"/>
    <w:rsid w:val="00434397"/>
    <w:rsid w:val="00434550"/>
    <w:rsid w:val="004345A2"/>
    <w:rsid w:val="004345CD"/>
    <w:rsid w:val="004346FA"/>
    <w:rsid w:val="00434778"/>
    <w:rsid w:val="00434888"/>
    <w:rsid w:val="00434A65"/>
    <w:rsid w:val="00434A88"/>
    <w:rsid w:val="00434A94"/>
    <w:rsid w:val="00434BE9"/>
    <w:rsid w:val="00434C10"/>
    <w:rsid w:val="00434C51"/>
    <w:rsid w:val="00434D5D"/>
    <w:rsid w:val="00434DE9"/>
    <w:rsid w:val="0043518C"/>
    <w:rsid w:val="00435196"/>
    <w:rsid w:val="0043543C"/>
    <w:rsid w:val="004355B6"/>
    <w:rsid w:val="004355F9"/>
    <w:rsid w:val="004356DD"/>
    <w:rsid w:val="004358D6"/>
    <w:rsid w:val="004358FC"/>
    <w:rsid w:val="00435AA3"/>
    <w:rsid w:val="00435B40"/>
    <w:rsid w:val="00435C98"/>
    <w:rsid w:val="00435DE4"/>
    <w:rsid w:val="00435EF4"/>
    <w:rsid w:val="00435F96"/>
    <w:rsid w:val="00436032"/>
    <w:rsid w:val="0043603E"/>
    <w:rsid w:val="004361BE"/>
    <w:rsid w:val="004361C5"/>
    <w:rsid w:val="004364FC"/>
    <w:rsid w:val="00436717"/>
    <w:rsid w:val="004367A6"/>
    <w:rsid w:val="004367CD"/>
    <w:rsid w:val="004367DA"/>
    <w:rsid w:val="00436930"/>
    <w:rsid w:val="004369E9"/>
    <w:rsid w:val="00436A85"/>
    <w:rsid w:val="00436CC0"/>
    <w:rsid w:val="00436DF9"/>
    <w:rsid w:val="00436E59"/>
    <w:rsid w:val="0043701B"/>
    <w:rsid w:val="004370D7"/>
    <w:rsid w:val="004371DF"/>
    <w:rsid w:val="004372E4"/>
    <w:rsid w:val="004374D7"/>
    <w:rsid w:val="004377EA"/>
    <w:rsid w:val="00437919"/>
    <w:rsid w:val="00437A16"/>
    <w:rsid w:val="00437AD0"/>
    <w:rsid w:val="00437BD1"/>
    <w:rsid w:val="00437BEE"/>
    <w:rsid w:val="00437BFC"/>
    <w:rsid w:val="00437CDC"/>
    <w:rsid w:val="00437D0F"/>
    <w:rsid w:val="00437E00"/>
    <w:rsid w:val="00437E16"/>
    <w:rsid w:val="00437EF8"/>
    <w:rsid w:val="00437F40"/>
    <w:rsid w:val="004401DF"/>
    <w:rsid w:val="00440247"/>
    <w:rsid w:val="004403D6"/>
    <w:rsid w:val="0044040E"/>
    <w:rsid w:val="00440653"/>
    <w:rsid w:val="004408AB"/>
    <w:rsid w:val="004408DF"/>
    <w:rsid w:val="0044093A"/>
    <w:rsid w:val="00440D95"/>
    <w:rsid w:val="00440DB6"/>
    <w:rsid w:val="00440E12"/>
    <w:rsid w:val="00440E39"/>
    <w:rsid w:val="00440E40"/>
    <w:rsid w:val="00441065"/>
    <w:rsid w:val="00441106"/>
    <w:rsid w:val="00441136"/>
    <w:rsid w:val="0044128C"/>
    <w:rsid w:val="00441464"/>
    <w:rsid w:val="004414A3"/>
    <w:rsid w:val="0044161A"/>
    <w:rsid w:val="0044176F"/>
    <w:rsid w:val="004418B2"/>
    <w:rsid w:val="0044195E"/>
    <w:rsid w:val="004419A0"/>
    <w:rsid w:val="004419A5"/>
    <w:rsid w:val="00441ACA"/>
    <w:rsid w:val="00441ACC"/>
    <w:rsid w:val="00441B73"/>
    <w:rsid w:val="00441BDE"/>
    <w:rsid w:val="00441CE5"/>
    <w:rsid w:val="00441D98"/>
    <w:rsid w:val="00441DE2"/>
    <w:rsid w:val="00441E3C"/>
    <w:rsid w:val="0044202A"/>
    <w:rsid w:val="004420B1"/>
    <w:rsid w:val="00442175"/>
    <w:rsid w:val="004421E0"/>
    <w:rsid w:val="00442223"/>
    <w:rsid w:val="0044223D"/>
    <w:rsid w:val="00442280"/>
    <w:rsid w:val="004423AA"/>
    <w:rsid w:val="004424AB"/>
    <w:rsid w:val="004424D1"/>
    <w:rsid w:val="0044259F"/>
    <w:rsid w:val="0044282A"/>
    <w:rsid w:val="004428DC"/>
    <w:rsid w:val="0044290A"/>
    <w:rsid w:val="00442A6B"/>
    <w:rsid w:val="00442B29"/>
    <w:rsid w:val="00442BA4"/>
    <w:rsid w:val="00442EB4"/>
    <w:rsid w:val="00442FC3"/>
    <w:rsid w:val="00443043"/>
    <w:rsid w:val="00443122"/>
    <w:rsid w:val="004432C0"/>
    <w:rsid w:val="00443330"/>
    <w:rsid w:val="004433A1"/>
    <w:rsid w:val="00443412"/>
    <w:rsid w:val="00443588"/>
    <w:rsid w:val="00443795"/>
    <w:rsid w:val="0044387B"/>
    <w:rsid w:val="00443885"/>
    <w:rsid w:val="00443AC7"/>
    <w:rsid w:val="00443ACA"/>
    <w:rsid w:val="00443DEE"/>
    <w:rsid w:val="00444025"/>
    <w:rsid w:val="004440EB"/>
    <w:rsid w:val="004440F6"/>
    <w:rsid w:val="00444268"/>
    <w:rsid w:val="00444305"/>
    <w:rsid w:val="004445B8"/>
    <w:rsid w:val="004445D9"/>
    <w:rsid w:val="0044464B"/>
    <w:rsid w:val="0044494E"/>
    <w:rsid w:val="00444AD5"/>
    <w:rsid w:val="00444C54"/>
    <w:rsid w:val="00444E47"/>
    <w:rsid w:val="00444E8A"/>
    <w:rsid w:val="00445192"/>
    <w:rsid w:val="004451FA"/>
    <w:rsid w:val="0044526F"/>
    <w:rsid w:val="0044532D"/>
    <w:rsid w:val="0044584C"/>
    <w:rsid w:val="00445949"/>
    <w:rsid w:val="00445A77"/>
    <w:rsid w:val="00445AA6"/>
    <w:rsid w:val="00445D19"/>
    <w:rsid w:val="00445D20"/>
    <w:rsid w:val="00445DAB"/>
    <w:rsid w:val="00445E10"/>
    <w:rsid w:val="00445F13"/>
    <w:rsid w:val="00445FEA"/>
    <w:rsid w:val="00445FF5"/>
    <w:rsid w:val="004463A5"/>
    <w:rsid w:val="004465C5"/>
    <w:rsid w:val="004465DC"/>
    <w:rsid w:val="00446636"/>
    <w:rsid w:val="004466CF"/>
    <w:rsid w:val="00446841"/>
    <w:rsid w:val="004468DF"/>
    <w:rsid w:val="004469A6"/>
    <w:rsid w:val="00446C8C"/>
    <w:rsid w:val="00446D5A"/>
    <w:rsid w:val="00446EC9"/>
    <w:rsid w:val="00446F1A"/>
    <w:rsid w:val="00446F59"/>
    <w:rsid w:val="00446F8B"/>
    <w:rsid w:val="00446F94"/>
    <w:rsid w:val="00447189"/>
    <w:rsid w:val="00447346"/>
    <w:rsid w:val="0044739E"/>
    <w:rsid w:val="0044760B"/>
    <w:rsid w:val="00447807"/>
    <w:rsid w:val="0044780C"/>
    <w:rsid w:val="00447841"/>
    <w:rsid w:val="00447929"/>
    <w:rsid w:val="00447956"/>
    <w:rsid w:val="00447B5B"/>
    <w:rsid w:val="00447CB5"/>
    <w:rsid w:val="00447CEB"/>
    <w:rsid w:val="00447CF0"/>
    <w:rsid w:val="00447D91"/>
    <w:rsid w:val="00447E5A"/>
    <w:rsid w:val="00447E79"/>
    <w:rsid w:val="00447EB1"/>
    <w:rsid w:val="00447EED"/>
    <w:rsid w:val="00447F2F"/>
    <w:rsid w:val="0045004F"/>
    <w:rsid w:val="00450074"/>
    <w:rsid w:val="00450476"/>
    <w:rsid w:val="00450496"/>
    <w:rsid w:val="0045052A"/>
    <w:rsid w:val="00450577"/>
    <w:rsid w:val="0045058D"/>
    <w:rsid w:val="004505C3"/>
    <w:rsid w:val="00450635"/>
    <w:rsid w:val="00450697"/>
    <w:rsid w:val="004506A5"/>
    <w:rsid w:val="004506FD"/>
    <w:rsid w:val="0045079F"/>
    <w:rsid w:val="004507EA"/>
    <w:rsid w:val="00450821"/>
    <w:rsid w:val="004509C1"/>
    <w:rsid w:val="00450A95"/>
    <w:rsid w:val="00450AC4"/>
    <w:rsid w:val="00450B44"/>
    <w:rsid w:val="00450CA9"/>
    <w:rsid w:val="00450CC0"/>
    <w:rsid w:val="00450D16"/>
    <w:rsid w:val="00450D78"/>
    <w:rsid w:val="00450FA5"/>
    <w:rsid w:val="00450FA9"/>
    <w:rsid w:val="00450FCD"/>
    <w:rsid w:val="00451022"/>
    <w:rsid w:val="004510AE"/>
    <w:rsid w:val="004513D0"/>
    <w:rsid w:val="0045155D"/>
    <w:rsid w:val="004518A2"/>
    <w:rsid w:val="00451A85"/>
    <w:rsid w:val="00451A94"/>
    <w:rsid w:val="00451B84"/>
    <w:rsid w:val="00451B94"/>
    <w:rsid w:val="00451D29"/>
    <w:rsid w:val="00451D7E"/>
    <w:rsid w:val="00451DED"/>
    <w:rsid w:val="00451E05"/>
    <w:rsid w:val="00451E6B"/>
    <w:rsid w:val="00451F69"/>
    <w:rsid w:val="00451FEF"/>
    <w:rsid w:val="00452223"/>
    <w:rsid w:val="0045223D"/>
    <w:rsid w:val="004526D6"/>
    <w:rsid w:val="004527B9"/>
    <w:rsid w:val="00452951"/>
    <w:rsid w:val="004529F4"/>
    <w:rsid w:val="00452AB4"/>
    <w:rsid w:val="00452CDF"/>
    <w:rsid w:val="00452D89"/>
    <w:rsid w:val="004531A1"/>
    <w:rsid w:val="004531EB"/>
    <w:rsid w:val="0045336C"/>
    <w:rsid w:val="004533CF"/>
    <w:rsid w:val="004533F1"/>
    <w:rsid w:val="0045364C"/>
    <w:rsid w:val="00453972"/>
    <w:rsid w:val="00453A3F"/>
    <w:rsid w:val="00453B29"/>
    <w:rsid w:val="00453CB5"/>
    <w:rsid w:val="00453D0F"/>
    <w:rsid w:val="00453DAD"/>
    <w:rsid w:val="00453E21"/>
    <w:rsid w:val="00453F1A"/>
    <w:rsid w:val="004540C8"/>
    <w:rsid w:val="004540F5"/>
    <w:rsid w:val="0045414E"/>
    <w:rsid w:val="0045434A"/>
    <w:rsid w:val="004543D3"/>
    <w:rsid w:val="00454420"/>
    <w:rsid w:val="004545E8"/>
    <w:rsid w:val="004546A2"/>
    <w:rsid w:val="004546E0"/>
    <w:rsid w:val="004546EA"/>
    <w:rsid w:val="0045480B"/>
    <w:rsid w:val="0045482B"/>
    <w:rsid w:val="00454A40"/>
    <w:rsid w:val="00454B4C"/>
    <w:rsid w:val="00454D28"/>
    <w:rsid w:val="004550B7"/>
    <w:rsid w:val="0045515C"/>
    <w:rsid w:val="004552B1"/>
    <w:rsid w:val="0045553C"/>
    <w:rsid w:val="004555CE"/>
    <w:rsid w:val="004556C0"/>
    <w:rsid w:val="004557C1"/>
    <w:rsid w:val="004559A2"/>
    <w:rsid w:val="004559B2"/>
    <w:rsid w:val="00455DE5"/>
    <w:rsid w:val="00455E0B"/>
    <w:rsid w:val="00455E1D"/>
    <w:rsid w:val="00456174"/>
    <w:rsid w:val="00456294"/>
    <w:rsid w:val="00456357"/>
    <w:rsid w:val="0045641F"/>
    <w:rsid w:val="0045648D"/>
    <w:rsid w:val="0045652D"/>
    <w:rsid w:val="004565C7"/>
    <w:rsid w:val="00456718"/>
    <w:rsid w:val="0045674A"/>
    <w:rsid w:val="00456793"/>
    <w:rsid w:val="004567D2"/>
    <w:rsid w:val="004567E9"/>
    <w:rsid w:val="00456803"/>
    <w:rsid w:val="00456C95"/>
    <w:rsid w:val="00456CE6"/>
    <w:rsid w:val="00456CFB"/>
    <w:rsid w:val="00456FD7"/>
    <w:rsid w:val="00456FDA"/>
    <w:rsid w:val="0045701E"/>
    <w:rsid w:val="004570EA"/>
    <w:rsid w:val="0045732C"/>
    <w:rsid w:val="0045740F"/>
    <w:rsid w:val="00457443"/>
    <w:rsid w:val="004574A6"/>
    <w:rsid w:val="0045755A"/>
    <w:rsid w:val="0045763E"/>
    <w:rsid w:val="00457723"/>
    <w:rsid w:val="00457837"/>
    <w:rsid w:val="00457A23"/>
    <w:rsid w:val="00457BD3"/>
    <w:rsid w:val="00457C07"/>
    <w:rsid w:val="00457CC3"/>
    <w:rsid w:val="00457FF1"/>
    <w:rsid w:val="0046016A"/>
    <w:rsid w:val="00460287"/>
    <w:rsid w:val="00460322"/>
    <w:rsid w:val="00460330"/>
    <w:rsid w:val="0046036E"/>
    <w:rsid w:val="004605E6"/>
    <w:rsid w:val="004605F6"/>
    <w:rsid w:val="004606DB"/>
    <w:rsid w:val="00460875"/>
    <w:rsid w:val="004608E3"/>
    <w:rsid w:val="00460916"/>
    <w:rsid w:val="00460917"/>
    <w:rsid w:val="00460AB9"/>
    <w:rsid w:val="00460DB1"/>
    <w:rsid w:val="00460DF5"/>
    <w:rsid w:val="00460F7B"/>
    <w:rsid w:val="00461329"/>
    <w:rsid w:val="0046134B"/>
    <w:rsid w:val="004613A5"/>
    <w:rsid w:val="004614F7"/>
    <w:rsid w:val="00461524"/>
    <w:rsid w:val="0046158E"/>
    <w:rsid w:val="004615FF"/>
    <w:rsid w:val="00461612"/>
    <w:rsid w:val="00461782"/>
    <w:rsid w:val="0046197D"/>
    <w:rsid w:val="004619FE"/>
    <w:rsid w:val="00461A54"/>
    <w:rsid w:val="00461AA6"/>
    <w:rsid w:val="00461AD9"/>
    <w:rsid w:val="00461D05"/>
    <w:rsid w:val="00461E73"/>
    <w:rsid w:val="00462059"/>
    <w:rsid w:val="004620B1"/>
    <w:rsid w:val="004620B8"/>
    <w:rsid w:val="004621C9"/>
    <w:rsid w:val="00462350"/>
    <w:rsid w:val="00462354"/>
    <w:rsid w:val="00462599"/>
    <w:rsid w:val="004625A3"/>
    <w:rsid w:val="004625AD"/>
    <w:rsid w:val="00462718"/>
    <w:rsid w:val="0046278E"/>
    <w:rsid w:val="004627CC"/>
    <w:rsid w:val="00462914"/>
    <w:rsid w:val="00462AD9"/>
    <w:rsid w:val="00462BE9"/>
    <w:rsid w:val="00462CFB"/>
    <w:rsid w:val="00462DAB"/>
    <w:rsid w:val="00462E1F"/>
    <w:rsid w:val="00462E42"/>
    <w:rsid w:val="00462E64"/>
    <w:rsid w:val="0046344E"/>
    <w:rsid w:val="0046349D"/>
    <w:rsid w:val="0046358E"/>
    <w:rsid w:val="004635A0"/>
    <w:rsid w:val="004636F5"/>
    <w:rsid w:val="00463987"/>
    <w:rsid w:val="004639DB"/>
    <w:rsid w:val="00463A40"/>
    <w:rsid w:val="00463A4F"/>
    <w:rsid w:val="00463A8F"/>
    <w:rsid w:val="00463C27"/>
    <w:rsid w:val="0046406D"/>
    <w:rsid w:val="0046412A"/>
    <w:rsid w:val="004643EC"/>
    <w:rsid w:val="00464467"/>
    <w:rsid w:val="004644CF"/>
    <w:rsid w:val="0046474C"/>
    <w:rsid w:val="0046492A"/>
    <w:rsid w:val="00464A84"/>
    <w:rsid w:val="00464C79"/>
    <w:rsid w:val="00464EE4"/>
    <w:rsid w:val="00464EF9"/>
    <w:rsid w:val="00464F95"/>
    <w:rsid w:val="00464FE2"/>
    <w:rsid w:val="00464FEC"/>
    <w:rsid w:val="0046502B"/>
    <w:rsid w:val="004651DD"/>
    <w:rsid w:val="00465476"/>
    <w:rsid w:val="0046549E"/>
    <w:rsid w:val="004654CF"/>
    <w:rsid w:val="00465738"/>
    <w:rsid w:val="0046580D"/>
    <w:rsid w:val="004658FC"/>
    <w:rsid w:val="00465901"/>
    <w:rsid w:val="00465950"/>
    <w:rsid w:val="00465C84"/>
    <w:rsid w:val="00465E6A"/>
    <w:rsid w:val="00466122"/>
    <w:rsid w:val="00466277"/>
    <w:rsid w:val="00466289"/>
    <w:rsid w:val="004662D1"/>
    <w:rsid w:val="00466387"/>
    <w:rsid w:val="004664B7"/>
    <w:rsid w:val="004665CC"/>
    <w:rsid w:val="00466616"/>
    <w:rsid w:val="0046661C"/>
    <w:rsid w:val="004666A6"/>
    <w:rsid w:val="004667E8"/>
    <w:rsid w:val="00466812"/>
    <w:rsid w:val="0046683C"/>
    <w:rsid w:val="004669A1"/>
    <w:rsid w:val="00466A13"/>
    <w:rsid w:val="00466BF8"/>
    <w:rsid w:val="00466D36"/>
    <w:rsid w:val="00466D6D"/>
    <w:rsid w:val="00466D8C"/>
    <w:rsid w:val="004673B8"/>
    <w:rsid w:val="004673ED"/>
    <w:rsid w:val="00467413"/>
    <w:rsid w:val="00467432"/>
    <w:rsid w:val="00467796"/>
    <w:rsid w:val="00467960"/>
    <w:rsid w:val="00467B7D"/>
    <w:rsid w:val="00467E04"/>
    <w:rsid w:val="00467E99"/>
    <w:rsid w:val="004702E8"/>
    <w:rsid w:val="00470362"/>
    <w:rsid w:val="00470435"/>
    <w:rsid w:val="00470442"/>
    <w:rsid w:val="0047074C"/>
    <w:rsid w:val="0047081F"/>
    <w:rsid w:val="004709EB"/>
    <w:rsid w:val="00470A1E"/>
    <w:rsid w:val="00470A8F"/>
    <w:rsid w:val="00470B27"/>
    <w:rsid w:val="00470B9D"/>
    <w:rsid w:val="00470DCF"/>
    <w:rsid w:val="00470F7A"/>
    <w:rsid w:val="004710C7"/>
    <w:rsid w:val="0047113F"/>
    <w:rsid w:val="00471191"/>
    <w:rsid w:val="0047121E"/>
    <w:rsid w:val="00471231"/>
    <w:rsid w:val="004712E5"/>
    <w:rsid w:val="00471356"/>
    <w:rsid w:val="004713CD"/>
    <w:rsid w:val="00471401"/>
    <w:rsid w:val="0047144D"/>
    <w:rsid w:val="00471458"/>
    <w:rsid w:val="004714A7"/>
    <w:rsid w:val="00471708"/>
    <w:rsid w:val="0047185E"/>
    <w:rsid w:val="004718D1"/>
    <w:rsid w:val="004719D0"/>
    <w:rsid w:val="004719F4"/>
    <w:rsid w:val="00471B28"/>
    <w:rsid w:val="00471B45"/>
    <w:rsid w:val="00471CC6"/>
    <w:rsid w:val="00471DC2"/>
    <w:rsid w:val="00471E32"/>
    <w:rsid w:val="00471E9F"/>
    <w:rsid w:val="00471FFD"/>
    <w:rsid w:val="0047204F"/>
    <w:rsid w:val="00472084"/>
    <w:rsid w:val="00472181"/>
    <w:rsid w:val="004722C9"/>
    <w:rsid w:val="004722CA"/>
    <w:rsid w:val="0047240B"/>
    <w:rsid w:val="0047262A"/>
    <w:rsid w:val="0047270E"/>
    <w:rsid w:val="004728D8"/>
    <w:rsid w:val="00472934"/>
    <w:rsid w:val="00472A9B"/>
    <w:rsid w:val="00472CEF"/>
    <w:rsid w:val="00472EB2"/>
    <w:rsid w:val="00472F62"/>
    <w:rsid w:val="00472FED"/>
    <w:rsid w:val="0047309F"/>
    <w:rsid w:val="00473196"/>
    <w:rsid w:val="00473230"/>
    <w:rsid w:val="004732CF"/>
    <w:rsid w:val="0047339D"/>
    <w:rsid w:val="00473520"/>
    <w:rsid w:val="00473538"/>
    <w:rsid w:val="004736F4"/>
    <w:rsid w:val="004736FC"/>
    <w:rsid w:val="00473763"/>
    <w:rsid w:val="0047377B"/>
    <w:rsid w:val="00473A43"/>
    <w:rsid w:val="00473B08"/>
    <w:rsid w:val="00473B26"/>
    <w:rsid w:val="00473B4F"/>
    <w:rsid w:val="00473D32"/>
    <w:rsid w:val="00473D93"/>
    <w:rsid w:val="00473E79"/>
    <w:rsid w:val="00473F3E"/>
    <w:rsid w:val="00473F59"/>
    <w:rsid w:val="0047409B"/>
    <w:rsid w:val="004740A8"/>
    <w:rsid w:val="004740BD"/>
    <w:rsid w:val="00474128"/>
    <w:rsid w:val="0047418F"/>
    <w:rsid w:val="004741A1"/>
    <w:rsid w:val="004741D5"/>
    <w:rsid w:val="0047422D"/>
    <w:rsid w:val="00474322"/>
    <w:rsid w:val="004743D7"/>
    <w:rsid w:val="0047444E"/>
    <w:rsid w:val="004744E8"/>
    <w:rsid w:val="00474505"/>
    <w:rsid w:val="0047457B"/>
    <w:rsid w:val="0047465E"/>
    <w:rsid w:val="00474686"/>
    <w:rsid w:val="00474799"/>
    <w:rsid w:val="004748B5"/>
    <w:rsid w:val="004748B7"/>
    <w:rsid w:val="00474AED"/>
    <w:rsid w:val="00475126"/>
    <w:rsid w:val="00475262"/>
    <w:rsid w:val="00475291"/>
    <w:rsid w:val="0047550E"/>
    <w:rsid w:val="0047554F"/>
    <w:rsid w:val="004756DD"/>
    <w:rsid w:val="0047570A"/>
    <w:rsid w:val="00475853"/>
    <w:rsid w:val="00475996"/>
    <w:rsid w:val="004759AA"/>
    <w:rsid w:val="00475A1E"/>
    <w:rsid w:val="00475A6E"/>
    <w:rsid w:val="00475AA3"/>
    <w:rsid w:val="00475AF4"/>
    <w:rsid w:val="00475B15"/>
    <w:rsid w:val="00475BBA"/>
    <w:rsid w:val="00475BEA"/>
    <w:rsid w:val="00475BFF"/>
    <w:rsid w:val="00475C06"/>
    <w:rsid w:val="00475CA4"/>
    <w:rsid w:val="00475D20"/>
    <w:rsid w:val="00475DA4"/>
    <w:rsid w:val="004761A7"/>
    <w:rsid w:val="004761DC"/>
    <w:rsid w:val="0047659F"/>
    <w:rsid w:val="00476A03"/>
    <w:rsid w:val="00476B4A"/>
    <w:rsid w:val="00476BB1"/>
    <w:rsid w:val="00476C4E"/>
    <w:rsid w:val="00476CA9"/>
    <w:rsid w:val="00476D33"/>
    <w:rsid w:val="00476DC5"/>
    <w:rsid w:val="00476DC9"/>
    <w:rsid w:val="00476E9A"/>
    <w:rsid w:val="00476EA7"/>
    <w:rsid w:val="00476FAB"/>
    <w:rsid w:val="0047703A"/>
    <w:rsid w:val="004771D5"/>
    <w:rsid w:val="004773CE"/>
    <w:rsid w:val="004774B8"/>
    <w:rsid w:val="004774BE"/>
    <w:rsid w:val="004774D5"/>
    <w:rsid w:val="004775A5"/>
    <w:rsid w:val="004775D2"/>
    <w:rsid w:val="00477674"/>
    <w:rsid w:val="004776B3"/>
    <w:rsid w:val="004776B9"/>
    <w:rsid w:val="0047778B"/>
    <w:rsid w:val="0047794A"/>
    <w:rsid w:val="00477954"/>
    <w:rsid w:val="00477970"/>
    <w:rsid w:val="00477972"/>
    <w:rsid w:val="00477AD4"/>
    <w:rsid w:val="00477BC5"/>
    <w:rsid w:val="00477CA4"/>
    <w:rsid w:val="00477D99"/>
    <w:rsid w:val="00477F26"/>
    <w:rsid w:val="00477F58"/>
    <w:rsid w:val="00477F61"/>
    <w:rsid w:val="00477FBE"/>
    <w:rsid w:val="004801C5"/>
    <w:rsid w:val="004802BC"/>
    <w:rsid w:val="0048034C"/>
    <w:rsid w:val="004808FA"/>
    <w:rsid w:val="00480989"/>
    <w:rsid w:val="004809D0"/>
    <w:rsid w:val="00480B54"/>
    <w:rsid w:val="00480ECF"/>
    <w:rsid w:val="004812C0"/>
    <w:rsid w:val="004812C7"/>
    <w:rsid w:val="00481446"/>
    <w:rsid w:val="0048149C"/>
    <w:rsid w:val="004814BE"/>
    <w:rsid w:val="004814C5"/>
    <w:rsid w:val="0048157F"/>
    <w:rsid w:val="00481820"/>
    <w:rsid w:val="0048199B"/>
    <w:rsid w:val="004819CA"/>
    <w:rsid w:val="00481BCE"/>
    <w:rsid w:val="00481C39"/>
    <w:rsid w:val="00481CD9"/>
    <w:rsid w:val="0048204C"/>
    <w:rsid w:val="004821F8"/>
    <w:rsid w:val="0048221E"/>
    <w:rsid w:val="00482332"/>
    <w:rsid w:val="0048256E"/>
    <w:rsid w:val="004825E9"/>
    <w:rsid w:val="0048283A"/>
    <w:rsid w:val="0048285E"/>
    <w:rsid w:val="004829C3"/>
    <w:rsid w:val="00482B33"/>
    <w:rsid w:val="00482CEC"/>
    <w:rsid w:val="00482E27"/>
    <w:rsid w:val="00482EA7"/>
    <w:rsid w:val="00482FD2"/>
    <w:rsid w:val="0048314A"/>
    <w:rsid w:val="00483294"/>
    <w:rsid w:val="004832C8"/>
    <w:rsid w:val="004832F1"/>
    <w:rsid w:val="004834F0"/>
    <w:rsid w:val="004835C1"/>
    <w:rsid w:val="00483668"/>
    <w:rsid w:val="0048376D"/>
    <w:rsid w:val="004837A7"/>
    <w:rsid w:val="004837FA"/>
    <w:rsid w:val="0048383A"/>
    <w:rsid w:val="0048384A"/>
    <w:rsid w:val="004838CF"/>
    <w:rsid w:val="004839A7"/>
    <w:rsid w:val="00483ACB"/>
    <w:rsid w:val="00483B70"/>
    <w:rsid w:val="00483BC0"/>
    <w:rsid w:val="00483D4C"/>
    <w:rsid w:val="00483F6E"/>
    <w:rsid w:val="00483F9E"/>
    <w:rsid w:val="00484002"/>
    <w:rsid w:val="004840CB"/>
    <w:rsid w:val="004840D1"/>
    <w:rsid w:val="00484228"/>
    <w:rsid w:val="004842A5"/>
    <w:rsid w:val="0048433C"/>
    <w:rsid w:val="00484476"/>
    <w:rsid w:val="00484534"/>
    <w:rsid w:val="004846FF"/>
    <w:rsid w:val="0048477B"/>
    <w:rsid w:val="00484818"/>
    <w:rsid w:val="00484AEA"/>
    <w:rsid w:val="00484B2B"/>
    <w:rsid w:val="00484D2F"/>
    <w:rsid w:val="00484D3A"/>
    <w:rsid w:val="00484DB1"/>
    <w:rsid w:val="00484DC9"/>
    <w:rsid w:val="0048523F"/>
    <w:rsid w:val="0048527A"/>
    <w:rsid w:val="00485312"/>
    <w:rsid w:val="00485330"/>
    <w:rsid w:val="0048543D"/>
    <w:rsid w:val="00485446"/>
    <w:rsid w:val="004854DB"/>
    <w:rsid w:val="00485589"/>
    <w:rsid w:val="004855A8"/>
    <w:rsid w:val="0048563C"/>
    <w:rsid w:val="00485B74"/>
    <w:rsid w:val="00485B87"/>
    <w:rsid w:val="00485C23"/>
    <w:rsid w:val="00485CB3"/>
    <w:rsid w:val="00485CDC"/>
    <w:rsid w:val="00485CF3"/>
    <w:rsid w:val="00485D4F"/>
    <w:rsid w:val="00485DE6"/>
    <w:rsid w:val="00485E0E"/>
    <w:rsid w:val="00485E93"/>
    <w:rsid w:val="00485EDF"/>
    <w:rsid w:val="00485F1C"/>
    <w:rsid w:val="00486416"/>
    <w:rsid w:val="0048653D"/>
    <w:rsid w:val="004865EE"/>
    <w:rsid w:val="0048668B"/>
    <w:rsid w:val="0048696F"/>
    <w:rsid w:val="004869A3"/>
    <w:rsid w:val="00486B97"/>
    <w:rsid w:val="00486C7B"/>
    <w:rsid w:val="00486D4E"/>
    <w:rsid w:val="004870FC"/>
    <w:rsid w:val="004871C8"/>
    <w:rsid w:val="00487246"/>
    <w:rsid w:val="004872A0"/>
    <w:rsid w:val="0048744C"/>
    <w:rsid w:val="00487580"/>
    <w:rsid w:val="00487617"/>
    <w:rsid w:val="004879B5"/>
    <w:rsid w:val="004879D4"/>
    <w:rsid w:val="00487BE0"/>
    <w:rsid w:val="00487C6F"/>
    <w:rsid w:val="00487C74"/>
    <w:rsid w:val="00487C7D"/>
    <w:rsid w:val="00487DB7"/>
    <w:rsid w:val="00487EDA"/>
    <w:rsid w:val="00487F03"/>
    <w:rsid w:val="004900E7"/>
    <w:rsid w:val="004901C0"/>
    <w:rsid w:val="004901D5"/>
    <w:rsid w:val="00490206"/>
    <w:rsid w:val="0049024F"/>
    <w:rsid w:val="0049025A"/>
    <w:rsid w:val="0049049D"/>
    <w:rsid w:val="004904CB"/>
    <w:rsid w:val="004904EA"/>
    <w:rsid w:val="004905D9"/>
    <w:rsid w:val="004906AB"/>
    <w:rsid w:val="0049073F"/>
    <w:rsid w:val="004907D3"/>
    <w:rsid w:val="004907E9"/>
    <w:rsid w:val="00490858"/>
    <w:rsid w:val="004909E1"/>
    <w:rsid w:val="00490B09"/>
    <w:rsid w:val="00490C04"/>
    <w:rsid w:val="00490EFE"/>
    <w:rsid w:val="00490F26"/>
    <w:rsid w:val="0049108F"/>
    <w:rsid w:val="0049114E"/>
    <w:rsid w:val="004911B8"/>
    <w:rsid w:val="004912C3"/>
    <w:rsid w:val="004913A1"/>
    <w:rsid w:val="004913B9"/>
    <w:rsid w:val="004913EE"/>
    <w:rsid w:val="0049141A"/>
    <w:rsid w:val="00491590"/>
    <w:rsid w:val="00491678"/>
    <w:rsid w:val="00491687"/>
    <w:rsid w:val="004916BE"/>
    <w:rsid w:val="00491702"/>
    <w:rsid w:val="0049180E"/>
    <w:rsid w:val="00491859"/>
    <w:rsid w:val="00491937"/>
    <w:rsid w:val="004919CD"/>
    <w:rsid w:val="00491A39"/>
    <w:rsid w:val="00491A4E"/>
    <w:rsid w:val="00491A6A"/>
    <w:rsid w:val="00491A73"/>
    <w:rsid w:val="00491ACD"/>
    <w:rsid w:val="00491B35"/>
    <w:rsid w:val="00491B9A"/>
    <w:rsid w:val="00491BC1"/>
    <w:rsid w:val="00491C0A"/>
    <w:rsid w:val="00491CD6"/>
    <w:rsid w:val="00491CDD"/>
    <w:rsid w:val="00491D1F"/>
    <w:rsid w:val="00491F23"/>
    <w:rsid w:val="004922ED"/>
    <w:rsid w:val="00492348"/>
    <w:rsid w:val="0049247D"/>
    <w:rsid w:val="004924B2"/>
    <w:rsid w:val="004924B7"/>
    <w:rsid w:val="00492682"/>
    <w:rsid w:val="004927DE"/>
    <w:rsid w:val="00492843"/>
    <w:rsid w:val="00492930"/>
    <w:rsid w:val="00492B56"/>
    <w:rsid w:val="00492C29"/>
    <w:rsid w:val="00492DD3"/>
    <w:rsid w:val="00492EC0"/>
    <w:rsid w:val="00492F30"/>
    <w:rsid w:val="00492FE2"/>
    <w:rsid w:val="004930A2"/>
    <w:rsid w:val="0049316A"/>
    <w:rsid w:val="0049330E"/>
    <w:rsid w:val="00493371"/>
    <w:rsid w:val="00493380"/>
    <w:rsid w:val="0049345D"/>
    <w:rsid w:val="0049347F"/>
    <w:rsid w:val="004937AA"/>
    <w:rsid w:val="00493A06"/>
    <w:rsid w:val="00493B4B"/>
    <w:rsid w:val="00493DB7"/>
    <w:rsid w:val="00493F73"/>
    <w:rsid w:val="004941B4"/>
    <w:rsid w:val="004942AA"/>
    <w:rsid w:val="004942DB"/>
    <w:rsid w:val="0049453F"/>
    <w:rsid w:val="004945EB"/>
    <w:rsid w:val="00494668"/>
    <w:rsid w:val="0049486A"/>
    <w:rsid w:val="00494A9D"/>
    <w:rsid w:val="00494AB9"/>
    <w:rsid w:val="00494B37"/>
    <w:rsid w:val="00494B3D"/>
    <w:rsid w:val="00494C8A"/>
    <w:rsid w:val="00494D1A"/>
    <w:rsid w:val="00494D2F"/>
    <w:rsid w:val="00494D6B"/>
    <w:rsid w:val="00494EBD"/>
    <w:rsid w:val="0049533A"/>
    <w:rsid w:val="0049538D"/>
    <w:rsid w:val="00495408"/>
    <w:rsid w:val="00495429"/>
    <w:rsid w:val="00495910"/>
    <w:rsid w:val="00495A53"/>
    <w:rsid w:val="00495A96"/>
    <w:rsid w:val="00495C45"/>
    <w:rsid w:val="00495D67"/>
    <w:rsid w:val="00495F18"/>
    <w:rsid w:val="00495FA4"/>
    <w:rsid w:val="00495FF9"/>
    <w:rsid w:val="00496025"/>
    <w:rsid w:val="0049613B"/>
    <w:rsid w:val="00496551"/>
    <w:rsid w:val="004966B5"/>
    <w:rsid w:val="004966C7"/>
    <w:rsid w:val="00496736"/>
    <w:rsid w:val="0049697F"/>
    <w:rsid w:val="00496AF6"/>
    <w:rsid w:val="00496B5B"/>
    <w:rsid w:val="00496D81"/>
    <w:rsid w:val="00496F17"/>
    <w:rsid w:val="00496F49"/>
    <w:rsid w:val="004973CA"/>
    <w:rsid w:val="004973E7"/>
    <w:rsid w:val="00497457"/>
    <w:rsid w:val="0049762A"/>
    <w:rsid w:val="004976E3"/>
    <w:rsid w:val="00497822"/>
    <w:rsid w:val="0049782F"/>
    <w:rsid w:val="004978C9"/>
    <w:rsid w:val="00497AB5"/>
    <w:rsid w:val="00497AC9"/>
    <w:rsid w:val="00497BB2"/>
    <w:rsid w:val="00497BF6"/>
    <w:rsid w:val="00497C53"/>
    <w:rsid w:val="00497C58"/>
    <w:rsid w:val="00497CAE"/>
    <w:rsid w:val="00497CB7"/>
    <w:rsid w:val="00497DB3"/>
    <w:rsid w:val="00497E78"/>
    <w:rsid w:val="00497F1D"/>
    <w:rsid w:val="004A007B"/>
    <w:rsid w:val="004A023B"/>
    <w:rsid w:val="004A0250"/>
    <w:rsid w:val="004A02A0"/>
    <w:rsid w:val="004A032A"/>
    <w:rsid w:val="004A0451"/>
    <w:rsid w:val="004A0629"/>
    <w:rsid w:val="004A0783"/>
    <w:rsid w:val="004A07B2"/>
    <w:rsid w:val="004A08A9"/>
    <w:rsid w:val="004A08BF"/>
    <w:rsid w:val="004A09FC"/>
    <w:rsid w:val="004A0AFB"/>
    <w:rsid w:val="004A0F26"/>
    <w:rsid w:val="004A11A4"/>
    <w:rsid w:val="004A121C"/>
    <w:rsid w:val="004A12B8"/>
    <w:rsid w:val="004A1513"/>
    <w:rsid w:val="004A177F"/>
    <w:rsid w:val="004A18F0"/>
    <w:rsid w:val="004A19DC"/>
    <w:rsid w:val="004A19F0"/>
    <w:rsid w:val="004A1A63"/>
    <w:rsid w:val="004A1BE8"/>
    <w:rsid w:val="004A1D0E"/>
    <w:rsid w:val="004A1D0F"/>
    <w:rsid w:val="004A20A3"/>
    <w:rsid w:val="004A20EB"/>
    <w:rsid w:val="004A2294"/>
    <w:rsid w:val="004A23A3"/>
    <w:rsid w:val="004A23BA"/>
    <w:rsid w:val="004A25D5"/>
    <w:rsid w:val="004A25F9"/>
    <w:rsid w:val="004A2896"/>
    <w:rsid w:val="004A28B1"/>
    <w:rsid w:val="004A29AE"/>
    <w:rsid w:val="004A2A20"/>
    <w:rsid w:val="004A2A67"/>
    <w:rsid w:val="004A2C88"/>
    <w:rsid w:val="004A2ED8"/>
    <w:rsid w:val="004A2F3C"/>
    <w:rsid w:val="004A2F8B"/>
    <w:rsid w:val="004A3170"/>
    <w:rsid w:val="004A327C"/>
    <w:rsid w:val="004A3299"/>
    <w:rsid w:val="004A33B8"/>
    <w:rsid w:val="004A3401"/>
    <w:rsid w:val="004A34F8"/>
    <w:rsid w:val="004A359D"/>
    <w:rsid w:val="004A35D8"/>
    <w:rsid w:val="004A363C"/>
    <w:rsid w:val="004A367E"/>
    <w:rsid w:val="004A36B7"/>
    <w:rsid w:val="004A36E5"/>
    <w:rsid w:val="004A375A"/>
    <w:rsid w:val="004A37C4"/>
    <w:rsid w:val="004A38C2"/>
    <w:rsid w:val="004A397E"/>
    <w:rsid w:val="004A39F0"/>
    <w:rsid w:val="004A3ACC"/>
    <w:rsid w:val="004A3D27"/>
    <w:rsid w:val="004A3D68"/>
    <w:rsid w:val="004A3E51"/>
    <w:rsid w:val="004A406B"/>
    <w:rsid w:val="004A41F1"/>
    <w:rsid w:val="004A4203"/>
    <w:rsid w:val="004A429C"/>
    <w:rsid w:val="004A4362"/>
    <w:rsid w:val="004A43A2"/>
    <w:rsid w:val="004A44E8"/>
    <w:rsid w:val="004A44F9"/>
    <w:rsid w:val="004A45BA"/>
    <w:rsid w:val="004A4659"/>
    <w:rsid w:val="004A4700"/>
    <w:rsid w:val="004A47F6"/>
    <w:rsid w:val="004A48C2"/>
    <w:rsid w:val="004A4A39"/>
    <w:rsid w:val="004A4A4A"/>
    <w:rsid w:val="004A4BA0"/>
    <w:rsid w:val="004A4DB8"/>
    <w:rsid w:val="004A4DE6"/>
    <w:rsid w:val="004A4E42"/>
    <w:rsid w:val="004A4EB1"/>
    <w:rsid w:val="004A4EB6"/>
    <w:rsid w:val="004A4F08"/>
    <w:rsid w:val="004A50A6"/>
    <w:rsid w:val="004A5101"/>
    <w:rsid w:val="004A5113"/>
    <w:rsid w:val="004A51BF"/>
    <w:rsid w:val="004A53EC"/>
    <w:rsid w:val="004A5584"/>
    <w:rsid w:val="004A5659"/>
    <w:rsid w:val="004A5913"/>
    <w:rsid w:val="004A5951"/>
    <w:rsid w:val="004A59A7"/>
    <w:rsid w:val="004A5AD7"/>
    <w:rsid w:val="004A611F"/>
    <w:rsid w:val="004A61B5"/>
    <w:rsid w:val="004A6396"/>
    <w:rsid w:val="004A6539"/>
    <w:rsid w:val="004A6586"/>
    <w:rsid w:val="004A6835"/>
    <w:rsid w:val="004A6854"/>
    <w:rsid w:val="004A692B"/>
    <w:rsid w:val="004A6AB3"/>
    <w:rsid w:val="004A6AD9"/>
    <w:rsid w:val="004A6BF2"/>
    <w:rsid w:val="004A6C34"/>
    <w:rsid w:val="004A6C5F"/>
    <w:rsid w:val="004A6F62"/>
    <w:rsid w:val="004A6F63"/>
    <w:rsid w:val="004A6FB8"/>
    <w:rsid w:val="004A7012"/>
    <w:rsid w:val="004A70B3"/>
    <w:rsid w:val="004A70DC"/>
    <w:rsid w:val="004A71A4"/>
    <w:rsid w:val="004A722C"/>
    <w:rsid w:val="004A7270"/>
    <w:rsid w:val="004A73FA"/>
    <w:rsid w:val="004A7676"/>
    <w:rsid w:val="004A7AA1"/>
    <w:rsid w:val="004A7B05"/>
    <w:rsid w:val="004A7BB3"/>
    <w:rsid w:val="004A7C0D"/>
    <w:rsid w:val="004A7D62"/>
    <w:rsid w:val="004A7E6F"/>
    <w:rsid w:val="004B001E"/>
    <w:rsid w:val="004B004C"/>
    <w:rsid w:val="004B009C"/>
    <w:rsid w:val="004B01D5"/>
    <w:rsid w:val="004B02F9"/>
    <w:rsid w:val="004B045A"/>
    <w:rsid w:val="004B04F7"/>
    <w:rsid w:val="004B0511"/>
    <w:rsid w:val="004B05AC"/>
    <w:rsid w:val="004B0711"/>
    <w:rsid w:val="004B0749"/>
    <w:rsid w:val="004B075E"/>
    <w:rsid w:val="004B0790"/>
    <w:rsid w:val="004B08B4"/>
    <w:rsid w:val="004B09E7"/>
    <w:rsid w:val="004B09ED"/>
    <w:rsid w:val="004B0A08"/>
    <w:rsid w:val="004B0B8B"/>
    <w:rsid w:val="004B0C22"/>
    <w:rsid w:val="004B0F24"/>
    <w:rsid w:val="004B10BF"/>
    <w:rsid w:val="004B10EC"/>
    <w:rsid w:val="004B125B"/>
    <w:rsid w:val="004B1398"/>
    <w:rsid w:val="004B1452"/>
    <w:rsid w:val="004B1756"/>
    <w:rsid w:val="004B188D"/>
    <w:rsid w:val="004B1916"/>
    <w:rsid w:val="004B1A14"/>
    <w:rsid w:val="004B1A15"/>
    <w:rsid w:val="004B1CBA"/>
    <w:rsid w:val="004B1CE9"/>
    <w:rsid w:val="004B1DF0"/>
    <w:rsid w:val="004B1E31"/>
    <w:rsid w:val="004B1E71"/>
    <w:rsid w:val="004B202C"/>
    <w:rsid w:val="004B20A1"/>
    <w:rsid w:val="004B2189"/>
    <w:rsid w:val="004B2210"/>
    <w:rsid w:val="004B2361"/>
    <w:rsid w:val="004B23EE"/>
    <w:rsid w:val="004B2592"/>
    <w:rsid w:val="004B25C6"/>
    <w:rsid w:val="004B25D3"/>
    <w:rsid w:val="004B25D4"/>
    <w:rsid w:val="004B25D8"/>
    <w:rsid w:val="004B2602"/>
    <w:rsid w:val="004B262D"/>
    <w:rsid w:val="004B27B2"/>
    <w:rsid w:val="004B281E"/>
    <w:rsid w:val="004B2943"/>
    <w:rsid w:val="004B29E8"/>
    <w:rsid w:val="004B2B9F"/>
    <w:rsid w:val="004B2C6D"/>
    <w:rsid w:val="004B2CEF"/>
    <w:rsid w:val="004B2D0B"/>
    <w:rsid w:val="004B2F12"/>
    <w:rsid w:val="004B2F32"/>
    <w:rsid w:val="004B2FD5"/>
    <w:rsid w:val="004B3038"/>
    <w:rsid w:val="004B31C6"/>
    <w:rsid w:val="004B35B2"/>
    <w:rsid w:val="004B3628"/>
    <w:rsid w:val="004B3713"/>
    <w:rsid w:val="004B383D"/>
    <w:rsid w:val="004B3B9F"/>
    <w:rsid w:val="004B3CA2"/>
    <w:rsid w:val="004B3D28"/>
    <w:rsid w:val="004B3FEE"/>
    <w:rsid w:val="004B4022"/>
    <w:rsid w:val="004B412B"/>
    <w:rsid w:val="004B417C"/>
    <w:rsid w:val="004B41CD"/>
    <w:rsid w:val="004B44DC"/>
    <w:rsid w:val="004B4590"/>
    <w:rsid w:val="004B4593"/>
    <w:rsid w:val="004B4597"/>
    <w:rsid w:val="004B46E6"/>
    <w:rsid w:val="004B46F8"/>
    <w:rsid w:val="004B47FA"/>
    <w:rsid w:val="004B49F5"/>
    <w:rsid w:val="004B49F8"/>
    <w:rsid w:val="004B49FC"/>
    <w:rsid w:val="004B4A73"/>
    <w:rsid w:val="004B4B4A"/>
    <w:rsid w:val="004B4BC1"/>
    <w:rsid w:val="004B4D1F"/>
    <w:rsid w:val="004B4EFA"/>
    <w:rsid w:val="004B4F92"/>
    <w:rsid w:val="004B5024"/>
    <w:rsid w:val="004B5548"/>
    <w:rsid w:val="004B5942"/>
    <w:rsid w:val="004B5963"/>
    <w:rsid w:val="004B5A10"/>
    <w:rsid w:val="004B5BEC"/>
    <w:rsid w:val="004B5DD7"/>
    <w:rsid w:val="004B5FB3"/>
    <w:rsid w:val="004B5FE8"/>
    <w:rsid w:val="004B6214"/>
    <w:rsid w:val="004B63AE"/>
    <w:rsid w:val="004B6417"/>
    <w:rsid w:val="004B65EA"/>
    <w:rsid w:val="004B6670"/>
    <w:rsid w:val="004B692D"/>
    <w:rsid w:val="004B6BFE"/>
    <w:rsid w:val="004B6CB9"/>
    <w:rsid w:val="004B6D36"/>
    <w:rsid w:val="004B6D38"/>
    <w:rsid w:val="004B6E01"/>
    <w:rsid w:val="004B6E6B"/>
    <w:rsid w:val="004B6EEC"/>
    <w:rsid w:val="004B6FDE"/>
    <w:rsid w:val="004B7062"/>
    <w:rsid w:val="004B70B3"/>
    <w:rsid w:val="004B70D3"/>
    <w:rsid w:val="004B740F"/>
    <w:rsid w:val="004B7697"/>
    <w:rsid w:val="004B7848"/>
    <w:rsid w:val="004B79C6"/>
    <w:rsid w:val="004B7B1A"/>
    <w:rsid w:val="004B7B5C"/>
    <w:rsid w:val="004B7CD0"/>
    <w:rsid w:val="004B7D39"/>
    <w:rsid w:val="004B7E45"/>
    <w:rsid w:val="004B7FF5"/>
    <w:rsid w:val="004C013D"/>
    <w:rsid w:val="004C0148"/>
    <w:rsid w:val="004C0187"/>
    <w:rsid w:val="004C02A6"/>
    <w:rsid w:val="004C0579"/>
    <w:rsid w:val="004C05BA"/>
    <w:rsid w:val="004C0671"/>
    <w:rsid w:val="004C08C3"/>
    <w:rsid w:val="004C08F6"/>
    <w:rsid w:val="004C0972"/>
    <w:rsid w:val="004C0B11"/>
    <w:rsid w:val="004C0FE2"/>
    <w:rsid w:val="004C109B"/>
    <w:rsid w:val="004C1115"/>
    <w:rsid w:val="004C1598"/>
    <w:rsid w:val="004C15BA"/>
    <w:rsid w:val="004C15E1"/>
    <w:rsid w:val="004C174F"/>
    <w:rsid w:val="004C1773"/>
    <w:rsid w:val="004C1908"/>
    <w:rsid w:val="004C195D"/>
    <w:rsid w:val="004C1963"/>
    <w:rsid w:val="004C197F"/>
    <w:rsid w:val="004C1A93"/>
    <w:rsid w:val="004C1B07"/>
    <w:rsid w:val="004C1B52"/>
    <w:rsid w:val="004C1E55"/>
    <w:rsid w:val="004C22D7"/>
    <w:rsid w:val="004C2406"/>
    <w:rsid w:val="004C24CB"/>
    <w:rsid w:val="004C275E"/>
    <w:rsid w:val="004C2790"/>
    <w:rsid w:val="004C27E3"/>
    <w:rsid w:val="004C2894"/>
    <w:rsid w:val="004C2B6B"/>
    <w:rsid w:val="004C2DB0"/>
    <w:rsid w:val="004C3108"/>
    <w:rsid w:val="004C3195"/>
    <w:rsid w:val="004C31AC"/>
    <w:rsid w:val="004C31D9"/>
    <w:rsid w:val="004C3224"/>
    <w:rsid w:val="004C3409"/>
    <w:rsid w:val="004C3596"/>
    <w:rsid w:val="004C360F"/>
    <w:rsid w:val="004C3649"/>
    <w:rsid w:val="004C374C"/>
    <w:rsid w:val="004C37BC"/>
    <w:rsid w:val="004C3ABE"/>
    <w:rsid w:val="004C3BA0"/>
    <w:rsid w:val="004C3CE7"/>
    <w:rsid w:val="004C3E71"/>
    <w:rsid w:val="004C3FAE"/>
    <w:rsid w:val="004C3FE9"/>
    <w:rsid w:val="004C4267"/>
    <w:rsid w:val="004C42A8"/>
    <w:rsid w:val="004C4320"/>
    <w:rsid w:val="004C438C"/>
    <w:rsid w:val="004C441F"/>
    <w:rsid w:val="004C4628"/>
    <w:rsid w:val="004C46ED"/>
    <w:rsid w:val="004C4710"/>
    <w:rsid w:val="004C4827"/>
    <w:rsid w:val="004C49A9"/>
    <w:rsid w:val="004C4A0F"/>
    <w:rsid w:val="004C4B3F"/>
    <w:rsid w:val="004C4B70"/>
    <w:rsid w:val="004C4CB2"/>
    <w:rsid w:val="004C4D7C"/>
    <w:rsid w:val="004C4EBB"/>
    <w:rsid w:val="004C519D"/>
    <w:rsid w:val="004C5385"/>
    <w:rsid w:val="004C54F3"/>
    <w:rsid w:val="004C5536"/>
    <w:rsid w:val="004C5558"/>
    <w:rsid w:val="004C5609"/>
    <w:rsid w:val="004C560E"/>
    <w:rsid w:val="004C568C"/>
    <w:rsid w:val="004C5797"/>
    <w:rsid w:val="004C57E3"/>
    <w:rsid w:val="004C59B1"/>
    <w:rsid w:val="004C5B5C"/>
    <w:rsid w:val="004C5D87"/>
    <w:rsid w:val="004C5E31"/>
    <w:rsid w:val="004C5EE6"/>
    <w:rsid w:val="004C5FBE"/>
    <w:rsid w:val="004C6046"/>
    <w:rsid w:val="004C60D9"/>
    <w:rsid w:val="004C617D"/>
    <w:rsid w:val="004C62FE"/>
    <w:rsid w:val="004C631C"/>
    <w:rsid w:val="004C6370"/>
    <w:rsid w:val="004C6582"/>
    <w:rsid w:val="004C660F"/>
    <w:rsid w:val="004C669B"/>
    <w:rsid w:val="004C671A"/>
    <w:rsid w:val="004C675A"/>
    <w:rsid w:val="004C681E"/>
    <w:rsid w:val="004C6860"/>
    <w:rsid w:val="004C6865"/>
    <w:rsid w:val="004C68F6"/>
    <w:rsid w:val="004C6986"/>
    <w:rsid w:val="004C6AE9"/>
    <w:rsid w:val="004C6C9D"/>
    <w:rsid w:val="004C6CBC"/>
    <w:rsid w:val="004C6D01"/>
    <w:rsid w:val="004C6E7F"/>
    <w:rsid w:val="004C6FC2"/>
    <w:rsid w:val="004C71A7"/>
    <w:rsid w:val="004C72BD"/>
    <w:rsid w:val="004C72DB"/>
    <w:rsid w:val="004C73BE"/>
    <w:rsid w:val="004C73DE"/>
    <w:rsid w:val="004C77D8"/>
    <w:rsid w:val="004C7865"/>
    <w:rsid w:val="004C7886"/>
    <w:rsid w:val="004C7A80"/>
    <w:rsid w:val="004C7CCA"/>
    <w:rsid w:val="004C7CD4"/>
    <w:rsid w:val="004C7DB1"/>
    <w:rsid w:val="004C7DB5"/>
    <w:rsid w:val="004C7ECD"/>
    <w:rsid w:val="004C7FEF"/>
    <w:rsid w:val="004D001C"/>
    <w:rsid w:val="004D010C"/>
    <w:rsid w:val="004D0189"/>
    <w:rsid w:val="004D02A2"/>
    <w:rsid w:val="004D02AA"/>
    <w:rsid w:val="004D0438"/>
    <w:rsid w:val="004D0472"/>
    <w:rsid w:val="004D097F"/>
    <w:rsid w:val="004D0AB5"/>
    <w:rsid w:val="004D0ABF"/>
    <w:rsid w:val="004D0B1E"/>
    <w:rsid w:val="004D0B8C"/>
    <w:rsid w:val="004D0BA4"/>
    <w:rsid w:val="004D0BB5"/>
    <w:rsid w:val="004D0BCE"/>
    <w:rsid w:val="004D0CDC"/>
    <w:rsid w:val="004D0E2B"/>
    <w:rsid w:val="004D0EB7"/>
    <w:rsid w:val="004D0F76"/>
    <w:rsid w:val="004D1375"/>
    <w:rsid w:val="004D14C3"/>
    <w:rsid w:val="004D1559"/>
    <w:rsid w:val="004D1723"/>
    <w:rsid w:val="004D17A1"/>
    <w:rsid w:val="004D1AD5"/>
    <w:rsid w:val="004D1AFE"/>
    <w:rsid w:val="004D1C96"/>
    <w:rsid w:val="004D1CDF"/>
    <w:rsid w:val="004D1D07"/>
    <w:rsid w:val="004D1E92"/>
    <w:rsid w:val="004D2108"/>
    <w:rsid w:val="004D213A"/>
    <w:rsid w:val="004D22ED"/>
    <w:rsid w:val="004D22FB"/>
    <w:rsid w:val="004D2440"/>
    <w:rsid w:val="004D2448"/>
    <w:rsid w:val="004D2521"/>
    <w:rsid w:val="004D268C"/>
    <w:rsid w:val="004D26B3"/>
    <w:rsid w:val="004D26B9"/>
    <w:rsid w:val="004D26EC"/>
    <w:rsid w:val="004D2778"/>
    <w:rsid w:val="004D27AF"/>
    <w:rsid w:val="004D2D9B"/>
    <w:rsid w:val="004D2E25"/>
    <w:rsid w:val="004D2E95"/>
    <w:rsid w:val="004D2EE6"/>
    <w:rsid w:val="004D30CC"/>
    <w:rsid w:val="004D3141"/>
    <w:rsid w:val="004D33B2"/>
    <w:rsid w:val="004D3416"/>
    <w:rsid w:val="004D34BC"/>
    <w:rsid w:val="004D352F"/>
    <w:rsid w:val="004D359B"/>
    <w:rsid w:val="004D35C9"/>
    <w:rsid w:val="004D362D"/>
    <w:rsid w:val="004D381E"/>
    <w:rsid w:val="004D383A"/>
    <w:rsid w:val="004D3938"/>
    <w:rsid w:val="004D3BCE"/>
    <w:rsid w:val="004D3CF2"/>
    <w:rsid w:val="004D3D9A"/>
    <w:rsid w:val="004D3E1B"/>
    <w:rsid w:val="004D3F01"/>
    <w:rsid w:val="004D3F75"/>
    <w:rsid w:val="004D3FEE"/>
    <w:rsid w:val="004D4023"/>
    <w:rsid w:val="004D40DF"/>
    <w:rsid w:val="004D4160"/>
    <w:rsid w:val="004D4262"/>
    <w:rsid w:val="004D42BF"/>
    <w:rsid w:val="004D4667"/>
    <w:rsid w:val="004D4671"/>
    <w:rsid w:val="004D46C4"/>
    <w:rsid w:val="004D473A"/>
    <w:rsid w:val="004D473C"/>
    <w:rsid w:val="004D47B6"/>
    <w:rsid w:val="004D4814"/>
    <w:rsid w:val="004D49B7"/>
    <w:rsid w:val="004D49FA"/>
    <w:rsid w:val="004D4E52"/>
    <w:rsid w:val="004D5063"/>
    <w:rsid w:val="004D5071"/>
    <w:rsid w:val="004D5201"/>
    <w:rsid w:val="004D536F"/>
    <w:rsid w:val="004D53E9"/>
    <w:rsid w:val="004D5756"/>
    <w:rsid w:val="004D5784"/>
    <w:rsid w:val="004D57DE"/>
    <w:rsid w:val="004D58C9"/>
    <w:rsid w:val="004D58E9"/>
    <w:rsid w:val="004D5C37"/>
    <w:rsid w:val="004D5C4D"/>
    <w:rsid w:val="004D5C6B"/>
    <w:rsid w:val="004D5E96"/>
    <w:rsid w:val="004D5F1C"/>
    <w:rsid w:val="004D61DE"/>
    <w:rsid w:val="004D6240"/>
    <w:rsid w:val="004D63AD"/>
    <w:rsid w:val="004D64EE"/>
    <w:rsid w:val="004D65F5"/>
    <w:rsid w:val="004D67AD"/>
    <w:rsid w:val="004D6A49"/>
    <w:rsid w:val="004D6B7A"/>
    <w:rsid w:val="004D6C3B"/>
    <w:rsid w:val="004D6C89"/>
    <w:rsid w:val="004D6D55"/>
    <w:rsid w:val="004D6DAC"/>
    <w:rsid w:val="004D6DB2"/>
    <w:rsid w:val="004D72CE"/>
    <w:rsid w:val="004D732A"/>
    <w:rsid w:val="004D7511"/>
    <w:rsid w:val="004D758B"/>
    <w:rsid w:val="004D768E"/>
    <w:rsid w:val="004D7923"/>
    <w:rsid w:val="004D7A59"/>
    <w:rsid w:val="004D7B74"/>
    <w:rsid w:val="004D7BAB"/>
    <w:rsid w:val="004D7C85"/>
    <w:rsid w:val="004D7CD5"/>
    <w:rsid w:val="004D7D08"/>
    <w:rsid w:val="004D7D16"/>
    <w:rsid w:val="004E0030"/>
    <w:rsid w:val="004E0076"/>
    <w:rsid w:val="004E0186"/>
    <w:rsid w:val="004E027A"/>
    <w:rsid w:val="004E0287"/>
    <w:rsid w:val="004E04A2"/>
    <w:rsid w:val="004E0631"/>
    <w:rsid w:val="004E0676"/>
    <w:rsid w:val="004E0694"/>
    <w:rsid w:val="004E07AA"/>
    <w:rsid w:val="004E088B"/>
    <w:rsid w:val="004E0A5B"/>
    <w:rsid w:val="004E0B82"/>
    <w:rsid w:val="004E1202"/>
    <w:rsid w:val="004E13C8"/>
    <w:rsid w:val="004E15B6"/>
    <w:rsid w:val="004E16BA"/>
    <w:rsid w:val="004E1729"/>
    <w:rsid w:val="004E17E1"/>
    <w:rsid w:val="004E184B"/>
    <w:rsid w:val="004E1853"/>
    <w:rsid w:val="004E18D5"/>
    <w:rsid w:val="004E1AD8"/>
    <w:rsid w:val="004E1AFC"/>
    <w:rsid w:val="004E1F9B"/>
    <w:rsid w:val="004E2048"/>
    <w:rsid w:val="004E2077"/>
    <w:rsid w:val="004E208B"/>
    <w:rsid w:val="004E20C3"/>
    <w:rsid w:val="004E23F6"/>
    <w:rsid w:val="004E240D"/>
    <w:rsid w:val="004E2428"/>
    <w:rsid w:val="004E2497"/>
    <w:rsid w:val="004E26BD"/>
    <w:rsid w:val="004E27CA"/>
    <w:rsid w:val="004E28F2"/>
    <w:rsid w:val="004E2987"/>
    <w:rsid w:val="004E2B21"/>
    <w:rsid w:val="004E2D05"/>
    <w:rsid w:val="004E2D37"/>
    <w:rsid w:val="004E2E84"/>
    <w:rsid w:val="004E2E8C"/>
    <w:rsid w:val="004E2F00"/>
    <w:rsid w:val="004E2F1A"/>
    <w:rsid w:val="004E32C0"/>
    <w:rsid w:val="004E3616"/>
    <w:rsid w:val="004E39E6"/>
    <w:rsid w:val="004E3AF7"/>
    <w:rsid w:val="004E3B65"/>
    <w:rsid w:val="004E3BD2"/>
    <w:rsid w:val="004E3C12"/>
    <w:rsid w:val="004E3D1A"/>
    <w:rsid w:val="004E3D26"/>
    <w:rsid w:val="004E3D65"/>
    <w:rsid w:val="004E3F2A"/>
    <w:rsid w:val="004E4063"/>
    <w:rsid w:val="004E40FF"/>
    <w:rsid w:val="004E421D"/>
    <w:rsid w:val="004E4281"/>
    <w:rsid w:val="004E4362"/>
    <w:rsid w:val="004E46C0"/>
    <w:rsid w:val="004E46D9"/>
    <w:rsid w:val="004E4787"/>
    <w:rsid w:val="004E4884"/>
    <w:rsid w:val="004E4AC2"/>
    <w:rsid w:val="004E4D48"/>
    <w:rsid w:val="004E4DF2"/>
    <w:rsid w:val="004E4ED3"/>
    <w:rsid w:val="004E51DB"/>
    <w:rsid w:val="004E523E"/>
    <w:rsid w:val="004E5360"/>
    <w:rsid w:val="004E5393"/>
    <w:rsid w:val="004E53C4"/>
    <w:rsid w:val="004E5542"/>
    <w:rsid w:val="004E5618"/>
    <w:rsid w:val="004E5726"/>
    <w:rsid w:val="004E592D"/>
    <w:rsid w:val="004E5A74"/>
    <w:rsid w:val="004E5AE8"/>
    <w:rsid w:val="004E5B96"/>
    <w:rsid w:val="004E5BAA"/>
    <w:rsid w:val="004E5BC9"/>
    <w:rsid w:val="004E5C6B"/>
    <w:rsid w:val="004E5E83"/>
    <w:rsid w:val="004E5EA0"/>
    <w:rsid w:val="004E5F2C"/>
    <w:rsid w:val="004E5FE1"/>
    <w:rsid w:val="004E6059"/>
    <w:rsid w:val="004E61E4"/>
    <w:rsid w:val="004E61F5"/>
    <w:rsid w:val="004E62B3"/>
    <w:rsid w:val="004E63F9"/>
    <w:rsid w:val="004E647B"/>
    <w:rsid w:val="004E6551"/>
    <w:rsid w:val="004E6611"/>
    <w:rsid w:val="004E66BC"/>
    <w:rsid w:val="004E6893"/>
    <w:rsid w:val="004E68CF"/>
    <w:rsid w:val="004E6953"/>
    <w:rsid w:val="004E69A4"/>
    <w:rsid w:val="004E6B94"/>
    <w:rsid w:val="004E6C4F"/>
    <w:rsid w:val="004E6CFB"/>
    <w:rsid w:val="004E6F3A"/>
    <w:rsid w:val="004E6FE3"/>
    <w:rsid w:val="004E700D"/>
    <w:rsid w:val="004E7039"/>
    <w:rsid w:val="004E712D"/>
    <w:rsid w:val="004E72DB"/>
    <w:rsid w:val="004E73D0"/>
    <w:rsid w:val="004E74E4"/>
    <w:rsid w:val="004E7551"/>
    <w:rsid w:val="004E7A08"/>
    <w:rsid w:val="004E7BFC"/>
    <w:rsid w:val="004E7E5A"/>
    <w:rsid w:val="004F023A"/>
    <w:rsid w:val="004F0274"/>
    <w:rsid w:val="004F0276"/>
    <w:rsid w:val="004F027D"/>
    <w:rsid w:val="004F02D7"/>
    <w:rsid w:val="004F03B3"/>
    <w:rsid w:val="004F03F9"/>
    <w:rsid w:val="004F05BD"/>
    <w:rsid w:val="004F095B"/>
    <w:rsid w:val="004F095D"/>
    <w:rsid w:val="004F0A3E"/>
    <w:rsid w:val="004F0AB9"/>
    <w:rsid w:val="004F0BBB"/>
    <w:rsid w:val="004F0BE3"/>
    <w:rsid w:val="004F0C33"/>
    <w:rsid w:val="004F0FA1"/>
    <w:rsid w:val="004F1024"/>
    <w:rsid w:val="004F11A0"/>
    <w:rsid w:val="004F120E"/>
    <w:rsid w:val="004F12F6"/>
    <w:rsid w:val="004F15B0"/>
    <w:rsid w:val="004F15C4"/>
    <w:rsid w:val="004F16BE"/>
    <w:rsid w:val="004F1804"/>
    <w:rsid w:val="004F1971"/>
    <w:rsid w:val="004F1BC0"/>
    <w:rsid w:val="004F215C"/>
    <w:rsid w:val="004F21DB"/>
    <w:rsid w:val="004F22E4"/>
    <w:rsid w:val="004F23F6"/>
    <w:rsid w:val="004F24A4"/>
    <w:rsid w:val="004F24C8"/>
    <w:rsid w:val="004F2575"/>
    <w:rsid w:val="004F258E"/>
    <w:rsid w:val="004F25AA"/>
    <w:rsid w:val="004F266B"/>
    <w:rsid w:val="004F2692"/>
    <w:rsid w:val="004F276B"/>
    <w:rsid w:val="004F27CD"/>
    <w:rsid w:val="004F2814"/>
    <w:rsid w:val="004F2A88"/>
    <w:rsid w:val="004F2B1E"/>
    <w:rsid w:val="004F2B62"/>
    <w:rsid w:val="004F2C4F"/>
    <w:rsid w:val="004F302F"/>
    <w:rsid w:val="004F324C"/>
    <w:rsid w:val="004F32DC"/>
    <w:rsid w:val="004F332C"/>
    <w:rsid w:val="004F3359"/>
    <w:rsid w:val="004F34B5"/>
    <w:rsid w:val="004F35D8"/>
    <w:rsid w:val="004F3667"/>
    <w:rsid w:val="004F383E"/>
    <w:rsid w:val="004F3C5F"/>
    <w:rsid w:val="004F3C9D"/>
    <w:rsid w:val="004F3D0B"/>
    <w:rsid w:val="004F3FFA"/>
    <w:rsid w:val="004F4102"/>
    <w:rsid w:val="004F41DF"/>
    <w:rsid w:val="004F43C5"/>
    <w:rsid w:val="004F44C6"/>
    <w:rsid w:val="004F44F6"/>
    <w:rsid w:val="004F451B"/>
    <w:rsid w:val="004F458C"/>
    <w:rsid w:val="004F46BE"/>
    <w:rsid w:val="004F49B8"/>
    <w:rsid w:val="004F4B25"/>
    <w:rsid w:val="004F4D39"/>
    <w:rsid w:val="004F4E27"/>
    <w:rsid w:val="004F4ED4"/>
    <w:rsid w:val="004F503E"/>
    <w:rsid w:val="004F50CB"/>
    <w:rsid w:val="004F50FD"/>
    <w:rsid w:val="004F51C6"/>
    <w:rsid w:val="004F5304"/>
    <w:rsid w:val="004F5425"/>
    <w:rsid w:val="004F55E7"/>
    <w:rsid w:val="004F566A"/>
    <w:rsid w:val="004F5734"/>
    <w:rsid w:val="004F5753"/>
    <w:rsid w:val="004F58AF"/>
    <w:rsid w:val="004F595D"/>
    <w:rsid w:val="004F5A9E"/>
    <w:rsid w:val="004F5C0C"/>
    <w:rsid w:val="004F5CE6"/>
    <w:rsid w:val="004F5FA4"/>
    <w:rsid w:val="004F5FB0"/>
    <w:rsid w:val="004F60EF"/>
    <w:rsid w:val="004F620A"/>
    <w:rsid w:val="004F62D9"/>
    <w:rsid w:val="004F6420"/>
    <w:rsid w:val="004F6463"/>
    <w:rsid w:val="004F64C1"/>
    <w:rsid w:val="004F64F3"/>
    <w:rsid w:val="004F66B6"/>
    <w:rsid w:val="004F6882"/>
    <w:rsid w:val="004F688A"/>
    <w:rsid w:val="004F69AC"/>
    <w:rsid w:val="004F69F1"/>
    <w:rsid w:val="004F6AD9"/>
    <w:rsid w:val="004F6B14"/>
    <w:rsid w:val="004F6C1F"/>
    <w:rsid w:val="004F6EC2"/>
    <w:rsid w:val="004F6F10"/>
    <w:rsid w:val="004F704F"/>
    <w:rsid w:val="004F709C"/>
    <w:rsid w:val="004F72B4"/>
    <w:rsid w:val="004F7393"/>
    <w:rsid w:val="004F73EE"/>
    <w:rsid w:val="004F7457"/>
    <w:rsid w:val="004F7563"/>
    <w:rsid w:val="004F7648"/>
    <w:rsid w:val="004F766D"/>
    <w:rsid w:val="004F76CF"/>
    <w:rsid w:val="004F774B"/>
    <w:rsid w:val="004F782C"/>
    <w:rsid w:val="004F78AB"/>
    <w:rsid w:val="004F78BE"/>
    <w:rsid w:val="004F78C3"/>
    <w:rsid w:val="004F7A63"/>
    <w:rsid w:val="004F7AA6"/>
    <w:rsid w:val="004F7B65"/>
    <w:rsid w:val="004F7BC2"/>
    <w:rsid w:val="004F7C0C"/>
    <w:rsid w:val="004F7C6A"/>
    <w:rsid w:val="004F7C6F"/>
    <w:rsid w:val="004F7E68"/>
    <w:rsid w:val="004F7EA0"/>
    <w:rsid w:val="004F7F25"/>
    <w:rsid w:val="004F7FBA"/>
    <w:rsid w:val="0050032E"/>
    <w:rsid w:val="0050038A"/>
    <w:rsid w:val="00500484"/>
    <w:rsid w:val="0050053D"/>
    <w:rsid w:val="005005D3"/>
    <w:rsid w:val="005008A9"/>
    <w:rsid w:val="00500973"/>
    <w:rsid w:val="0050098F"/>
    <w:rsid w:val="005009E4"/>
    <w:rsid w:val="005009E9"/>
    <w:rsid w:val="00500B62"/>
    <w:rsid w:val="00500C17"/>
    <w:rsid w:val="00500C3C"/>
    <w:rsid w:val="00500FC4"/>
    <w:rsid w:val="00500FD0"/>
    <w:rsid w:val="0050101C"/>
    <w:rsid w:val="00501060"/>
    <w:rsid w:val="005010A3"/>
    <w:rsid w:val="0050117F"/>
    <w:rsid w:val="00501217"/>
    <w:rsid w:val="005013D4"/>
    <w:rsid w:val="005013F3"/>
    <w:rsid w:val="00501420"/>
    <w:rsid w:val="0050142A"/>
    <w:rsid w:val="0050145D"/>
    <w:rsid w:val="005014DA"/>
    <w:rsid w:val="00501645"/>
    <w:rsid w:val="00501745"/>
    <w:rsid w:val="00501758"/>
    <w:rsid w:val="005019FD"/>
    <w:rsid w:val="00501AB0"/>
    <w:rsid w:val="00501BD8"/>
    <w:rsid w:val="00501BDA"/>
    <w:rsid w:val="00501C66"/>
    <w:rsid w:val="00501C97"/>
    <w:rsid w:val="0050211F"/>
    <w:rsid w:val="00502142"/>
    <w:rsid w:val="00502214"/>
    <w:rsid w:val="005023D2"/>
    <w:rsid w:val="005023FF"/>
    <w:rsid w:val="00502472"/>
    <w:rsid w:val="005025A9"/>
    <w:rsid w:val="005027B4"/>
    <w:rsid w:val="005027BB"/>
    <w:rsid w:val="00502A50"/>
    <w:rsid w:val="00502A81"/>
    <w:rsid w:val="00502ABA"/>
    <w:rsid w:val="00502AD0"/>
    <w:rsid w:val="00502C5A"/>
    <w:rsid w:val="00502CCB"/>
    <w:rsid w:val="00502D51"/>
    <w:rsid w:val="00502F14"/>
    <w:rsid w:val="00503178"/>
    <w:rsid w:val="00503188"/>
    <w:rsid w:val="00503299"/>
    <w:rsid w:val="0050339B"/>
    <w:rsid w:val="005034CB"/>
    <w:rsid w:val="00503541"/>
    <w:rsid w:val="00503656"/>
    <w:rsid w:val="00503ADB"/>
    <w:rsid w:val="00503BFA"/>
    <w:rsid w:val="00503C93"/>
    <w:rsid w:val="00503D29"/>
    <w:rsid w:val="005041F8"/>
    <w:rsid w:val="0050430A"/>
    <w:rsid w:val="00504391"/>
    <w:rsid w:val="00504430"/>
    <w:rsid w:val="005044FA"/>
    <w:rsid w:val="00504506"/>
    <w:rsid w:val="005045F6"/>
    <w:rsid w:val="00504611"/>
    <w:rsid w:val="00504779"/>
    <w:rsid w:val="005047A4"/>
    <w:rsid w:val="00504915"/>
    <w:rsid w:val="005049D5"/>
    <w:rsid w:val="005049E3"/>
    <w:rsid w:val="00504B22"/>
    <w:rsid w:val="00504B61"/>
    <w:rsid w:val="00504BB6"/>
    <w:rsid w:val="00504D2A"/>
    <w:rsid w:val="00504DDC"/>
    <w:rsid w:val="00504E22"/>
    <w:rsid w:val="0050513B"/>
    <w:rsid w:val="00505166"/>
    <w:rsid w:val="005051BA"/>
    <w:rsid w:val="00505673"/>
    <w:rsid w:val="00505681"/>
    <w:rsid w:val="005056E0"/>
    <w:rsid w:val="00505769"/>
    <w:rsid w:val="0050590D"/>
    <w:rsid w:val="00505966"/>
    <w:rsid w:val="005059CA"/>
    <w:rsid w:val="00505A5E"/>
    <w:rsid w:val="00505AA7"/>
    <w:rsid w:val="00505D3E"/>
    <w:rsid w:val="00505DD4"/>
    <w:rsid w:val="00505DEC"/>
    <w:rsid w:val="00505EEF"/>
    <w:rsid w:val="00505F53"/>
    <w:rsid w:val="00505F59"/>
    <w:rsid w:val="00505FDD"/>
    <w:rsid w:val="005060F8"/>
    <w:rsid w:val="0050611F"/>
    <w:rsid w:val="005061E6"/>
    <w:rsid w:val="0050663D"/>
    <w:rsid w:val="0050663E"/>
    <w:rsid w:val="0050665A"/>
    <w:rsid w:val="00506917"/>
    <w:rsid w:val="005069D0"/>
    <w:rsid w:val="00506B68"/>
    <w:rsid w:val="00506C8F"/>
    <w:rsid w:val="00506C95"/>
    <w:rsid w:val="00506CC4"/>
    <w:rsid w:val="00506CE6"/>
    <w:rsid w:val="00506EB8"/>
    <w:rsid w:val="00506F59"/>
    <w:rsid w:val="00506FEB"/>
    <w:rsid w:val="00507174"/>
    <w:rsid w:val="00507184"/>
    <w:rsid w:val="0050718D"/>
    <w:rsid w:val="0050723A"/>
    <w:rsid w:val="005074B2"/>
    <w:rsid w:val="005074BD"/>
    <w:rsid w:val="005074D2"/>
    <w:rsid w:val="00507542"/>
    <w:rsid w:val="0050766D"/>
    <w:rsid w:val="005076C4"/>
    <w:rsid w:val="00507908"/>
    <w:rsid w:val="00507A1C"/>
    <w:rsid w:val="00507B5D"/>
    <w:rsid w:val="00507BA2"/>
    <w:rsid w:val="00507D57"/>
    <w:rsid w:val="00507D79"/>
    <w:rsid w:val="00507DAC"/>
    <w:rsid w:val="00507E2B"/>
    <w:rsid w:val="00510079"/>
    <w:rsid w:val="005100CC"/>
    <w:rsid w:val="005101C3"/>
    <w:rsid w:val="0051025B"/>
    <w:rsid w:val="00510362"/>
    <w:rsid w:val="00510644"/>
    <w:rsid w:val="0051066C"/>
    <w:rsid w:val="00510718"/>
    <w:rsid w:val="0051077F"/>
    <w:rsid w:val="00510852"/>
    <w:rsid w:val="0051091D"/>
    <w:rsid w:val="00510B01"/>
    <w:rsid w:val="00510B02"/>
    <w:rsid w:val="00510B2E"/>
    <w:rsid w:val="00510CC2"/>
    <w:rsid w:val="00510CE2"/>
    <w:rsid w:val="00510D49"/>
    <w:rsid w:val="005110BF"/>
    <w:rsid w:val="005112AF"/>
    <w:rsid w:val="005112BA"/>
    <w:rsid w:val="0051132E"/>
    <w:rsid w:val="0051133D"/>
    <w:rsid w:val="005114EF"/>
    <w:rsid w:val="00511528"/>
    <w:rsid w:val="0051160F"/>
    <w:rsid w:val="0051169C"/>
    <w:rsid w:val="0051173C"/>
    <w:rsid w:val="0051180C"/>
    <w:rsid w:val="0051195F"/>
    <w:rsid w:val="0051198F"/>
    <w:rsid w:val="00511B86"/>
    <w:rsid w:val="00511C1A"/>
    <w:rsid w:val="00511D4D"/>
    <w:rsid w:val="00511F88"/>
    <w:rsid w:val="00511FC8"/>
    <w:rsid w:val="005120C1"/>
    <w:rsid w:val="005121B3"/>
    <w:rsid w:val="00512445"/>
    <w:rsid w:val="0051245F"/>
    <w:rsid w:val="0051290A"/>
    <w:rsid w:val="0051296A"/>
    <w:rsid w:val="005129A1"/>
    <w:rsid w:val="00512AB1"/>
    <w:rsid w:val="00512B29"/>
    <w:rsid w:val="00512C1F"/>
    <w:rsid w:val="00512CD0"/>
    <w:rsid w:val="00512D57"/>
    <w:rsid w:val="00512DD7"/>
    <w:rsid w:val="00513148"/>
    <w:rsid w:val="00513312"/>
    <w:rsid w:val="00513372"/>
    <w:rsid w:val="00513455"/>
    <w:rsid w:val="00513566"/>
    <w:rsid w:val="00513659"/>
    <w:rsid w:val="005136C9"/>
    <w:rsid w:val="0051385F"/>
    <w:rsid w:val="005138A4"/>
    <w:rsid w:val="00513983"/>
    <w:rsid w:val="0051398C"/>
    <w:rsid w:val="00513A79"/>
    <w:rsid w:val="00513A9A"/>
    <w:rsid w:val="00513BF1"/>
    <w:rsid w:val="00513C9D"/>
    <w:rsid w:val="00513CBF"/>
    <w:rsid w:val="00513E62"/>
    <w:rsid w:val="00513EDB"/>
    <w:rsid w:val="005141C4"/>
    <w:rsid w:val="00514270"/>
    <w:rsid w:val="0051432E"/>
    <w:rsid w:val="00514491"/>
    <w:rsid w:val="00514570"/>
    <w:rsid w:val="0051460A"/>
    <w:rsid w:val="00514657"/>
    <w:rsid w:val="00514946"/>
    <w:rsid w:val="00514985"/>
    <w:rsid w:val="005149A4"/>
    <w:rsid w:val="00514B17"/>
    <w:rsid w:val="00514BA4"/>
    <w:rsid w:val="00514C4B"/>
    <w:rsid w:val="00514D0B"/>
    <w:rsid w:val="00514EC1"/>
    <w:rsid w:val="00515009"/>
    <w:rsid w:val="00515014"/>
    <w:rsid w:val="0051507B"/>
    <w:rsid w:val="00515093"/>
    <w:rsid w:val="005150D8"/>
    <w:rsid w:val="00515210"/>
    <w:rsid w:val="005153E3"/>
    <w:rsid w:val="0051568B"/>
    <w:rsid w:val="0051574A"/>
    <w:rsid w:val="0051578D"/>
    <w:rsid w:val="005157C2"/>
    <w:rsid w:val="005157FC"/>
    <w:rsid w:val="00515982"/>
    <w:rsid w:val="00515AED"/>
    <w:rsid w:val="00515B10"/>
    <w:rsid w:val="00515E5F"/>
    <w:rsid w:val="00515F9C"/>
    <w:rsid w:val="0051602C"/>
    <w:rsid w:val="00516056"/>
    <w:rsid w:val="00516171"/>
    <w:rsid w:val="00516256"/>
    <w:rsid w:val="005162D0"/>
    <w:rsid w:val="0051635C"/>
    <w:rsid w:val="005163AD"/>
    <w:rsid w:val="00516459"/>
    <w:rsid w:val="005164CE"/>
    <w:rsid w:val="00516572"/>
    <w:rsid w:val="005166A5"/>
    <w:rsid w:val="005166AA"/>
    <w:rsid w:val="0051685A"/>
    <w:rsid w:val="005168AC"/>
    <w:rsid w:val="005168AF"/>
    <w:rsid w:val="00516C13"/>
    <w:rsid w:val="00516D9C"/>
    <w:rsid w:val="00516F3C"/>
    <w:rsid w:val="00516F4C"/>
    <w:rsid w:val="005170A0"/>
    <w:rsid w:val="0051714E"/>
    <w:rsid w:val="005171CD"/>
    <w:rsid w:val="005171E1"/>
    <w:rsid w:val="00517255"/>
    <w:rsid w:val="00517351"/>
    <w:rsid w:val="005173A3"/>
    <w:rsid w:val="005174F8"/>
    <w:rsid w:val="005175FF"/>
    <w:rsid w:val="005176A8"/>
    <w:rsid w:val="00517702"/>
    <w:rsid w:val="005179B8"/>
    <w:rsid w:val="00517A22"/>
    <w:rsid w:val="00517BF5"/>
    <w:rsid w:val="00517C01"/>
    <w:rsid w:val="00517C3E"/>
    <w:rsid w:val="00517C60"/>
    <w:rsid w:val="00517EB4"/>
    <w:rsid w:val="00517EFE"/>
    <w:rsid w:val="00517F74"/>
    <w:rsid w:val="0052028B"/>
    <w:rsid w:val="005203E7"/>
    <w:rsid w:val="0052050B"/>
    <w:rsid w:val="0052068A"/>
    <w:rsid w:val="0052069F"/>
    <w:rsid w:val="005209BF"/>
    <w:rsid w:val="00520BBA"/>
    <w:rsid w:val="00520C71"/>
    <w:rsid w:val="00520FA2"/>
    <w:rsid w:val="0052110E"/>
    <w:rsid w:val="0052111E"/>
    <w:rsid w:val="005211FE"/>
    <w:rsid w:val="005212F6"/>
    <w:rsid w:val="005214D2"/>
    <w:rsid w:val="00521550"/>
    <w:rsid w:val="005215C1"/>
    <w:rsid w:val="005215F1"/>
    <w:rsid w:val="005216AE"/>
    <w:rsid w:val="0052177A"/>
    <w:rsid w:val="005217D4"/>
    <w:rsid w:val="00521973"/>
    <w:rsid w:val="00521A5A"/>
    <w:rsid w:val="00521AFC"/>
    <w:rsid w:val="00521BB6"/>
    <w:rsid w:val="00521C06"/>
    <w:rsid w:val="00521CBD"/>
    <w:rsid w:val="00521CF6"/>
    <w:rsid w:val="00521DF2"/>
    <w:rsid w:val="00521E3A"/>
    <w:rsid w:val="00521E42"/>
    <w:rsid w:val="00521E51"/>
    <w:rsid w:val="00522126"/>
    <w:rsid w:val="005221F0"/>
    <w:rsid w:val="00522272"/>
    <w:rsid w:val="005223CA"/>
    <w:rsid w:val="005225D9"/>
    <w:rsid w:val="005226BC"/>
    <w:rsid w:val="00522866"/>
    <w:rsid w:val="00522896"/>
    <w:rsid w:val="0052294D"/>
    <w:rsid w:val="00522A23"/>
    <w:rsid w:val="00522B2F"/>
    <w:rsid w:val="00522D6D"/>
    <w:rsid w:val="00522D98"/>
    <w:rsid w:val="00522DA1"/>
    <w:rsid w:val="00522DC9"/>
    <w:rsid w:val="00522E11"/>
    <w:rsid w:val="00522E13"/>
    <w:rsid w:val="00523067"/>
    <w:rsid w:val="00523194"/>
    <w:rsid w:val="0052319F"/>
    <w:rsid w:val="005231EE"/>
    <w:rsid w:val="0052333F"/>
    <w:rsid w:val="00523385"/>
    <w:rsid w:val="00523472"/>
    <w:rsid w:val="00523632"/>
    <w:rsid w:val="00523633"/>
    <w:rsid w:val="005238AF"/>
    <w:rsid w:val="00524046"/>
    <w:rsid w:val="00524143"/>
    <w:rsid w:val="0052414D"/>
    <w:rsid w:val="005241BB"/>
    <w:rsid w:val="005243D2"/>
    <w:rsid w:val="00524443"/>
    <w:rsid w:val="0052456E"/>
    <w:rsid w:val="00524687"/>
    <w:rsid w:val="005246D0"/>
    <w:rsid w:val="00524723"/>
    <w:rsid w:val="005249DC"/>
    <w:rsid w:val="00524AF4"/>
    <w:rsid w:val="00524BC1"/>
    <w:rsid w:val="00524E9D"/>
    <w:rsid w:val="00524F4E"/>
    <w:rsid w:val="00525072"/>
    <w:rsid w:val="005251FB"/>
    <w:rsid w:val="0052547F"/>
    <w:rsid w:val="00525484"/>
    <w:rsid w:val="005254AE"/>
    <w:rsid w:val="00525756"/>
    <w:rsid w:val="00525990"/>
    <w:rsid w:val="00525A37"/>
    <w:rsid w:val="00525C34"/>
    <w:rsid w:val="00525D4A"/>
    <w:rsid w:val="00525DD1"/>
    <w:rsid w:val="0052601C"/>
    <w:rsid w:val="005260DE"/>
    <w:rsid w:val="00526250"/>
    <w:rsid w:val="0052674B"/>
    <w:rsid w:val="005267C2"/>
    <w:rsid w:val="00526837"/>
    <w:rsid w:val="005269C7"/>
    <w:rsid w:val="005269D7"/>
    <w:rsid w:val="00526B88"/>
    <w:rsid w:val="00526C45"/>
    <w:rsid w:val="00526CD9"/>
    <w:rsid w:val="00526E34"/>
    <w:rsid w:val="005270BC"/>
    <w:rsid w:val="005270FA"/>
    <w:rsid w:val="00527276"/>
    <w:rsid w:val="0052738D"/>
    <w:rsid w:val="00527589"/>
    <w:rsid w:val="005275FC"/>
    <w:rsid w:val="005277E7"/>
    <w:rsid w:val="005278CD"/>
    <w:rsid w:val="00527923"/>
    <w:rsid w:val="00527932"/>
    <w:rsid w:val="00527A29"/>
    <w:rsid w:val="00527AB5"/>
    <w:rsid w:val="00527BAF"/>
    <w:rsid w:val="00527D9D"/>
    <w:rsid w:val="00527DB2"/>
    <w:rsid w:val="00527EA5"/>
    <w:rsid w:val="00527FBA"/>
    <w:rsid w:val="0053002D"/>
    <w:rsid w:val="005300CB"/>
    <w:rsid w:val="00530296"/>
    <w:rsid w:val="00530306"/>
    <w:rsid w:val="00530453"/>
    <w:rsid w:val="0053049F"/>
    <w:rsid w:val="00530976"/>
    <w:rsid w:val="00530A6F"/>
    <w:rsid w:val="00530B75"/>
    <w:rsid w:val="00530B94"/>
    <w:rsid w:val="00530C0E"/>
    <w:rsid w:val="00530C7D"/>
    <w:rsid w:val="00530C7F"/>
    <w:rsid w:val="00530CCA"/>
    <w:rsid w:val="00530D21"/>
    <w:rsid w:val="00530D91"/>
    <w:rsid w:val="00530E48"/>
    <w:rsid w:val="00530EC8"/>
    <w:rsid w:val="00530F41"/>
    <w:rsid w:val="00531372"/>
    <w:rsid w:val="00531499"/>
    <w:rsid w:val="005315C9"/>
    <w:rsid w:val="00531629"/>
    <w:rsid w:val="00531678"/>
    <w:rsid w:val="0053172A"/>
    <w:rsid w:val="005317E5"/>
    <w:rsid w:val="00531A03"/>
    <w:rsid w:val="00531B34"/>
    <w:rsid w:val="00531B59"/>
    <w:rsid w:val="00531BA0"/>
    <w:rsid w:val="00531D47"/>
    <w:rsid w:val="00531F32"/>
    <w:rsid w:val="00531F71"/>
    <w:rsid w:val="0053216D"/>
    <w:rsid w:val="005322A5"/>
    <w:rsid w:val="005324F1"/>
    <w:rsid w:val="00532627"/>
    <w:rsid w:val="00532630"/>
    <w:rsid w:val="00532654"/>
    <w:rsid w:val="00532700"/>
    <w:rsid w:val="0053276D"/>
    <w:rsid w:val="00532A14"/>
    <w:rsid w:val="00532AE8"/>
    <w:rsid w:val="00532C75"/>
    <w:rsid w:val="00532D3D"/>
    <w:rsid w:val="00532D6F"/>
    <w:rsid w:val="00533015"/>
    <w:rsid w:val="005330DF"/>
    <w:rsid w:val="005331ED"/>
    <w:rsid w:val="005332BA"/>
    <w:rsid w:val="005333E9"/>
    <w:rsid w:val="0053366D"/>
    <w:rsid w:val="00533677"/>
    <w:rsid w:val="00533889"/>
    <w:rsid w:val="005339DC"/>
    <w:rsid w:val="00533C05"/>
    <w:rsid w:val="00533C8F"/>
    <w:rsid w:val="00533D1E"/>
    <w:rsid w:val="00533DE7"/>
    <w:rsid w:val="00533F75"/>
    <w:rsid w:val="0053402D"/>
    <w:rsid w:val="00534054"/>
    <w:rsid w:val="00534107"/>
    <w:rsid w:val="005341CE"/>
    <w:rsid w:val="00534210"/>
    <w:rsid w:val="0053422D"/>
    <w:rsid w:val="005343AC"/>
    <w:rsid w:val="00534551"/>
    <w:rsid w:val="005345DA"/>
    <w:rsid w:val="0053462B"/>
    <w:rsid w:val="00534648"/>
    <w:rsid w:val="005348E5"/>
    <w:rsid w:val="00534A22"/>
    <w:rsid w:val="00534A88"/>
    <w:rsid w:val="00534CAB"/>
    <w:rsid w:val="00534D61"/>
    <w:rsid w:val="00534E65"/>
    <w:rsid w:val="00534E9B"/>
    <w:rsid w:val="00535111"/>
    <w:rsid w:val="00535227"/>
    <w:rsid w:val="0053522C"/>
    <w:rsid w:val="00535328"/>
    <w:rsid w:val="00535415"/>
    <w:rsid w:val="005354C6"/>
    <w:rsid w:val="00535544"/>
    <w:rsid w:val="005355AC"/>
    <w:rsid w:val="005355EC"/>
    <w:rsid w:val="005356D1"/>
    <w:rsid w:val="00535746"/>
    <w:rsid w:val="00535B05"/>
    <w:rsid w:val="00535CCE"/>
    <w:rsid w:val="00535D01"/>
    <w:rsid w:val="00535DFE"/>
    <w:rsid w:val="00535ECA"/>
    <w:rsid w:val="00535FBD"/>
    <w:rsid w:val="00536069"/>
    <w:rsid w:val="005360AE"/>
    <w:rsid w:val="00536195"/>
    <w:rsid w:val="0053619E"/>
    <w:rsid w:val="005361C4"/>
    <w:rsid w:val="005361FB"/>
    <w:rsid w:val="0053628B"/>
    <w:rsid w:val="00536364"/>
    <w:rsid w:val="005363CC"/>
    <w:rsid w:val="005363D9"/>
    <w:rsid w:val="00536448"/>
    <w:rsid w:val="00536496"/>
    <w:rsid w:val="005365A6"/>
    <w:rsid w:val="005367F2"/>
    <w:rsid w:val="00536B85"/>
    <w:rsid w:val="00536BC9"/>
    <w:rsid w:val="00536D13"/>
    <w:rsid w:val="00536D73"/>
    <w:rsid w:val="00536EF3"/>
    <w:rsid w:val="00536F1D"/>
    <w:rsid w:val="00536F90"/>
    <w:rsid w:val="00536FC7"/>
    <w:rsid w:val="00537217"/>
    <w:rsid w:val="00537224"/>
    <w:rsid w:val="00537391"/>
    <w:rsid w:val="005373B2"/>
    <w:rsid w:val="00537599"/>
    <w:rsid w:val="005377C8"/>
    <w:rsid w:val="00537A62"/>
    <w:rsid w:val="00537B7D"/>
    <w:rsid w:val="00537B8A"/>
    <w:rsid w:val="00537C8B"/>
    <w:rsid w:val="00537CFB"/>
    <w:rsid w:val="00537D92"/>
    <w:rsid w:val="00537F05"/>
    <w:rsid w:val="00537FF8"/>
    <w:rsid w:val="00540206"/>
    <w:rsid w:val="0054051D"/>
    <w:rsid w:val="005406B2"/>
    <w:rsid w:val="00540765"/>
    <w:rsid w:val="00540922"/>
    <w:rsid w:val="00540986"/>
    <w:rsid w:val="00540BD8"/>
    <w:rsid w:val="00540CBB"/>
    <w:rsid w:val="00540F64"/>
    <w:rsid w:val="00540FBD"/>
    <w:rsid w:val="0054114F"/>
    <w:rsid w:val="005411B6"/>
    <w:rsid w:val="005413FB"/>
    <w:rsid w:val="00541421"/>
    <w:rsid w:val="0054155A"/>
    <w:rsid w:val="00541666"/>
    <w:rsid w:val="0054166A"/>
    <w:rsid w:val="00541694"/>
    <w:rsid w:val="005418BC"/>
    <w:rsid w:val="005419CB"/>
    <w:rsid w:val="00541B4C"/>
    <w:rsid w:val="00541BFB"/>
    <w:rsid w:val="00541C0C"/>
    <w:rsid w:val="00541C32"/>
    <w:rsid w:val="00541CF3"/>
    <w:rsid w:val="00541F32"/>
    <w:rsid w:val="00541F63"/>
    <w:rsid w:val="0054228D"/>
    <w:rsid w:val="005422D2"/>
    <w:rsid w:val="005422EC"/>
    <w:rsid w:val="005423B1"/>
    <w:rsid w:val="00542534"/>
    <w:rsid w:val="005425AF"/>
    <w:rsid w:val="005425B6"/>
    <w:rsid w:val="005425C2"/>
    <w:rsid w:val="00542928"/>
    <w:rsid w:val="0054296A"/>
    <w:rsid w:val="00542B41"/>
    <w:rsid w:val="00542BA7"/>
    <w:rsid w:val="00542F4C"/>
    <w:rsid w:val="00543218"/>
    <w:rsid w:val="0054351A"/>
    <w:rsid w:val="00543561"/>
    <w:rsid w:val="00543573"/>
    <w:rsid w:val="00543603"/>
    <w:rsid w:val="0054371A"/>
    <w:rsid w:val="00543760"/>
    <w:rsid w:val="00543D39"/>
    <w:rsid w:val="00543D75"/>
    <w:rsid w:val="00543F12"/>
    <w:rsid w:val="005440EB"/>
    <w:rsid w:val="00544193"/>
    <w:rsid w:val="0054439B"/>
    <w:rsid w:val="00544410"/>
    <w:rsid w:val="00544415"/>
    <w:rsid w:val="005444AE"/>
    <w:rsid w:val="00544509"/>
    <w:rsid w:val="0054488E"/>
    <w:rsid w:val="00544972"/>
    <w:rsid w:val="00544A21"/>
    <w:rsid w:val="00544B13"/>
    <w:rsid w:val="00544B79"/>
    <w:rsid w:val="00544B8A"/>
    <w:rsid w:val="00544C93"/>
    <w:rsid w:val="00544E2C"/>
    <w:rsid w:val="00544E60"/>
    <w:rsid w:val="00544F2E"/>
    <w:rsid w:val="00544F42"/>
    <w:rsid w:val="0054504F"/>
    <w:rsid w:val="00545544"/>
    <w:rsid w:val="0054571E"/>
    <w:rsid w:val="005457A7"/>
    <w:rsid w:val="00545B70"/>
    <w:rsid w:val="00545BAE"/>
    <w:rsid w:val="00545BCD"/>
    <w:rsid w:val="00545C1B"/>
    <w:rsid w:val="00545C78"/>
    <w:rsid w:val="00545CB9"/>
    <w:rsid w:val="00545D5A"/>
    <w:rsid w:val="00545EFD"/>
    <w:rsid w:val="0054608D"/>
    <w:rsid w:val="005460E5"/>
    <w:rsid w:val="005462AE"/>
    <w:rsid w:val="0054639B"/>
    <w:rsid w:val="0054645B"/>
    <w:rsid w:val="00546554"/>
    <w:rsid w:val="00546564"/>
    <w:rsid w:val="005465B4"/>
    <w:rsid w:val="00546603"/>
    <w:rsid w:val="005467DA"/>
    <w:rsid w:val="005467EE"/>
    <w:rsid w:val="0054693A"/>
    <w:rsid w:val="0054697E"/>
    <w:rsid w:val="005469A6"/>
    <w:rsid w:val="00546A85"/>
    <w:rsid w:val="00546CC5"/>
    <w:rsid w:val="00546F26"/>
    <w:rsid w:val="0054701C"/>
    <w:rsid w:val="0054724C"/>
    <w:rsid w:val="00547345"/>
    <w:rsid w:val="005474D6"/>
    <w:rsid w:val="0054769C"/>
    <w:rsid w:val="00547803"/>
    <w:rsid w:val="00547909"/>
    <w:rsid w:val="00547A23"/>
    <w:rsid w:val="00547E2A"/>
    <w:rsid w:val="00547E69"/>
    <w:rsid w:val="00547F3C"/>
    <w:rsid w:val="005501DD"/>
    <w:rsid w:val="005503E5"/>
    <w:rsid w:val="00550409"/>
    <w:rsid w:val="005504A7"/>
    <w:rsid w:val="00550545"/>
    <w:rsid w:val="005506C1"/>
    <w:rsid w:val="00550B5B"/>
    <w:rsid w:val="00550BB1"/>
    <w:rsid w:val="00550EAE"/>
    <w:rsid w:val="00550EC2"/>
    <w:rsid w:val="00550F1A"/>
    <w:rsid w:val="00550FCE"/>
    <w:rsid w:val="0055118E"/>
    <w:rsid w:val="005511E0"/>
    <w:rsid w:val="00551256"/>
    <w:rsid w:val="0055149E"/>
    <w:rsid w:val="00551510"/>
    <w:rsid w:val="0055175C"/>
    <w:rsid w:val="00551AB7"/>
    <w:rsid w:val="00551C83"/>
    <w:rsid w:val="00551CFB"/>
    <w:rsid w:val="00551D12"/>
    <w:rsid w:val="00551D2F"/>
    <w:rsid w:val="00551DBD"/>
    <w:rsid w:val="00551E25"/>
    <w:rsid w:val="00551E65"/>
    <w:rsid w:val="00552061"/>
    <w:rsid w:val="005521EA"/>
    <w:rsid w:val="0055231B"/>
    <w:rsid w:val="00552351"/>
    <w:rsid w:val="00552471"/>
    <w:rsid w:val="005524EB"/>
    <w:rsid w:val="00552695"/>
    <w:rsid w:val="0055276B"/>
    <w:rsid w:val="0055280D"/>
    <w:rsid w:val="00552850"/>
    <w:rsid w:val="005529BD"/>
    <w:rsid w:val="005529DC"/>
    <w:rsid w:val="00552A8D"/>
    <w:rsid w:val="00552BFB"/>
    <w:rsid w:val="00552C32"/>
    <w:rsid w:val="00552D27"/>
    <w:rsid w:val="00552D2A"/>
    <w:rsid w:val="00552F37"/>
    <w:rsid w:val="00552FA0"/>
    <w:rsid w:val="00553025"/>
    <w:rsid w:val="00553297"/>
    <w:rsid w:val="0055336D"/>
    <w:rsid w:val="005533D4"/>
    <w:rsid w:val="00553590"/>
    <w:rsid w:val="00553711"/>
    <w:rsid w:val="005537BB"/>
    <w:rsid w:val="005539DA"/>
    <w:rsid w:val="00553A00"/>
    <w:rsid w:val="00553B08"/>
    <w:rsid w:val="00553B0F"/>
    <w:rsid w:val="00553B1A"/>
    <w:rsid w:val="00553C3F"/>
    <w:rsid w:val="00553DA3"/>
    <w:rsid w:val="00553E97"/>
    <w:rsid w:val="00553EDC"/>
    <w:rsid w:val="00553EE1"/>
    <w:rsid w:val="00553F2D"/>
    <w:rsid w:val="00553FA2"/>
    <w:rsid w:val="00554011"/>
    <w:rsid w:val="00554124"/>
    <w:rsid w:val="00554414"/>
    <w:rsid w:val="00554590"/>
    <w:rsid w:val="0055459F"/>
    <w:rsid w:val="005549EE"/>
    <w:rsid w:val="00554C0E"/>
    <w:rsid w:val="00554CA8"/>
    <w:rsid w:val="00554CD1"/>
    <w:rsid w:val="00554ED4"/>
    <w:rsid w:val="00555133"/>
    <w:rsid w:val="0055525B"/>
    <w:rsid w:val="005552D5"/>
    <w:rsid w:val="0055536A"/>
    <w:rsid w:val="00555591"/>
    <w:rsid w:val="005555AF"/>
    <w:rsid w:val="00555623"/>
    <w:rsid w:val="00555655"/>
    <w:rsid w:val="005556F0"/>
    <w:rsid w:val="00555804"/>
    <w:rsid w:val="00555852"/>
    <w:rsid w:val="005558EE"/>
    <w:rsid w:val="00555936"/>
    <w:rsid w:val="00555943"/>
    <w:rsid w:val="00555A75"/>
    <w:rsid w:val="00555B35"/>
    <w:rsid w:val="00555E72"/>
    <w:rsid w:val="00555E90"/>
    <w:rsid w:val="00555F28"/>
    <w:rsid w:val="00556140"/>
    <w:rsid w:val="00556246"/>
    <w:rsid w:val="0055627D"/>
    <w:rsid w:val="0055628E"/>
    <w:rsid w:val="005562C4"/>
    <w:rsid w:val="00556403"/>
    <w:rsid w:val="005564F7"/>
    <w:rsid w:val="0055689D"/>
    <w:rsid w:val="00556B56"/>
    <w:rsid w:val="00556BDB"/>
    <w:rsid w:val="00556CC6"/>
    <w:rsid w:val="00556DB3"/>
    <w:rsid w:val="00556DD8"/>
    <w:rsid w:val="00556E5F"/>
    <w:rsid w:val="005570B2"/>
    <w:rsid w:val="005570D4"/>
    <w:rsid w:val="005570EE"/>
    <w:rsid w:val="00557203"/>
    <w:rsid w:val="00557207"/>
    <w:rsid w:val="005572AD"/>
    <w:rsid w:val="0055732A"/>
    <w:rsid w:val="00557443"/>
    <w:rsid w:val="00557452"/>
    <w:rsid w:val="00557549"/>
    <w:rsid w:val="0055762A"/>
    <w:rsid w:val="005576D5"/>
    <w:rsid w:val="00557762"/>
    <w:rsid w:val="005577F4"/>
    <w:rsid w:val="00557989"/>
    <w:rsid w:val="00557992"/>
    <w:rsid w:val="00557A21"/>
    <w:rsid w:val="00557BF7"/>
    <w:rsid w:val="00557E8F"/>
    <w:rsid w:val="00560013"/>
    <w:rsid w:val="005600E6"/>
    <w:rsid w:val="005600FC"/>
    <w:rsid w:val="0056013B"/>
    <w:rsid w:val="0056023C"/>
    <w:rsid w:val="0056032C"/>
    <w:rsid w:val="005603EC"/>
    <w:rsid w:val="005603F0"/>
    <w:rsid w:val="0056046C"/>
    <w:rsid w:val="00560487"/>
    <w:rsid w:val="0056065D"/>
    <w:rsid w:val="0056066E"/>
    <w:rsid w:val="00560682"/>
    <w:rsid w:val="005606B3"/>
    <w:rsid w:val="0056075F"/>
    <w:rsid w:val="00560866"/>
    <w:rsid w:val="00560A1E"/>
    <w:rsid w:val="00560B02"/>
    <w:rsid w:val="00560BDE"/>
    <w:rsid w:val="00560D6F"/>
    <w:rsid w:val="00560DAE"/>
    <w:rsid w:val="00560EE8"/>
    <w:rsid w:val="00560EEE"/>
    <w:rsid w:val="00561147"/>
    <w:rsid w:val="005611AD"/>
    <w:rsid w:val="00561223"/>
    <w:rsid w:val="005612E4"/>
    <w:rsid w:val="00561342"/>
    <w:rsid w:val="00561429"/>
    <w:rsid w:val="005614D6"/>
    <w:rsid w:val="005614EE"/>
    <w:rsid w:val="00561593"/>
    <w:rsid w:val="0056159A"/>
    <w:rsid w:val="0056173F"/>
    <w:rsid w:val="0056174C"/>
    <w:rsid w:val="00561C3A"/>
    <w:rsid w:val="00561CC4"/>
    <w:rsid w:val="00561CCD"/>
    <w:rsid w:val="00561D3B"/>
    <w:rsid w:val="00561DA8"/>
    <w:rsid w:val="00561EBB"/>
    <w:rsid w:val="00561EF0"/>
    <w:rsid w:val="00561F8E"/>
    <w:rsid w:val="00561FD5"/>
    <w:rsid w:val="005620F2"/>
    <w:rsid w:val="005621A7"/>
    <w:rsid w:val="005621BE"/>
    <w:rsid w:val="00562367"/>
    <w:rsid w:val="005624C7"/>
    <w:rsid w:val="0056275F"/>
    <w:rsid w:val="00562923"/>
    <w:rsid w:val="00562931"/>
    <w:rsid w:val="00562990"/>
    <w:rsid w:val="00562A16"/>
    <w:rsid w:val="00562DF0"/>
    <w:rsid w:val="00562E21"/>
    <w:rsid w:val="00562E9A"/>
    <w:rsid w:val="00562F50"/>
    <w:rsid w:val="00562FD5"/>
    <w:rsid w:val="00563164"/>
    <w:rsid w:val="005631BA"/>
    <w:rsid w:val="005634BD"/>
    <w:rsid w:val="00563647"/>
    <w:rsid w:val="005636CB"/>
    <w:rsid w:val="00563843"/>
    <w:rsid w:val="0056392F"/>
    <w:rsid w:val="00563BF4"/>
    <w:rsid w:val="00563C34"/>
    <w:rsid w:val="00563CC6"/>
    <w:rsid w:val="00563DFC"/>
    <w:rsid w:val="00563EFA"/>
    <w:rsid w:val="005640A6"/>
    <w:rsid w:val="005640E3"/>
    <w:rsid w:val="00564265"/>
    <w:rsid w:val="005642A5"/>
    <w:rsid w:val="00564353"/>
    <w:rsid w:val="00564639"/>
    <w:rsid w:val="0056469E"/>
    <w:rsid w:val="00564709"/>
    <w:rsid w:val="005647AA"/>
    <w:rsid w:val="0056482C"/>
    <w:rsid w:val="005648A3"/>
    <w:rsid w:val="00564B41"/>
    <w:rsid w:val="00564C99"/>
    <w:rsid w:val="00564CA4"/>
    <w:rsid w:val="00564D08"/>
    <w:rsid w:val="00564D97"/>
    <w:rsid w:val="00564E47"/>
    <w:rsid w:val="0056501D"/>
    <w:rsid w:val="00565051"/>
    <w:rsid w:val="005651C0"/>
    <w:rsid w:val="00565290"/>
    <w:rsid w:val="00565332"/>
    <w:rsid w:val="0056535B"/>
    <w:rsid w:val="005653E6"/>
    <w:rsid w:val="0056544E"/>
    <w:rsid w:val="005654A7"/>
    <w:rsid w:val="00565527"/>
    <w:rsid w:val="00565581"/>
    <w:rsid w:val="005655BB"/>
    <w:rsid w:val="005655F8"/>
    <w:rsid w:val="00565775"/>
    <w:rsid w:val="005657A2"/>
    <w:rsid w:val="005658FD"/>
    <w:rsid w:val="0056598A"/>
    <w:rsid w:val="00565C83"/>
    <w:rsid w:val="00565F08"/>
    <w:rsid w:val="00565F36"/>
    <w:rsid w:val="00565F5D"/>
    <w:rsid w:val="005662DF"/>
    <w:rsid w:val="0056653E"/>
    <w:rsid w:val="0056663A"/>
    <w:rsid w:val="00566924"/>
    <w:rsid w:val="005669A6"/>
    <w:rsid w:val="00566BCC"/>
    <w:rsid w:val="00566C04"/>
    <w:rsid w:val="00566C60"/>
    <w:rsid w:val="00566C9E"/>
    <w:rsid w:val="00567044"/>
    <w:rsid w:val="00567234"/>
    <w:rsid w:val="00567269"/>
    <w:rsid w:val="00567286"/>
    <w:rsid w:val="005672EE"/>
    <w:rsid w:val="0056750A"/>
    <w:rsid w:val="00567523"/>
    <w:rsid w:val="00567683"/>
    <w:rsid w:val="0056768F"/>
    <w:rsid w:val="00567763"/>
    <w:rsid w:val="00567785"/>
    <w:rsid w:val="005678E5"/>
    <w:rsid w:val="00567AFA"/>
    <w:rsid w:val="00567B75"/>
    <w:rsid w:val="00567C4F"/>
    <w:rsid w:val="00567DE7"/>
    <w:rsid w:val="00567E2A"/>
    <w:rsid w:val="00570068"/>
    <w:rsid w:val="00570188"/>
    <w:rsid w:val="005707D4"/>
    <w:rsid w:val="00570A3E"/>
    <w:rsid w:val="00570A6C"/>
    <w:rsid w:val="00570A85"/>
    <w:rsid w:val="00570BAF"/>
    <w:rsid w:val="00570C40"/>
    <w:rsid w:val="00570CA2"/>
    <w:rsid w:val="00570DF3"/>
    <w:rsid w:val="00571082"/>
    <w:rsid w:val="00571173"/>
    <w:rsid w:val="00571474"/>
    <w:rsid w:val="0057154F"/>
    <w:rsid w:val="00571574"/>
    <w:rsid w:val="00571717"/>
    <w:rsid w:val="00571750"/>
    <w:rsid w:val="005717CE"/>
    <w:rsid w:val="005718E6"/>
    <w:rsid w:val="005718FB"/>
    <w:rsid w:val="00571A55"/>
    <w:rsid w:val="00571B5C"/>
    <w:rsid w:val="00571B79"/>
    <w:rsid w:val="00571C4E"/>
    <w:rsid w:val="00571DB2"/>
    <w:rsid w:val="00571E69"/>
    <w:rsid w:val="00571F18"/>
    <w:rsid w:val="00572047"/>
    <w:rsid w:val="005721DA"/>
    <w:rsid w:val="0057230C"/>
    <w:rsid w:val="00572321"/>
    <w:rsid w:val="005724A9"/>
    <w:rsid w:val="005724E5"/>
    <w:rsid w:val="00572621"/>
    <w:rsid w:val="00572661"/>
    <w:rsid w:val="00572688"/>
    <w:rsid w:val="0057272D"/>
    <w:rsid w:val="0057275D"/>
    <w:rsid w:val="00572779"/>
    <w:rsid w:val="00572805"/>
    <w:rsid w:val="00572836"/>
    <w:rsid w:val="00572B43"/>
    <w:rsid w:val="00572B5E"/>
    <w:rsid w:val="00572CDB"/>
    <w:rsid w:val="005730E4"/>
    <w:rsid w:val="005732ED"/>
    <w:rsid w:val="00573348"/>
    <w:rsid w:val="00573368"/>
    <w:rsid w:val="0057340C"/>
    <w:rsid w:val="00573416"/>
    <w:rsid w:val="0057361C"/>
    <w:rsid w:val="005736AE"/>
    <w:rsid w:val="00573743"/>
    <w:rsid w:val="0057399F"/>
    <w:rsid w:val="00573A33"/>
    <w:rsid w:val="00573A46"/>
    <w:rsid w:val="00573BF6"/>
    <w:rsid w:val="00573C0C"/>
    <w:rsid w:val="00573C67"/>
    <w:rsid w:val="00573D39"/>
    <w:rsid w:val="00573D46"/>
    <w:rsid w:val="00573E0A"/>
    <w:rsid w:val="00573E90"/>
    <w:rsid w:val="00573FAC"/>
    <w:rsid w:val="00574194"/>
    <w:rsid w:val="005742C0"/>
    <w:rsid w:val="00574339"/>
    <w:rsid w:val="005743FA"/>
    <w:rsid w:val="005746E3"/>
    <w:rsid w:val="005749A2"/>
    <w:rsid w:val="005749E0"/>
    <w:rsid w:val="00574ADC"/>
    <w:rsid w:val="00574EFF"/>
    <w:rsid w:val="00574FE6"/>
    <w:rsid w:val="005754F2"/>
    <w:rsid w:val="005755A6"/>
    <w:rsid w:val="005755F3"/>
    <w:rsid w:val="005756D0"/>
    <w:rsid w:val="00575880"/>
    <w:rsid w:val="005759CF"/>
    <w:rsid w:val="00575A5D"/>
    <w:rsid w:val="00575A7D"/>
    <w:rsid w:val="00575ABD"/>
    <w:rsid w:val="00575D90"/>
    <w:rsid w:val="0057601E"/>
    <w:rsid w:val="0057615F"/>
    <w:rsid w:val="005761DC"/>
    <w:rsid w:val="005762D4"/>
    <w:rsid w:val="00576D02"/>
    <w:rsid w:val="00576D14"/>
    <w:rsid w:val="00576D5C"/>
    <w:rsid w:val="00576DF5"/>
    <w:rsid w:val="00576F0B"/>
    <w:rsid w:val="00576FAD"/>
    <w:rsid w:val="00576FC4"/>
    <w:rsid w:val="005770F9"/>
    <w:rsid w:val="005773CB"/>
    <w:rsid w:val="005774E9"/>
    <w:rsid w:val="00577520"/>
    <w:rsid w:val="00577575"/>
    <w:rsid w:val="005775EE"/>
    <w:rsid w:val="00577A4E"/>
    <w:rsid w:val="00577A73"/>
    <w:rsid w:val="00577AD2"/>
    <w:rsid w:val="00577CB9"/>
    <w:rsid w:val="00577FB7"/>
    <w:rsid w:val="00577FD9"/>
    <w:rsid w:val="00580037"/>
    <w:rsid w:val="005800C8"/>
    <w:rsid w:val="005801FB"/>
    <w:rsid w:val="00580716"/>
    <w:rsid w:val="00580851"/>
    <w:rsid w:val="0058094F"/>
    <w:rsid w:val="00580AA5"/>
    <w:rsid w:val="00580AB2"/>
    <w:rsid w:val="00580ADA"/>
    <w:rsid w:val="00580C7C"/>
    <w:rsid w:val="00580CBC"/>
    <w:rsid w:val="00580EAF"/>
    <w:rsid w:val="00580F87"/>
    <w:rsid w:val="00581155"/>
    <w:rsid w:val="0058121B"/>
    <w:rsid w:val="0058122C"/>
    <w:rsid w:val="00581242"/>
    <w:rsid w:val="0058124C"/>
    <w:rsid w:val="00581267"/>
    <w:rsid w:val="005814C1"/>
    <w:rsid w:val="0058152B"/>
    <w:rsid w:val="00581603"/>
    <w:rsid w:val="00581641"/>
    <w:rsid w:val="0058168D"/>
    <w:rsid w:val="005817EC"/>
    <w:rsid w:val="00581B43"/>
    <w:rsid w:val="00581DD5"/>
    <w:rsid w:val="00581E31"/>
    <w:rsid w:val="00581F99"/>
    <w:rsid w:val="00581FDB"/>
    <w:rsid w:val="005820F3"/>
    <w:rsid w:val="00582108"/>
    <w:rsid w:val="005822F8"/>
    <w:rsid w:val="005824E0"/>
    <w:rsid w:val="005824FD"/>
    <w:rsid w:val="0058261F"/>
    <w:rsid w:val="00582894"/>
    <w:rsid w:val="00582A34"/>
    <w:rsid w:val="00582B98"/>
    <w:rsid w:val="00582DE7"/>
    <w:rsid w:val="00582E13"/>
    <w:rsid w:val="00582E53"/>
    <w:rsid w:val="00582FD2"/>
    <w:rsid w:val="005831AD"/>
    <w:rsid w:val="005831E5"/>
    <w:rsid w:val="00583388"/>
    <w:rsid w:val="0058360E"/>
    <w:rsid w:val="0058369B"/>
    <w:rsid w:val="00583767"/>
    <w:rsid w:val="005837AC"/>
    <w:rsid w:val="005837C6"/>
    <w:rsid w:val="005837F3"/>
    <w:rsid w:val="00583811"/>
    <w:rsid w:val="005838C6"/>
    <w:rsid w:val="00583922"/>
    <w:rsid w:val="00583A23"/>
    <w:rsid w:val="00583A5E"/>
    <w:rsid w:val="00583A63"/>
    <w:rsid w:val="00583B3D"/>
    <w:rsid w:val="00583C48"/>
    <w:rsid w:val="00583D51"/>
    <w:rsid w:val="0058410E"/>
    <w:rsid w:val="00584152"/>
    <w:rsid w:val="0058418A"/>
    <w:rsid w:val="0058430F"/>
    <w:rsid w:val="00584321"/>
    <w:rsid w:val="0058449A"/>
    <w:rsid w:val="0058456F"/>
    <w:rsid w:val="005845DF"/>
    <w:rsid w:val="00584603"/>
    <w:rsid w:val="00584622"/>
    <w:rsid w:val="0058467E"/>
    <w:rsid w:val="005848D0"/>
    <w:rsid w:val="0058499C"/>
    <w:rsid w:val="00584A57"/>
    <w:rsid w:val="00584C62"/>
    <w:rsid w:val="00584F6D"/>
    <w:rsid w:val="00585074"/>
    <w:rsid w:val="00585132"/>
    <w:rsid w:val="00585294"/>
    <w:rsid w:val="00585348"/>
    <w:rsid w:val="0058547F"/>
    <w:rsid w:val="0058567A"/>
    <w:rsid w:val="005856E7"/>
    <w:rsid w:val="0058573B"/>
    <w:rsid w:val="0058576F"/>
    <w:rsid w:val="00585832"/>
    <w:rsid w:val="005858B2"/>
    <w:rsid w:val="00585978"/>
    <w:rsid w:val="005859E3"/>
    <w:rsid w:val="00585A38"/>
    <w:rsid w:val="00585BD0"/>
    <w:rsid w:val="00585C18"/>
    <w:rsid w:val="00585D27"/>
    <w:rsid w:val="00585E8D"/>
    <w:rsid w:val="00585F93"/>
    <w:rsid w:val="00586013"/>
    <w:rsid w:val="0058674F"/>
    <w:rsid w:val="005867FE"/>
    <w:rsid w:val="00586843"/>
    <w:rsid w:val="005868A6"/>
    <w:rsid w:val="005868F0"/>
    <w:rsid w:val="00586A55"/>
    <w:rsid w:val="00586A86"/>
    <w:rsid w:val="00586D9B"/>
    <w:rsid w:val="00586DBF"/>
    <w:rsid w:val="00586E68"/>
    <w:rsid w:val="005870D4"/>
    <w:rsid w:val="0058724F"/>
    <w:rsid w:val="00587252"/>
    <w:rsid w:val="005872F8"/>
    <w:rsid w:val="00587461"/>
    <w:rsid w:val="005874E8"/>
    <w:rsid w:val="0058756E"/>
    <w:rsid w:val="005875AA"/>
    <w:rsid w:val="005875CF"/>
    <w:rsid w:val="00587648"/>
    <w:rsid w:val="00587666"/>
    <w:rsid w:val="005876AE"/>
    <w:rsid w:val="005877BC"/>
    <w:rsid w:val="005878F7"/>
    <w:rsid w:val="00587928"/>
    <w:rsid w:val="005879D9"/>
    <w:rsid w:val="00587BE3"/>
    <w:rsid w:val="00587D08"/>
    <w:rsid w:val="00587DE6"/>
    <w:rsid w:val="00590449"/>
    <w:rsid w:val="005904E3"/>
    <w:rsid w:val="00590583"/>
    <w:rsid w:val="005905E7"/>
    <w:rsid w:val="00590651"/>
    <w:rsid w:val="005907F9"/>
    <w:rsid w:val="00590AEC"/>
    <w:rsid w:val="00590FEB"/>
    <w:rsid w:val="00591061"/>
    <w:rsid w:val="00591093"/>
    <w:rsid w:val="005912BE"/>
    <w:rsid w:val="0059148B"/>
    <w:rsid w:val="00591517"/>
    <w:rsid w:val="005915EA"/>
    <w:rsid w:val="00591613"/>
    <w:rsid w:val="00591718"/>
    <w:rsid w:val="00591A9A"/>
    <w:rsid w:val="00591AFF"/>
    <w:rsid w:val="00591B65"/>
    <w:rsid w:val="00591D38"/>
    <w:rsid w:val="00591D73"/>
    <w:rsid w:val="00591DD9"/>
    <w:rsid w:val="00592234"/>
    <w:rsid w:val="005922CE"/>
    <w:rsid w:val="005922FC"/>
    <w:rsid w:val="00592519"/>
    <w:rsid w:val="00592549"/>
    <w:rsid w:val="0059283E"/>
    <w:rsid w:val="005928B4"/>
    <w:rsid w:val="0059296F"/>
    <w:rsid w:val="00592986"/>
    <w:rsid w:val="00592A2D"/>
    <w:rsid w:val="00592B70"/>
    <w:rsid w:val="00592BF9"/>
    <w:rsid w:val="00592E4B"/>
    <w:rsid w:val="00592F4E"/>
    <w:rsid w:val="005930E8"/>
    <w:rsid w:val="005931D8"/>
    <w:rsid w:val="00593212"/>
    <w:rsid w:val="005933C0"/>
    <w:rsid w:val="0059346C"/>
    <w:rsid w:val="005934B7"/>
    <w:rsid w:val="0059356B"/>
    <w:rsid w:val="00593692"/>
    <w:rsid w:val="00593737"/>
    <w:rsid w:val="005937E1"/>
    <w:rsid w:val="0059388C"/>
    <w:rsid w:val="00593896"/>
    <w:rsid w:val="005938C2"/>
    <w:rsid w:val="00593A28"/>
    <w:rsid w:val="00593E76"/>
    <w:rsid w:val="00593E9A"/>
    <w:rsid w:val="00593EF4"/>
    <w:rsid w:val="00593EF7"/>
    <w:rsid w:val="00593F2D"/>
    <w:rsid w:val="00593F57"/>
    <w:rsid w:val="00593FAB"/>
    <w:rsid w:val="0059427C"/>
    <w:rsid w:val="0059434E"/>
    <w:rsid w:val="005943ED"/>
    <w:rsid w:val="0059443E"/>
    <w:rsid w:val="0059452F"/>
    <w:rsid w:val="0059470A"/>
    <w:rsid w:val="0059482A"/>
    <w:rsid w:val="00594878"/>
    <w:rsid w:val="0059492F"/>
    <w:rsid w:val="00594952"/>
    <w:rsid w:val="005949B6"/>
    <w:rsid w:val="00594AF3"/>
    <w:rsid w:val="00594B1E"/>
    <w:rsid w:val="00594BAC"/>
    <w:rsid w:val="00594BE5"/>
    <w:rsid w:val="00594BEE"/>
    <w:rsid w:val="00594D20"/>
    <w:rsid w:val="00594F5E"/>
    <w:rsid w:val="00594FDA"/>
    <w:rsid w:val="0059502F"/>
    <w:rsid w:val="00595108"/>
    <w:rsid w:val="0059519B"/>
    <w:rsid w:val="00595375"/>
    <w:rsid w:val="00595486"/>
    <w:rsid w:val="005955D5"/>
    <w:rsid w:val="00595686"/>
    <w:rsid w:val="00595A26"/>
    <w:rsid w:val="00595A35"/>
    <w:rsid w:val="00595A6E"/>
    <w:rsid w:val="00595D1C"/>
    <w:rsid w:val="005962E8"/>
    <w:rsid w:val="00596516"/>
    <w:rsid w:val="005965DD"/>
    <w:rsid w:val="0059660D"/>
    <w:rsid w:val="0059669A"/>
    <w:rsid w:val="005967BC"/>
    <w:rsid w:val="00596864"/>
    <w:rsid w:val="00596866"/>
    <w:rsid w:val="005968CF"/>
    <w:rsid w:val="00596930"/>
    <w:rsid w:val="00596950"/>
    <w:rsid w:val="00596A5D"/>
    <w:rsid w:val="00596BBD"/>
    <w:rsid w:val="00596C73"/>
    <w:rsid w:val="00596D86"/>
    <w:rsid w:val="00596E4F"/>
    <w:rsid w:val="00596E51"/>
    <w:rsid w:val="00596ECA"/>
    <w:rsid w:val="00596F20"/>
    <w:rsid w:val="0059706A"/>
    <w:rsid w:val="005970E8"/>
    <w:rsid w:val="00597432"/>
    <w:rsid w:val="0059753E"/>
    <w:rsid w:val="005977A5"/>
    <w:rsid w:val="00597914"/>
    <w:rsid w:val="00597A76"/>
    <w:rsid w:val="00597BDF"/>
    <w:rsid w:val="00597C0B"/>
    <w:rsid w:val="00597C5A"/>
    <w:rsid w:val="00597CEA"/>
    <w:rsid w:val="00597D1E"/>
    <w:rsid w:val="00597DE1"/>
    <w:rsid w:val="005A03A4"/>
    <w:rsid w:val="005A0628"/>
    <w:rsid w:val="005A07A3"/>
    <w:rsid w:val="005A08A9"/>
    <w:rsid w:val="005A0955"/>
    <w:rsid w:val="005A09A0"/>
    <w:rsid w:val="005A0A4C"/>
    <w:rsid w:val="005A0A82"/>
    <w:rsid w:val="005A0B20"/>
    <w:rsid w:val="005A0CAD"/>
    <w:rsid w:val="005A0CEE"/>
    <w:rsid w:val="005A0D01"/>
    <w:rsid w:val="005A0F83"/>
    <w:rsid w:val="005A100E"/>
    <w:rsid w:val="005A107C"/>
    <w:rsid w:val="005A10E3"/>
    <w:rsid w:val="005A13DF"/>
    <w:rsid w:val="005A1484"/>
    <w:rsid w:val="005A1513"/>
    <w:rsid w:val="005A1598"/>
    <w:rsid w:val="005A160B"/>
    <w:rsid w:val="005A1972"/>
    <w:rsid w:val="005A1AE7"/>
    <w:rsid w:val="005A1B11"/>
    <w:rsid w:val="005A1B5D"/>
    <w:rsid w:val="005A1BA8"/>
    <w:rsid w:val="005A1CD4"/>
    <w:rsid w:val="005A21C0"/>
    <w:rsid w:val="005A228C"/>
    <w:rsid w:val="005A240A"/>
    <w:rsid w:val="005A24D3"/>
    <w:rsid w:val="005A2543"/>
    <w:rsid w:val="005A258A"/>
    <w:rsid w:val="005A25C9"/>
    <w:rsid w:val="005A2689"/>
    <w:rsid w:val="005A274D"/>
    <w:rsid w:val="005A2853"/>
    <w:rsid w:val="005A289B"/>
    <w:rsid w:val="005A2A48"/>
    <w:rsid w:val="005A2AF7"/>
    <w:rsid w:val="005A2CAA"/>
    <w:rsid w:val="005A2CCF"/>
    <w:rsid w:val="005A30FA"/>
    <w:rsid w:val="005A33F4"/>
    <w:rsid w:val="005A3587"/>
    <w:rsid w:val="005A35A9"/>
    <w:rsid w:val="005A36FA"/>
    <w:rsid w:val="005A3A13"/>
    <w:rsid w:val="005A3B94"/>
    <w:rsid w:val="005A3D33"/>
    <w:rsid w:val="005A3DF8"/>
    <w:rsid w:val="005A3E3B"/>
    <w:rsid w:val="005A40AF"/>
    <w:rsid w:val="005A4243"/>
    <w:rsid w:val="005A4245"/>
    <w:rsid w:val="005A43BD"/>
    <w:rsid w:val="005A4681"/>
    <w:rsid w:val="005A4711"/>
    <w:rsid w:val="005A482D"/>
    <w:rsid w:val="005A4ADB"/>
    <w:rsid w:val="005A4C06"/>
    <w:rsid w:val="005A4D12"/>
    <w:rsid w:val="005A4DCE"/>
    <w:rsid w:val="005A4E17"/>
    <w:rsid w:val="005A526A"/>
    <w:rsid w:val="005A572C"/>
    <w:rsid w:val="005A5862"/>
    <w:rsid w:val="005A5B03"/>
    <w:rsid w:val="005A5B21"/>
    <w:rsid w:val="005A5DAA"/>
    <w:rsid w:val="005A5EAE"/>
    <w:rsid w:val="005A5F29"/>
    <w:rsid w:val="005A5F3B"/>
    <w:rsid w:val="005A5FCC"/>
    <w:rsid w:val="005A6095"/>
    <w:rsid w:val="005A62B2"/>
    <w:rsid w:val="005A62CB"/>
    <w:rsid w:val="005A65E6"/>
    <w:rsid w:val="005A671F"/>
    <w:rsid w:val="005A678E"/>
    <w:rsid w:val="005A6855"/>
    <w:rsid w:val="005A6B73"/>
    <w:rsid w:val="005A6B7F"/>
    <w:rsid w:val="005A6D36"/>
    <w:rsid w:val="005A6DB3"/>
    <w:rsid w:val="005A6FCD"/>
    <w:rsid w:val="005A7447"/>
    <w:rsid w:val="005A751B"/>
    <w:rsid w:val="005A7728"/>
    <w:rsid w:val="005A77AA"/>
    <w:rsid w:val="005A7E31"/>
    <w:rsid w:val="005B000C"/>
    <w:rsid w:val="005B0076"/>
    <w:rsid w:val="005B00B1"/>
    <w:rsid w:val="005B00E9"/>
    <w:rsid w:val="005B029E"/>
    <w:rsid w:val="005B0322"/>
    <w:rsid w:val="005B0A02"/>
    <w:rsid w:val="005B0AEF"/>
    <w:rsid w:val="005B0B29"/>
    <w:rsid w:val="005B0B4A"/>
    <w:rsid w:val="005B0B50"/>
    <w:rsid w:val="005B0BDF"/>
    <w:rsid w:val="005B0F25"/>
    <w:rsid w:val="005B0F8D"/>
    <w:rsid w:val="005B0FEC"/>
    <w:rsid w:val="005B1070"/>
    <w:rsid w:val="005B12FE"/>
    <w:rsid w:val="005B1373"/>
    <w:rsid w:val="005B14E3"/>
    <w:rsid w:val="005B15A4"/>
    <w:rsid w:val="005B16B2"/>
    <w:rsid w:val="005B16D4"/>
    <w:rsid w:val="005B16F8"/>
    <w:rsid w:val="005B17BB"/>
    <w:rsid w:val="005B1894"/>
    <w:rsid w:val="005B1943"/>
    <w:rsid w:val="005B1B06"/>
    <w:rsid w:val="005B1B41"/>
    <w:rsid w:val="005B1BAF"/>
    <w:rsid w:val="005B1BDD"/>
    <w:rsid w:val="005B1C25"/>
    <w:rsid w:val="005B1DDD"/>
    <w:rsid w:val="005B1FCE"/>
    <w:rsid w:val="005B2312"/>
    <w:rsid w:val="005B2316"/>
    <w:rsid w:val="005B248B"/>
    <w:rsid w:val="005B2AB9"/>
    <w:rsid w:val="005B2BC7"/>
    <w:rsid w:val="005B2D2D"/>
    <w:rsid w:val="005B2D8F"/>
    <w:rsid w:val="005B2DAA"/>
    <w:rsid w:val="005B2F5E"/>
    <w:rsid w:val="005B300B"/>
    <w:rsid w:val="005B31E7"/>
    <w:rsid w:val="005B3292"/>
    <w:rsid w:val="005B338A"/>
    <w:rsid w:val="005B3400"/>
    <w:rsid w:val="005B340E"/>
    <w:rsid w:val="005B352E"/>
    <w:rsid w:val="005B35AC"/>
    <w:rsid w:val="005B3602"/>
    <w:rsid w:val="005B377E"/>
    <w:rsid w:val="005B37B8"/>
    <w:rsid w:val="005B38F8"/>
    <w:rsid w:val="005B392B"/>
    <w:rsid w:val="005B392E"/>
    <w:rsid w:val="005B3998"/>
    <w:rsid w:val="005B3AEB"/>
    <w:rsid w:val="005B3D40"/>
    <w:rsid w:val="005B3FF7"/>
    <w:rsid w:val="005B45F3"/>
    <w:rsid w:val="005B460D"/>
    <w:rsid w:val="005B46F5"/>
    <w:rsid w:val="005B4729"/>
    <w:rsid w:val="005B483F"/>
    <w:rsid w:val="005B4A21"/>
    <w:rsid w:val="005B4A91"/>
    <w:rsid w:val="005B4AD5"/>
    <w:rsid w:val="005B4B0C"/>
    <w:rsid w:val="005B4BCB"/>
    <w:rsid w:val="005B4CE0"/>
    <w:rsid w:val="005B4D82"/>
    <w:rsid w:val="005B4DA5"/>
    <w:rsid w:val="005B4DE3"/>
    <w:rsid w:val="005B4DF2"/>
    <w:rsid w:val="005B4F29"/>
    <w:rsid w:val="005B5068"/>
    <w:rsid w:val="005B5113"/>
    <w:rsid w:val="005B5184"/>
    <w:rsid w:val="005B52DD"/>
    <w:rsid w:val="005B5556"/>
    <w:rsid w:val="005B5664"/>
    <w:rsid w:val="005B57E7"/>
    <w:rsid w:val="005B5877"/>
    <w:rsid w:val="005B5924"/>
    <w:rsid w:val="005B59F6"/>
    <w:rsid w:val="005B5A35"/>
    <w:rsid w:val="005B5AD4"/>
    <w:rsid w:val="005B5BF7"/>
    <w:rsid w:val="005B5F6E"/>
    <w:rsid w:val="005B61CB"/>
    <w:rsid w:val="005B61CC"/>
    <w:rsid w:val="005B6323"/>
    <w:rsid w:val="005B63BC"/>
    <w:rsid w:val="005B63E9"/>
    <w:rsid w:val="005B6554"/>
    <w:rsid w:val="005B6575"/>
    <w:rsid w:val="005B665A"/>
    <w:rsid w:val="005B668F"/>
    <w:rsid w:val="005B66F9"/>
    <w:rsid w:val="005B6945"/>
    <w:rsid w:val="005B6B81"/>
    <w:rsid w:val="005B6CE9"/>
    <w:rsid w:val="005B6D04"/>
    <w:rsid w:val="005B6F11"/>
    <w:rsid w:val="005B7033"/>
    <w:rsid w:val="005B7121"/>
    <w:rsid w:val="005B7212"/>
    <w:rsid w:val="005B7263"/>
    <w:rsid w:val="005B7370"/>
    <w:rsid w:val="005B7496"/>
    <w:rsid w:val="005B75E8"/>
    <w:rsid w:val="005B778C"/>
    <w:rsid w:val="005B779D"/>
    <w:rsid w:val="005B792B"/>
    <w:rsid w:val="005B7968"/>
    <w:rsid w:val="005B79E7"/>
    <w:rsid w:val="005B7D9E"/>
    <w:rsid w:val="005C003B"/>
    <w:rsid w:val="005C0064"/>
    <w:rsid w:val="005C007F"/>
    <w:rsid w:val="005C0097"/>
    <w:rsid w:val="005C00F7"/>
    <w:rsid w:val="005C02B0"/>
    <w:rsid w:val="005C03D8"/>
    <w:rsid w:val="005C03ED"/>
    <w:rsid w:val="005C042A"/>
    <w:rsid w:val="005C04EF"/>
    <w:rsid w:val="005C061C"/>
    <w:rsid w:val="005C0738"/>
    <w:rsid w:val="005C074A"/>
    <w:rsid w:val="005C0CB2"/>
    <w:rsid w:val="005C0CFA"/>
    <w:rsid w:val="005C0DE1"/>
    <w:rsid w:val="005C0E93"/>
    <w:rsid w:val="005C0FA5"/>
    <w:rsid w:val="005C1222"/>
    <w:rsid w:val="005C1262"/>
    <w:rsid w:val="005C1344"/>
    <w:rsid w:val="005C137E"/>
    <w:rsid w:val="005C14C7"/>
    <w:rsid w:val="005C16DD"/>
    <w:rsid w:val="005C1869"/>
    <w:rsid w:val="005C18C5"/>
    <w:rsid w:val="005C19EB"/>
    <w:rsid w:val="005C1A74"/>
    <w:rsid w:val="005C1B44"/>
    <w:rsid w:val="005C1E53"/>
    <w:rsid w:val="005C1EC1"/>
    <w:rsid w:val="005C1F6F"/>
    <w:rsid w:val="005C2065"/>
    <w:rsid w:val="005C215A"/>
    <w:rsid w:val="005C21AC"/>
    <w:rsid w:val="005C23AC"/>
    <w:rsid w:val="005C25EA"/>
    <w:rsid w:val="005C2744"/>
    <w:rsid w:val="005C2A1C"/>
    <w:rsid w:val="005C2A96"/>
    <w:rsid w:val="005C2BD1"/>
    <w:rsid w:val="005C2C3F"/>
    <w:rsid w:val="005C2C45"/>
    <w:rsid w:val="005C2D20"/>
    <w:rsid w:val="005C2E0A"/>
    <w:rsid w:val="005C2E75"/>
    <w:rsid w:val="005C2EA4"/>
    <w:rsid w:val="005C3228"/>
    <w:rsid w:val="005C32FF"/>
    <w:rsid w:val="005C3304"/>
    <w:rsid w:val="005C334B"/>
    <w:rsid w:val="005C33AD"/>
    <w:rsid w:val="005C33D8"/>
    <w:rsid w:val="005C3673"/>
    <w:rsid w:val="005C3807"/>
    <w:rsid w:val="005C3A45"/>
    <w:rsid w:val="005C3B95"/>
    <w:rsid w:val="005C3CD1"/>
    <w:rsid w:val="005C3D7E"/>
    <w:rsid w:val="005C3D8E"/>
    <w:rsid w:val="005C3DEB"/>
    <w:rsid w:val="005C3F2D"/>
    <w:rsid w:val="005C3F41"/>
    <w:rsid w:val="005C4092"/>
    <w:rsid w:val="005C40C3"/>
    <w:rsid w:val="005C4154"/>
    <w:rsid w:val="005C43D3"/>
    <w:rsid w:val="005C44B1"/>
    <w:rsid w:val="005C452C"/>
    <w:rsid w:val="005C45FF"/>
    <w:rsid w:val="005C4754"/>
    <w:rsid w:val="005C4970"/>
    <w:rsid w:val="005C4A2D"/>
    <w:rsid w:val="005C4CA6"/>
    <w:rsid w:val="005C4F58"/>
    <w:rsid w:val="005C4FD6"/>
    <w:rsid w:val="005C503B"/>
    <w:rsid w:val="005C50DE"/>
    <w:rsid w:val="005C50EA"/>
    <w:rsid w:val="005C5186"/>
    <w:rsid w:val="005C5669"/>
    <w:rsid w:val="005C5693"/>
    <w:rsid w:val="005C56AC"/>
    <w:rsid w:val="005C5793"/>
    <w:rsid w:val="005C57A8"/>
    <w:rsid w:val="005C5812"/>
    <w:rsid w:val="005C5B8C"/>
    <w:rsid w:val="005C5BE6"/>
    <w:rsid w:val="005C5CFC"/>
    <w:rsid w:val="005C5D05"/>
    <w:rsid w:val="005C5E1C"/>
    <w:rsid w:val="005C5F77"/>
    <w:rsid w:val="005C6131"/>
    <w:rsid w:val="005C6185"/>
    <w:rsid w:val="005C61F7"/>
    <w:rsid w:val="005C62D0"/>
    <w:rsid w:val="005C636F"/>
    <w:rsid w:val="005C64AA"/>
    <w:rsid w:val="005C64E7"/>
    <w:rsid w:val="005C667A"/>
    <w:rsid w:val="005C6771"/>
    <w:rsid w:val="005C68C7"/>
    <w:rsid w:val="005C6A90"/>
    <w:rsid w:val="005C6AF2"/>
    <w:rsid w:val="005C6B7A"/>
    <w:rsid w:val="005C6B93"/>
    <w:rsid w:val="005C6DB7"/>
    <w:rsid w:val="005C6F1B"/>
    <w:rsid w:val="005C700F"/>
    <w:rsid w:val="005C707D"/>
    <w:rsid w:val="005C7129"/>
    <w:rsid w:val="005C715E"/>
    <w:rsid w:val="005C7224"/>
    <w:rsid w:val="005C72C3"/>
    <w:rsid w:val="005C746A"/>
    <w:rsid w:val="005C7685"/>
    <w:rsid w:val="005C7694"/>
    <w:rsid w:val="005C7AE4"/>
    <w:rsid w:val="005C7C58"/>
    <w:rsid w:val="005C7C79"/>
    <w:rsid w:val="005C7CBA"/>
    <w:rsid w:val="005C7CDA"/>
    <w:rsid w:val="005C7D84"/>
    <w:rsid w:val="005C7DCE"/>
    <w:rsid w:val="005D004F"/>
    <w:rsid w:val="005D0065"/>
    <w:rsid w:val="005D0166"/>
    <w:rsid w:val="005D01E3"/>
    <w:rsid w:val="005D022C"/>
    <w:rsid w:val="005D0315"/>
    <w:rsid w:val="005D0343"/>
    <w:rsid w:val="005D045F"/>
    <w:rsid w:val="005D0590"/>
    <w:rsid w:val="005D064E"/>
    <w:rsid w:val="005D06A2"/>
    <w:rsid w:val="005D07D9"/>
    <w:rsid w:val="005D07DE"/>
    <w:rsid w:val="005D097A"/>
    <w:rsid w:val="005D09E7"/>
    <w:rsid w:val="005D09EE"/>
    <w:rsid w:val="005D0A27"/>
    <w:rsid w:val="005D0BC0"/>
    <w:rsid w:val="005D0BEA"/>
    <w:rsid w:val="005D0CDF"/>
    <w:rsid w:val="005D0D54"/>
    <w:rsid w:val="005D0F2A"/>
    <w:rsid w:val="005D13B5"/>
    <w:rsid w:val="005D1741"/>
    <w:rsid w:val="005D1887"/>
    <w:rsid w:val="005D19BD"/>
    <w:rsid w:val="005D1A6E"/>
    <w:rsid w:val="005D1BCA"/>
    <w:rsid w:val="005D1C5F"/>
    <w:rsid w:val="005D1C71"/>
    <w:rsid w:val="005D1E2F"/>
    <w:rsid w:val="005D1F8B"/>
    <w:rsid w:val="005D1FBA"/>
    <w:rsid w:val="005D201D"/>
    <w:rsid w:val="005D20A0"/>
    <w:rsid w:val="005D2116"/>
    <w:rsid w:val="005D217A"/>
    <w:rsid w:val="005D23FC"/>
    <w:rsid w:val="005D2465"/>
    <w:rsid w:val="005D2478"/>
    <w:rsid w:val="005D24B9"/>
    <w:rsid w:val="005D255E"/>
    <w:rsid w:val="005D25A6"/>
    <w:rsid w:val="005D26E6"/>
    <w:rsid w:val="005D2B8A"/>
    <w:rsid w:val="005D2D80"/>
    <w:rsid w:val="005D308C"/>
    <w:rsid w:val="005D313A"/>
    <w:rsid w:val="005D32D3"/>
    <w:rsid w:val="005D333A"/>
    <w:rsid w:val="005D344C"/>
    <w:rsid w:val="005D34B4"/>
    <w:rsid w:val="005D361B"/>
    <w:rsid w:val="005D36FD"/>
    <w:rsid w:val="005D37DC"/>
    <w:rsid w:val="005D381C"/>
    <w:rsid w:val="005D38CC"/>
    <w:rsid w:val="005D38E2"/>
    <w:rsid w:val="005D3923"/>
    <w:rsid w:val="005D3991"/>
    <w:rsid w:val="005D3ABD"/>
    <w:rsid w:val="005D3ADE"/>
    <w:rsid w:val="005D3C35"/>
    <w:rsid w:val="005D3C39"/>
    <w:rsid w:val="005D4115"/>
    <w:rsid w:val="005D41CA"/>
    <w:rsid w:val="005D42CA"/>
    <w:rsid w:val="005D4306"/>
    <w:rsid w:val="005D4377"/>
    <w:rsid w:val="005D4385"/>
    <w:rsid w:val="005D43E6"/>
    <w:rsid w:val="005D45A9"/>
    <w:rsid w:val="005D45C0"/>
    <w:rsid w:val="005D45C7"/>
    <w:rsid w:val="005D469F"/>
    <w:rsid w:val="005D485E"/>
    <w:rsid w:val="005D4A1D"/>
    <w:rsid w:val="005D4AFB"/>
    <w:rsid w:val="005D4DAF"/>
    <w:rsid w:val="005D4FE2"/>
    <w:rsid w:val="005D4FEB"/>
    <w:rsid w:val="005D5142"/>
    <w:rsid w:val="005D5163"/>
    <w:rsid w:val="005D5192"/>
    <w:rsid w:val="005D520C"/>
    <w:rsid w:val="005D5216"/>
    <w:rsid w:val="005D5290"/>
    <w:rsid w:val="005D531A"/>
    <w:rsid w:val="005D54E8"/>
    <w:rsid w:val="005D565E"/>
    <w:rsid w:val="005D5842"/>
    <w:rsid w:val="005D5867"/>
    <w:rsid w:val="005D59EA"/>
    <w:rsid w:val="005D5B1C"/>
    <w:rsid w:val="005D5BF2"/>
    <w:rsid w:val="005D5DD3"/>
    <w:rsid w:val="005D5F45"/>
    <w:rsid w:val="005D6148"/>
    <w:rsid w:val="005D61BE"/>
    <w:rsid w:val="005D61E1"/>
    <w:rsid w:val="005D620B"/>
    <w:rsid w:val="005D6293"/>
    <w:rsid w:val="005D651C"/>
    <w:rsid w:val="005D65EC"/>
    <w:rsid w:val="005D6907"/>
    <w:rsid w:val="005D6AC9"/>
    <w:rsid w:val="005D6C6A"/>
    <w:rsid w:val="005D6C91"/>
    <w:rsid w:val="005D6D60"/>
    <w:rsid w:val="005D6EEE"/>
    <w:rsid w:val="005D6F10"/>
    <w:rsid w:val="005D6F1E"/>
    <w:rsid w:val="005D71F5"/>
    <w:rsid w:val="005D7291"/>
    <w:rsid w:val="005D7339"/>
    <w:rsid w:val="005D7436"/>
    <w:rsid w:val="005D7451"/>
    <w:rsid w:val="005D74CD"/>
    <w:rsid w:val="005D7587"/>
    <w:rsid w:val="005D769B"/>
    <w:rsid w:val="005D776B"/>
    <w:rsid w:val="005D789D"/>
    <w:rsid w:val="005D7924"/>
    <w:rsid w:val="005D7972"/>
    <w:rsid w:val="005D79B8"/>
    <w:rsid w:val="005D7B83"/>
    <w:rsid w:val="005D7EC2"/>
    <w:rsid w:val="005D7ED2"/>
    <w:rsid w:val="005D7EF4"/>
    <w:rsid w:val="005E00B9"/>
    <w:rsid w:val="005E0125"/>
    <w:rsid w:val="005E02F5"/>
    <w:rsid w:val="005E0325"/>
    <w:rsid w:val="005E0399"/>
    <w:rsid w:val="005E04A1"/>
    <w:rsid w:val="005E050C"/>
    <w:rsid w:val="005E06FD"/>
    <w:rsid w:val="005E0766"/>
    <w:rsid w:val="005E0862"/>
    <w:rsid w:val="005E0960"/>
    <w:rsid w:val="005E0A1D"/>
    <w:rsid w:val="005E0BF7"/>
    <w:rsid w:val="005E0CDE"/>
    <w:rsid w:val="005E0E4E"/>
    <w:rsid w:val="005E0EAF"/>
    <w:rsid w:val="005E10BB"/>
    <w:rsid w:val="005E110C"/>
    <w:rsid w:val="005E1205"/>
    <w:rsid w:val="005E12D9"/>
    <w:rsid w:val="005E137E"/>
    <w:rsid w:val="005E13B4"/>
    <w:rsid w:val="005E15E9"/>
    <w:rsid w:val="005E1921"/>
    <w:rsid w:val="005E1BA0"/>
    <w:rsid w:val="005E1BD5"/>
    <w:rsid w:val="005E1BF4"/>
    <w:rsid w:val="005E1C86"/>
    <w:rsid w:val="005E1CE9"/>
    <w:rsid w:val="005E1D8A"/>
    <w:rsid w:val="005E1ED5"/>
    <w:rsid w:val="005E1F2F"/>
    <w:rsid w:val="005E1F81"/>
    <w:rsid w:val="005E1F94"/>
    <w:rsid w:val="005E1FE4"/>
    <w:rsid w:val="005E2073"/>
    <w:rsid w:val="005E22FD"/>
    <w:rsid w:val="005E252B"/>
    <w:rsid w:val="005E252F"/>
    <w:rsid w:val="005E2592"/>
    <w:rsid w:val="005E27E3"/>
    <w:rsid w:val="005E28FB"/>
    <w:rsid w:val="005E2B53"/>
    <w:rsid w:val="005E2C32"/>
    <w:rsid w:val="005E2C69"/>
    <w:rsid w:val="005E2C82"/>
    <w:rsid w:val="005E2CAC"/>
    <w:rsid w:val="005E2DB7"/>
    <w:rsid w:val="005E2E9C"/>
    <w:rsid w:val="005E2F5C"/>
    <w:rsid w:val="005E31C9"/>
    <w:rsid w:val="005E3228"/>
    <w:rsid w:val="005E341C"/>
    <w:rsid w:val="005E342F"/>
    <w:rsid w:val="005E3435"/>
    <w:rsid w:val="005E3447"/>
    <w:rsid w:val="005E35F8"/>
    <w:rsid w:val="005E3623"/>
    <w:rsid w:val="005E365C"/>
    <w:rsid w:val="005E36C8"/>
    <w:rsid w:val="005E371F"/>
    <w:rsid w:val="005E3814"/>
    <w:rsid w:val="005E3B86"/>
    <w:rsid w:val="005E3BA6"/>
    <w:rsid w:val="005E3C10"/>
    <w:rsid w:val="005E3C20"/>
    <w:rsid w:val="005E3FF6"/>
    <w:rsid w:val="005E410F"/>
    <w:rsid w:val="005E43E8"/>
    <w:rsid w:val="005E4458"/>
    <w:rsid w:val="005E464C"/>
    <w:rsid w:val="005E469F"/>
    <w:rsid w:val="005E46DE"/>
    <w:rsid w:val="005E4A70"/>
    <w:rsid w:val="005E4BB7"/>
    <w:rsid w:val="005E4CA1"/>
    <w:rsid w:val="005E4DAB"/>
    <w:rsid w:val="005E4FBE"/>
    <w:rsid w:val="005E5082"/>
    <w:rsid w:val="005E5273"/>
    <w:rsid w:val="005E5285"/>
    <w:rsid w:val="005E52CB"/>
    <w:rsid w:val="005E538B"/>
    <w:rsid w:val="005E5413"/>
    <w:rsid w:val="005E5430"/>
    <w:rsid w:val="005E5504"/>
    <w:rsid w:val="005E553E"/>
    <w:rsid w:val="005E569E"/>
    <w:rsid w:val="005E56DE"/>
    <w:rsid w:val="005E58F7"/>
    <w:rsid w:val="005E5BD5"/>
    <w:rsid w:val="005E5BE9"/>
    <w:rsid w:val="005E5E12"/>
    <w:rsid w:val="005E6039"/>
    <w:rsid w:val="005E6176"/>
    <w:rsid w:val="005E6241"/>
    <w:rsid w:val="005E62B9"/>
    <w:rsid w:val="005E6302"/>
    <w:rsid w:val="005E650D"/>
    <w:rsid w:val="005E6601"/>
    <w:rsid w:val="005E6607"/>
    <w:rsid w:val="005E661A"/>
    <w:rsid w:val="005E6680"/>
    <w:rsid w:val="005E66F5"/>
    <w:rsid w:val="005E6997"/>
    <w:rsid w:val="005E6A73"/>
    <w:rsid w:val="005E6BBF"/>
    <w:rsid w:val="005E6D23"/>
    <w:rsid w:val="005E6E8E"/>
    <w:rsid w:val="005E6EF6"/>
    <w:rsid w:val="005E7032"/>
    <w:rsid w:val="005E7092"/>
    <w:rsid w:val="005E711F"/>
    <w:rsid w:val="005E71B7"/>
    <w:rsid w:val="005E71ED"/>
    <w:rsid w:val="005E733E"/>
    <w:rsid w:val="005E7583"/>
    <w:rsid w:val="005E7736"/>
    <w:rsid w:val="005E7856"/>
    <w:rsid w:val="005E7AED"/>
    <w:rsid w:val="005E7E79"/>
    <w:rsid w:val="005E7F38"/>
    <w:rsid w:val="005E7FE0"/>
    <w:rsid w:val="005F0142"/>
    <w:rsid w:val="005F01D3"/>
    <w:rsid w:val="005F0328"/>
    <w:rsid w:val="005F0443"/>
    <w:rsid w:val="005F04AD"/>
    <w:rsid w:val="005F04D1"/>
    <w:rsid w:val="005F058C"/>
    <w:rsid w:val="005F05A6"/>
    <w:rsid w:val="005F0769"/>
    <w:rsid w:val="005F07E8"/>
    <w:rsid w:val="005F081F"/>
    <w:rsid w:val="005F0B4C"/>
    <w:rsid w:val="005F0C11"/>
    <w:rsid w:val="005F0C33"/>
    <w:rsid w:val="005F0C62"/>
    <w:rsid w:val="005F0E42"/>
    <w:rsid w:val="005F0E7A"/>
    <w:rsid w:val="005F1038"/>
    <w:rsid w:val="005F1058"/>
    <w:rsid w:val="005F10B2"/>
    <w:rsid w:val="005F125F"/>
    <w:rsid w:val="005F1287"/>
    <w:rsid w:val="005F134D"/>
    <w:rsid w:val="005F13DE"/>
    <w:rsid w:val="005F15D4"/>
    <w:rsid w:val="005F18DB"/>
    <w:rsid w:val="005F198D"/>
    <w:rsid w:val="005F1B48"/>
    <w:rsid w:val="005F1C44"/>
    <w:rsid w:val="005F1DF8"/>
    <w:rsid w:val="005F1F5C"/>
    <w:rsid w:val="005F1F60"/>
    <w:rsid w:val="005F1FB0"/>
    <w:rsid w:val="005F20CD"/>
    <w:rsid w:val="005F22BC"/>
    <w:rsid w:val="005F237C"/>
    <w:rsid w:val="005F247C"/>
    <w:rsid w:val="005F263C"/>
    <w:rsid w:val="005F29A5"/>
    <w:rsid w:val="005F2A0A"/>
    <w:rsid w:val="005F2B41"/>
    <w:rsid w:val="005F2B94"/>
    <w:rsid w:val="005F2BA6"/>
    <w:rsid w:val="005F2BC3"/>
    <w:rsid w:val="005F2D8C"/>
    <w:rsid w:val="005F2DB5"/>
    <w:rsid w:val="005F2DCD"/>
    <w:rsid w:val="005F2E43"/>
    <w:rsid w:val="005F30F0"/>
    <w:rsid w:val="005F3101"/>
    <w:rsid w:val="005F33F3"/>
    <w:rsid w:val="005F342B"/>
    <w:rsid w:val="005F3494"/>
    <w:rsid w:val="005F3709"/>
    <w:rsid w:val="005F3826"/>
    <w:rsid w:val="005F3861"/>
    <w:rsid w:val="005F3904"/>
    <w:rsid w:val="005F3BAD"/>
    <w:rsid w:val="005F3CBF"/>
    <w:rsid w:val="005F3E81"/>
    <w:rsid w:val="005F3EC7"/>
    <w:rsid w:val="005F3F29"/>
    <w:rsid w:val="005F4117"/>
    <w:rsid w:val="005F4119"/>
    <w:rsid w:val="005F421E"/>
    <w:rsid w:val="005F426A"/>
    <w:rsid w:val="005F4277"/>
    <w:rsid w:val="005F431B"/>
    <w:rsid w:val="005F436B"/>
    <w:rsid w:val="005F4384"/>
    <w:rsid w:val="005F43A7"/>
    <w:rsid w:val="005F44C6"/>
    <w:rsid w:val="005F496B"/>
    <w:rsid w:val="005F49DB"/>
    <w:rsid w:val="005F4AD9"/>
    <w:rsid w:val="005F4BBD"/>
    <w:rsid w:val="005F4C2E"/>
    <w:rsid w:val="005F4C65"/>
    <w:rsid w:val="005F4C68"/>
    <w:rsid w:val="005F4D51"/>
    <w:rsid w:val="005F4F6A"/>
    <w:rsid w:val="005F507E"/>
    <w:rsid w:val="005F50AB"/>
    <w:rsid w:val="005F5372"/>
    <w:rsid w:val="005F5395"/>
    <w:rsid w:val="005F5486"/>
    <w:rsid w:val="005F5496"/>
    <w:rsid w:val="005F55EB"/>
    <w:rsid w:val="005F55FA"/>
    <w:rsid w:val="005F58DF"/>
    <w:rsid w:val="005F590A"/>
    <w:rsid w:val="005F59D7"/>
    <w:rsid w:val="005F5A26"/>
    <w:rsid w:val="005F5C6A"/>
    <w:rsid w:val="005F5E2D"/>
    <w:rsid w:val="005F5E91"/>
    <w:rsid w:val="005F5EC6"/>
    <w:rsid w:val="005F5F41"/>
    <w:rsid w:val="005F6139"/>
    <w:rsid w:val="005F6340"/>
    <w:rsid w:val="005F6487"/>
    <w:rsid w:val="005F64CA"/>
    <w:rsid w:val="005F657B"/>
    <w:rsid w:val="005F659B"/>
    <w:rsid w:val="005F6631"/>
    <w:rsid w:val="005F6684"/>
    <w:rsid w:val="005F6851"/>
    <w:rsid w:val="005F6987"/>
    <w:rsid w:val="005F69F3"/>
    <w:rsid w:val="005F6AC5"/>
    <w:rsid w:val="005F6B03"/>
    <w:rsid w:val="005F6BA2"/>
    <w:rsid w:val="005F6D76"/>
    <w:rsid w:val="005F6EE0"/>
    <w:rsid w:val="005F7041"/>
    <w:rsid w:val="005F7045"/>
    <w:rsid w:val="005F728E"/>
    <w:rsid w:val="005F7396"/>
    <w:rsid w:val="005F73DC"/>
    <w:rsid w:val="005F743B"/>
    <w:rsid w:val="005F7541"/>
    <w:rsid w:val="005F7594"/>
    <w:rsid w:val="005F7775"/>
    <w:rsid w:val="005F78BD"/>
    <w:rsid w:val="005F79FA"/>
    <w:rsid w:val="005F7AB9"/>
    <w:rsid w:val="005F7B3F"/>
    <w:rsid w:val="005F7CF1"/>
    <w:rsid w:val="005F7E1A"/>
    <w:rsid w:val="005F7E30"/>
    <w:rsid w:val="00600083"/>
    <w:rsid w:val="0060011C"/>
    <w:rsid w:val="00600120"/>
    <w:rsid w:val="00600199"/>
    <w:rsid w:val="00600334"/>
    <w:rsid w:val="00600583"/>
    <w:rsid w:val="006005B1"/>
    <w:rsid w:val="006005B4"/>
    <w:rsid w:val="006008C7"/>
    <w:rsid w:val="00600A69"/>
    <w:rsid w:val="00600A8B"/>
    <w:rsid w:val="00600B21"/>
    <w:rsid w:val="00600BC7"/>
    <w:rsid w:val="00600F55"/>
    <w:rsid w:val="00601095"/>
    <w:rsid w:val="006011FC"/>
    <w:rsid w:val="0060129F"/>
    <w:rsid w:val="006015A3"/>
    <w:rsid w:val="006015EC"/>
    <w:rsid w:val="006016CF"/>
    <w:rsid w:val="00601778"/>
    <w:rsid w:val="006018AA"/>
    <w:rsid w:val="00601A67"/>
    <w:rsid w:val="00601B53"/>
    <w:rsid w:val="00601C78"/>
    <w:rsid w:val="00601C83"/>
    <w:rsid w:val="00601C84"/>
    <w:rsid w:val="00601CF1"/>
    <w:rsid w:val="00601D80"/>
    <w:rsid w:val="00601E1E"/>
    <w:rsid w:val="00601F8D"/>
    <w:rsid w:val="00602129"/>
    <w:rsid w:val="006022CE"/>
    <w:rsid w:val="00602398"/>
    <w:rsid w:val="006023C9"/>
    <w:rsid w:val="006024F3"/>
    <w:rsid w:val="00602568"/>
    <w:rsid w:val="00602693"/>
    <w:rsid w:val="00602853"/>
    <w:rsid w:val="00602928"/>
    <w:rsid w:val="00602C57"/>
    <w:rsid w:val="00602C79"/>
    <w:rsid w:val="00602D8B"/>
    <w:rsid w:val="00602DAF"/>
    <w:rsid w:val="00603052"/>
    <w:rsid w:val="006031CC"/>
    <w:rsid w:val="00603229"/>
    <w:rsid w:val="006032EE"/>
    <w:rsid w:val="00603377"/>
    <w:rsid w:val="00603379"/>
    <w:rsid w:val="00603385"/>
    <w:rsid w:val="006034E5"/>
    <w:rsid w:val="00603688"/>
    <w:rsid w:val="006036D5"/>
    <w:rsid w:val="00603886"/>
    <w:rsid w:val="006038BB"/>
    <w:rsid w:val="00603EFD"/>
    <w:rsid w:val="0060406B"/>
    <w:rsid w:val="006041F5"/>
    <w:rsid w:val="0060424F"/>
    <w:rsid w:val="006042C2"/>
    <w:rsid w:val="00604304"/>
    <w:rsid w:val="006043F2"/>
    <w:rsid w:val="00604438"/>
    <w:rsid w:val="00604788"/>
    <w:rsid w:val="0060479F"/>
    <w:rsid w:val="00604828"/>
    <w:rsid w:val="0060483C"/>
    <w:rsid w:val="00604B1A"/>
    <w:rsid w:val="00604BDB"/>
    <w:rsid w:val="00604E11"/>
    <w:rsid w:val="00604ED5"/>
    <w:rsid w:val="00604F39"/>
    <w:rsid w:val="00604F63"/>
    <w:rsid w:val="006051E4"/>
    <w:rsid w:val="00605422"/>
    <w:rsid w:val="0060560E"/>
    <w:rsid w:val="0060576D"/>
    <w:rsid w:val="006057EF"/>
    <w:rsid w:val="00605953"/>
    <w:rsid w:val="00605C71"/>
    <w:rsid w:val="00605D0F"/>
    <w:rsid w:val="00605E1A"/>
    <w:rsid w:val="00605E95"/>
    <w:rsid w:val="00606095"/>
    <w:rsid w:val="006060C2"/>
    <w:rsid w:val="00606108"/>
    <w:rsid w:val="006061FD"/>
    <w:rsid w:val="0060628E"/>
    <w:rsid w:val="00606432"/>
    <w:rsid w:val="00606504"/>
    <w:rsid w:val="0060652C"/>
    <w:rsid w:val="00606729"/>
    <w:rsid w:val="0060687D"/>
    <w:rsid w:val="00606906"/>
    <w:rsid w:val="006069B5"/>
    <w:rsid w:val="00606D2D"/>
    <w:rsid w:val="00606DF2"/>
    <w:rsid w:val="00606DFB"/>
    <w:rsid w:val="00606F4D"/>
    <w:rsid w:val="00606FA3"/>
    <w:rsid w:val="00606FE9"/>
    <w:rsid w:val="00607076"/>
    <w:rsid w:val="0060709F"/>
    <w:rsid w:val="006072F0"/>
    <w:rsid w:val="006072F3"/>
    <w:rsid w:val="006074B6"/>
    <w:rsid w:val="006075A6"/>
    <w:rsid w:val="006077B4"/>
    <w:rsid w:val="0060793A"/>
    <w:rsid w:val="00607996"/>
    <w:rsid w:val="00607CAB"/>
    <w:rsid w:val="00607E7B"/>
    <w:rsid w:val="00607F26"/>
    <w:rsid w:val="00607F89"/>
    <w:rsid w:val="00607FF0"/>
    <w:rsid w:val="0061000E"/>
    <w:rsid w:val="0061013C"/>
    <w:rsid w:val="00610188"/>
    <w:rsid w:val="006102C4"/>
    <w:rsid w:val="0061053C"/>
    <w:rsid w:val="00610674"/>
    <w:rsid w:val="0061077B"/>
    <w:rsid w:val="0061084A"/>
    <w:rsid w:val="00610B84"/>
    <w:rsid w:val="00610BA3"/>
    <w:rsid w:val="00610BDD"/>
    <w:rsid w:val="00610DC3"/>
    <w:rsid w:val="00610DEB"/>
    <w:rsid w:val="00610F2E"/>
    <w:rsid w:val="00610F82"/>
    <w:rsid w:val="00611498"/>
    <w:rsid w:val="0061162E"/>
    <w:rsid w:val="0061167F"/>
    <w:rsid w:val="00611922"/>
    <w:rsid w:val="006119C9"/>
    <w:rsid w:val="00611A91"/>
    <w:rsid w:val="00611B80"/>
    <w:rsid w:val="00611C1C"/>
    <w:rsid w:val="00611C2F"/>
    <w:rsid w:val="00611DC5"/>
    <w:rsid w:val="00612227"/>
    <w:rsid w:val="00612267"/>
    <w:rsid w:val="00612298"/>
    <w:rsid w:val="0061232E"/>
    <w:rsid w:val="0061236C"/>
    <w:rsid w:val="006123E9"/>
    <w:rsid w:val="0061248A"/>
    <w:rsid w:val="00612539"/>
    <w:rsid w:val="00612602"/>
    <w:rsid w:val="00612794"/>
    <w:rsid w:val="00612887"/>
    <w:rsid w:val="0061291C"/>
    <w:rsid w:val="00612A98"/>
    <w:rsid w:val="00612ABB"/>
    <w:rsid w:val="00612B1D"/>
    <w:rsid w:val="00612C20"/>
    <w:rsid w:val="00612C2A"/>
    <w:rsid w:val="006130FD"/>
    <w:rsid w:val="00613146"/>
    <w:rsid w:val="006131E1"/>
    <w:rsid w:val="006132C9"/>
    <w:rsid w:val="006132E2"/>
    <w:rsid w:val="006133C2"/>
    <w:rsid w:val="00613503"/>
    <w:rsid w:val="00613569"/>
    <w:rsid w:val="0061359A"/>
    <w:rsid w:val="00613644"/>
    <w:rsid w:val="006137A7"/>
    <w:rsid w:val="0061390E"/>
    <w:rsid w:val="0061395A"/>
    <w:rsid w:val="00613A5F"/>
    <w:rsid w:val="00613A76"/>
    <w:rsid w:val="00613C02"/>
    <w:rsid w:val="00613E87"/>
    <w:rsid w:val="00613FDB"/>
    <w:rsid w:val="00614107"/>
    <w:rsid w:val="00614199"/>
    <w:rsid w:val="006141EC"/>
    <w:rsid w:val="006142E2"/>
    <w:rsid w:val="0061439B"/>
    <w:rsid w:val="0061448A"/>
    <w:rsid w:val="006144A0"/>
    <w:rsid w:val="006144F3"/>
    <w:rsid w:val="006146CE"/>
    <w:rsid w:val="00614813"/>
    <w:rsid w:val="00614A1E"/>
    <w:rsid w:val="00614D0A"/>
    <w:rsid w:val="00614D91"/>
    <w:rsid w:val="00614E20"/>
    <w:rsid w:val="006151B4"/>
    <w:rsid w:val="006156F2"/>
    <w:rsid w:val="006157BF"/>
    <w:rsid w:val="0061583E"/>
    <w:rsid w:val="0061590A"/>
    <w:rsid w:val="006159E5"/>
    <w:rsid w:val="00615AA1"/>
    <w:rsid w:val="00615BB2"/>
    <w:rsid w:val="00615C36"/>
    <w:rsid w:val="00615D4E"/>
    <w:rsid w:val="00615F63"/>
    <w:rsid w:val="00616231"/>
    <w:rsid w:val="0061628C"/>
    <w:rsid w:val="006163DA"/>
    <w:rsid w:val="006163EC"/>
    <w:rsid w:val="0061643E"/>
    <w:rsid w:val="006169A8"/>
    <w:rsid w:val="00616A9C"/>
    <w:rsid w:val="00616B9E"/>
    <w:rsid w:val="00616C44"/>
    <w:rsid w:val="00616CDA"/>
    <w:rsid w:val="00616CDD"/>
    <w:rsid w:val="00616F41"/>
    <w:rsid w:val="0061701C"/>
    <w:rsid w:val="00617161"/>
    <w:rsid w:val="0061721D"/>
    <w:rsid w:val="00617334"/>
    <w:rsid w:val="0061739C"/>
    <w:rsid w:val="00617511"/>
    <w:rsid w:val="00617530"/>
    <w:rsid w:val="006175B6"/>
    <w:rsid w:val="006175CF"/>
    <w:rsid w:val="006176D6"/>
    <w:rsid w:val="00617775"/>
    <w:rsid w:val="00617A9D"/>
    <w:rsid w:val="00617ADD"/>
    <w:rsid w:val="00617C91"/>
    <w:rsid w:val="00617CC7"/>
    <w:rsid w:val="00617D2C"/>
    <w:rsid w:val="00620086"/>
    <w:rsid w:val="0062012E"/>
    <w:rsid w:val="0062017F"/>
    <w:rsid w:val="00620240"/>
    <w:rsid w:val="00620278"/>
    <w:rsid w:val="00620399"/>
    <w:rsid w:val="0062040B"/>
    <w:rsid w:val="00620473"/>
    <w:rsid w:val="006205D6"/>
    <w:rsid w:val="006205DA"/>
    <w:rsid w:val="00620633"/>
    <w:rsid w:val="006206A7"/>
    <w:rsid w:val="006206D7"/>
    <w:rsid w:val="006208DA"/>
    <w:rsid w:val="006209D2"/>
    <w:rsid w:val="006209F8"/>
    <w:rsid w:val="00620C4B"/>
    <w:rsid w:val="00620CB7"/>
    <w:rsid w:val="00620EA2"/>
    <w:rsid w:val="00620F04"/>
    <w:rsid w:val="00620F68"/>
    <w:rsid w:val="00620FA1"/>
    <w:rsid w:val="0062104F"/>
    <w:rsid w:val="006211DA"/>
    <w:rsid w:val="00621272"/>
    <w:rsid w:val="006212DC"/>
    <w:rsid w:val="00621307"/>
    <w:rsid w:val="00621406"/>
    <w:rsid w:val="0062144E"/>
    <w:rsid w:val="00621595"/>
    <w:rsid w:val="0062175F"/>
    <w:rsid w:val="006217E4"/>
    <w:rsid w:val="00621856"/>
    <w:rsid w:val="006218A1"/>
    <w:rsid w:val="006218A6"/>
    <w:rsid w:val="006218FD"/>
    <w:rsid w:val="00621C12"/>
    <w:rsid w:val="00621F06"/>
    <w:rsid w:val="00622349"/>
    <w:rsid w:val="00622464"/>
    <w:rsid w:val="0062251F"/>
    <w:rsid w:val="006226B0"/>
    <w:rsid w:val="00622799"/>
    <w:rsid w:val="00622858"/>
    <w:rsid w:val="00622964"/>
    <w:rsid w:val="006229D9"/>
    <w:rsid w:val="00622BFC"/>
    <w:rsid w:val="00622D67"/>
    <w:rsid w:val="00622D83"/>
    <w:rsid w:val="00622DB1"/>
    <w:rsid w:val="00622E37"/>
    <w:rsid w:val="00622E9C"/>
    <w:rsid w:val="00622F72"/>
    <w:rsid w:val="00622F74"/>
    <w:rsid w:val="00623035"/>
    <w:rsid w:val="00623186"/>
    <w:rsid w:val="006231A6"/>
    <w:rsid w:val="006235D9"/>
    <w:rsid w:val="00623635"/>
    <w:rsid w:val="00623640"/>
    <w:rsid w:val="00623840"/>
    <w:rsid w:val="006239CD"/>
    <w:rsid w:val="00623B31"/>
    <w:rsid w:val="00623FCD"/>
    <w:rsid w:val="006240CF"/>
    <w:rsid w:val="006240E1"/>
    <w:rsid w:val="006241F7"/>
    <w:rsid w:val="00624221"/>
    <w:rsid w:val="00624282"/>
    <w:rsid w:val="006243CA"/>
    <w:rsid w:val="006244DD"/>
    <w:rsid w:val="006246F5"/>
    <w:rsid w:val="00624903"/>
    <w:rsid w:val="006249A8"/>
    <w:rsid w:val="006249F6"/>
    <w:rsid w:val="00624B17"/>
    <w:rsid w:val="00624BC2"/>
    <w:rsid w:val="00624C85"/>
    <w:rsid w:val="00624E09"/>
    <w:rsid w:val="00625070"/>
    <w:rsid w:val="00625120"/>
    <w:rsid w:val="006251A3"/>
    <w:rsid w:val="00625227"/>
    <w:rsid w:val="00625342"/>
    <w:rsid w:val="00625370"/>
    <w:rsid w:val="006253B3"/>
    <w:rsid w:val="0062564C"/>
    <w:rsid w:val="006257E1"/>
    <w:rsid w:val="0062584A"/>
    <w:rsid w:val="0062597B"/>
    <w:rsid w:val="00625A6D"/>
    <w:rsid w:val="00625A6F"/>
    <w:rsid w:val="00625B1D"/>
    <w:rsid w:val="00625B21"/>
    <w:rsid w:val="00625DE0"/>
    <w:rsid w:val="00625ED5"/>
    <w:rsid w:val="0062607F"/>
    <w:rsid w:val="0062610F"/>
    <w:rsid w:val="00626213"/>
    <w:rsid w:val="0062625F"/>
    <w:rsid w:val="00626344"/>
    <w:rsid w:val="0062636B"/>
    <w:rsid w:val="006263FE"/>
    <w:rsid w:val="006266B7"/>
    <w:rsid w:val="00626783"/>
    <w:rsid w:val="0062691F"/>
    <w:rsid w:val="0062695D"/>
    <w:rsid w:val="006269A3"/>
    <w:rsid w:val="00626B07"/>
    <w:rsid w:val="00626B27"/>
    <w:rsid w:val="00626B5B"/>
    <w:rsid w:val="00626B80"/>
    <w:rsid w:val="00626DE9"/>
    <w:rsid w:val="00626FCC"/>
    <w:rsid w:val="00627077"/>
    <w:rsid w:val="0062708A"/>
    <w:rsid w:val="006270CD"/>
    <w:rsid w:val="006272B7"/>
    <w:rsid w:val="006274A2"/>
    <w:rsid w:val="00627611"/>
    <w:rsid w:val="0062769C"/>
    <w:rsid w:val="00627726"/>
    <w:rsid w:val="00627750"/>
    <w:rsid w:val="006277AF"/>
    <w:rsid w:val="006277F4"/>
    <w:rsid w:val="0062782E"/>
    <w:rsid w:val="006279A5"/>
    <w:rsid w:val="006279C5"/>
    <w:rsid w:val="006301F9"/>
    <w:rsid w:val="006302F2"/>
    <w:rsid w:val="0063052C"/>
    <w:rsid w:val="00630566"/>
    <w:rsid w:val="0063056E"/>
    <w:rsid w:val="00630598"/>
    <w:rsid w:val="0063073A"/>
    <w:rsid w:val="0063090B"/>
    <w:rsid w:val="00630A64"/>
    <w:rsid w:val="00630A7B"/>
    <w:rsid w:val="00630BAF"/>
    <w:rsid w:val="00630DDE"/>
    <w:rsid w:val="00631011"/>
    <w:rsid w:val="00631012"/>
    <w:rsid w:val="006312A5"/>
    <w:rsid w:val="0063137A"/>
    <w:rsid w:val="006313F5"/>
    <w:rsid w:val="00631470"/>
    <w:rsid w:val="00631569"/>
    <w:rsid w:val="00631573"/>
    <w:rsid w:val="00631589"/>
    <w:rsid w:val="006316B6"/>
    <w:rsid w:val="0063175C"/>
    <w:rsid w:val="006317A3"/>
    <w:rsid w:val="006318C7"/>
    <w:rsid w:val="0063194E"/>
    <w:rsid w:val="00631B95"/>
    <w:rsid w:val="00631EBD"/>
    <w:rsid w:val="00631ED7"/>
    <w:rsid w:val="00631F6E"/>
    <w:rsid w:val="00631FE4"/>
    <w:rsid w:val="00632093"/>
    <w:rsid w:val="006321F9"/>
    <w:rsid w:val="0063222E"/>
    <w:rsid w:val="0063258F"/>
    <w:rsid w:val="00632660"/>
    <w:rsid w:val="00632672"/>
    <w:rsid w:val="0063272C"/>
    <w:rsid w:val="006327EC"/>
    <w:rsid w:val="006328E7"/>
    <w:rsid w:val="00632957"/>
    <w:rsid w:val="00632A61"/>
    <w:rsid w:val="00632C01"/>
    <w:rsid w:val="00632C9B"/>
    <w:rsid w:val="00632EDE"/>
    <w:rsid w:val="00632EFA"/>
    <w:rsid w:val="0063312E"/>
    <w:rsid w:val="006337C0"/>
    <w:rsid w:val="006337E1"/>
    <w:rsid w:val="006339E1"/>
    <w:rsid w:val="00633B65"/>
    <w:rsid w:val="00633C29"/>
    <w:rsid w:val="00633C4D"/>
    <w:rsid w:val="00633C51"/>
    <w:rsid w:val="00633D2E"/>
    <w:rsid w:val="00633E06"/>
    <w:rsid w:val="00633EFB"/>
    <w:rsid w:val="00633FB8"/>
    <w:rsid w:val="006340AA"/>
    <w:rsid w:val="00634313"/>
    <w:rsid w:val="006344BE"/>
    <w:rsid w:val="006344E1"/>
    <w:rsid w:val="006347BB"/>
    <w:rsid w:val="00634822"/>
    <w:rsid w:val="006348AC"/>
    <w:rsid w:val="006348D5"/>
    <w:rsid w:val="006348E7"/>
    <w:rsid w:val="00634956"/>
    <w:rsid w:val="006349B9"/>
    <w:rsid w:val="006349D0"/>
    <w:rsid w:val="00634B7C"/>
    <w:rsid w:val="00634B95"/>
    <w:rsid w:val="00634BC3"/>
    <w:rsid w:val="00634CE5"/>
    <w:rsid w:val="00634D09"/>
    <w:rsid w:val="00634F99"/>
    <w:rsid w:val="0063508C"/>
    <w:rsid w:val="006351C0"/>
    <w:rsid w:val="006351CF"/>
    <w:rsid w:val="006354CB"/>
    <w:rsid w:val="006355CD"/>
    <w:rsid w:val="00635692"/>
    <w:rsid w:val="0063596C"/>
    <w:rsid w:val="006359E5"/>
    <w:rsid w:val="00635C2A"/>
    <w:rsid w:val="00635D81"/>
    <w:rsid w:val="00635F63"/>
    <w:rsid w:val="006365EB"/>
    <w:rsid w:val="006366BD"/>
    <w:rsid w:val="006366D4"/>
    <w:rsid w:val="00636712"/>
    <w:rsid w:val="006367C9"/>
    <w:rsid w:val="00636AD6"/>
    <w:rsid w:val="00636DA1"/>
    <w:rsid w:val="00636EE6"/>
    <w:rsid w:val="00636F55"/>
    <w:rsid w:val="00636F9B"/>
    <w:rsid w:val="00636FCA"/>
    <w:rsid w:val="00637351"/>
    <w:rsid w:val="00637434"/>
    <w:rsid w:val="00637569"/>
    <w:rsid w:val="006375CB"/>
    <w:rsid w:val="0063770B"/>
    <w:rsid w:val="00637777"/>
    <w:rsid w:val="00637840"/>
    <w:rsid w:val="00637B09"/>
    <w:rsid w:val="00637CCD"/>
    <w:rsid w:val="00637E49"/>
    <w:rsid w:val="00637EF3"/>
    <w:rsid w:val="006400C3"/>
    <w:rsid w:val="00640154"/>
    <w:rsid w:val="00640156"/>
    <w:rsid w:val="006401B6"/>
    <w:rsid w:val="00640214"/>
    <w:rsid w:val="006402AC"/>
    <w:rsid w:val="00640611"/>
    <w:rsid w:val="006406E1"/>
    <w:rsid w:val="006408AF"/>
    <w:rsid w:val="00640C80"/>
    <w:rsid w:val="00640D89"/>
    <w:rsid w:val="00640EBA"/>
    <w:rsid w:val="00641097"/>
    <w:rsid w:val="0064126D"/>
    <w:rsid w:val="0064145A"/>
    <w:rsid w:val="00641472"/>
    <w:rsid w:val="0064148B"/>
    <w:rsid w:val="006415D6"/>
    <w:rsid w:val="00641760"/>
    <w:rsid w:val="006417F0"/>
    <w:rsid w:val="006418BF"/>
    <w:rsid w:val="00641954"/>
    <w:rsid w:val="00641A0D"/>
    <w:rsid w:val="00641A8C"/>
    <w:rsid w:val="00641B39"/>
    <w:rsid w:val="00641BFF"/>
    <w:rsid w:val="00641C0F"/>
    <w:rsid w:val="00641C76"/>
    <w:rsid w:val="00641D88"/>
    <w:rsid w:val="00641DCC"/>
    <w:rsid w:val="00641E1C"/>
    <w:rsid w:val="00641E8A"/>
    <w:rsid w:val="00642142"/>
    <w:rsid w:val="00642390"/>
    <w:rsid w:val="00642482"/>
    <w:rsid w:val="0064260F"/>
    <w:rsid w:val="006426FD"/>
    <w:rsid w:val="00642772"/>
    <w:rsid w:val="00642856"/>
    <w:rsid w:val="006428CB"/>
    <w:rsid w:val="00642AC3"/>
    <w:rsid w:val="00642B7C"/>
    <w:rsid w:val="0064326A"/>
    <w:rsid w:val="006432C9"/>
    <w:rsid w:val="0064332B"/>
    <w:rsid w:val="006435B9"/>
    <w:rsid w:val="006435C7"/>
    <w:rsid w:val="00643614"/>
    <w:rsid w:val="00643ABF"/>
    <w:rsid w:val="00643ACD"/>
    <w:rsid w:val="00643B2D"/>
    <w:rsid w:val="00643E68"/>
    <w:rsid w:val="00643EED"/>
    <w:rsid w:val="00643F76"/>
    <w:rsid w:val="0064414F"/>
    <w:rsid w:val="00644210"/>
    <w:rsid w:val="006443B3"/>
    <w:rsid w:val="00644530"/>
    <w:rsid w:val="00644531"/>
    <w:rsid w:val="00644806"/>
    <w:rsid w:val="00644901"/>
    <w:rsid w:val="00644A37"/>
    <w:rsid w:val="00644A4C"/>
    <w:rsid w:val="00644AAE"/>
    <w:rsid w:val="00644DFE"/>
    <w:rsid w:val="00644EB3"/>
    <w:rsid w:val="0064508F"/>
    <w:rsid w:val="00645193"/>
    <w:rsid w:val="006451A6"/>
    <w:rsid w:val="00645209"/>
    <w:rsid w:val="006452A5"/>
    <w:rsid w:val="006452F1"/>
    <w:rsid w:val="0064541E"/>
    <w:rsid w:val="006455B1"/>
    <w:rsid w:val="006455DA"/>
    <w:rsid w:val="006456FF"/>
    <w:rsid w:val="006457BE"/>
    <w:rsid w:val="00645A32"/>
    <w:rsid w:val="00645B0E"/>
    <w:rsid w:val="00645B9B"/>
    <w:rsid w:val="00645CE6"/>
    <w:rsid w:val="00645D23"/>
    <w:rsid w:val="00645E15"/>
    <w:rsid w:val="00645F6E"/>
    <w:rsid w:val="00645F8B"/>
    <w:rsid w:val="006461AC"/>
    <w:rsid w:val="006464B7"/>
    <w:rsid w:val="006465FF"/>
    <w:rsid w:val="006467CF"/>
    <w:rsid w:val="006467DF"/>
    <w:rsid w:val="0064680B"/>
    <w:rsid w:val="00646957"/>
    <w:rsid w:val="00646ADF"/>
    <w:rsid w:val="00646B5A"/>
    <w:rsid w:val="00646C15"/>
    <w:rsid w:val="00646CFC"/>
    <w:rsid w:val="00646DCA"/>
    <w:rsid w:val="00646E3F"/>
    <w:rsid w:val="00646EFC"/>
    <w:rsid w:val="00646F50"/>
    <w:rsid w:val="00646F52"/>
    <w:rsid w:val="00647074"/>
    <w:rsid w:val="006470DA"/>
    <w:rsid w:val="006470FF"/>
    <w:rsid w:val="006471AE"/>
    <w:rsid w:val="0064726F"/>
    <w:rsid w:val="006472AE"/>
    <w:rsid w:val="00647368"/>
    <w:rsid w:val="006473D4"/>
    <w:rsid w:val="006474EB"/>
    <w:rsid w:val="00647A0E"/>
    <w:rsid w:val="00647BA5"/>
    <w:rsid w:val="00647DAC"/>
    <w:rsid w:val="00647DBE"/>
    <w:rsid w:val="00647ECB"/>
    <w:rsid w:val="00647F1B"/>
    <w:rsid w:val="00647F87"/>
    <w:rsid w:val="00647F8D"/>
    <w:rsid w:val="00647FB5"/>
    <w:rsid w:val="0065009D"/>
    <w:rsid w:val="006502BE"/>
    <w:rsid w:val="006502C4"/>
    <w:rsid w:val="00650330"/>
    <w:rsid w:val="0065038E"/>
    <w:rsid w:val="006505DB"/>
    <w:rsid w:val="006508ED"/>
    <w:rsid w:val="006508F9"/>
    <w:rsid w:val="0065091B"/>
    <w:rsid w:val="006509CC"/>
    <w:rsid w:val="00650BC9"/>
    <w:rsid w:val="00650C4F"/>
    <w:rsid w:val="00650CB8"/>
    <w:rsid w:val="00650CED"/>
    <w:rsid w:val="00650D56"/>
    <w:rsid w:val="00650D9B"/>
    <w:rsid w:val="00650E99"/>
    <w:rsid w:val="006510DF"/>
    <w:rsid w:val="00651202"/>
    <w:rsid w:val="0065122C"/>
    <w:rsid w:val="00651231"/>
    <w:rsid w:val="006512D8"/>
    <w:rsid w:val="006512FF"/>
    <w:rsid w:val="006513DB"/>
    <w:rsid w:val="00651672"/>
    <w:rsid w:val="00651844"/>
    <w:rsid w:val="00651893"/>
    <w:rsid w:val="006518F7"/>
    <w:rsid w:val="006519EF"/>
    <w:rsid w:val="00651F11"/>
    <w:rsid w:val="00651F5A"/>
    <w:rsid w:val="0065233E"/>
    <w:rsid w:val="00652399"/>
    <w:rsid w:val="006526C4"/>
    <w:rsid w:val="006526CA"/>
    <w:rsid w:val="00652736"/>
    <w:rsid w:val="00652772"/>
    <w:rsid w:val="00652882"/>
    <w:rsid w:val="006528F8"/>
    <w:rsid w:val="00652A51"/>
    <w:rsid w:val="00652B21"/>
    <w:rsid w:val="00652B3E"/>
    <w:rsid w:val="00652D1F"/>
    <w:rsid w:val="00652DA5"/>
    <w:rsid w:val="00652E19"/>
    <w:rsid w:val="00652EA1"/>
    <w:rsid w:val="00652F53"/>
    <w:rsid w:val="0065330C"/>
    <w:rsid w:val="0065385B"/>
    <w:rsid w:val="0065394E"/>
    <w:rsid w:val="00653A15"/>
    <w:rsid w:val="00653A37"/>
    <w:rsid w:val="00653A73"/>
    <w:rsid w:val="00653AE8"/>
    <w:rsid w:val="00653CEC"/>
    <w:rsid w:val="00653DF4"/>
    <w:rsid w:val="00653DF6"/>
    <w:rsid w:val="00653ECE"/>
    <w:rsid w:val="0065406C"/>
    <w:rsid w:val="00654122"/>
    <w:rsid w:val="0065422F"/>
    <w:rsid w:val="00654336"/>
    <w:rsid w:val="006543DC"/>
    <w:rsid w:val="006544C2"/>
    <w:rsid w:val="00654575"/>
    <w:rsid w:val="00654676"/>
    <w:rsid w:val="0065480F"/>
    <w:rsid w:val="006549C0"/>
    <w:rsid w:val="006549EC"/>
    <w:rsid w:val="00654A36"/>
    <w:rsid w:val="00654A9A"/>
    <w:rsid w:val="00654AC2"/>
    <w:rsid w:val="00654AE2"/>
    <w:rsid w:val="00654B90"/>
    <w:rsid w:val="00654C67"/>
    <w:rsid w:val="00654FD9"/>
    <w:rsid w:val="00655004"/>
    <w:rsid w:val="006550A1"/>
    <w:rsid w:val="00655254"/>
    <w:rsid w:val="00655364"/>
    <w:rsid w:val="006553EF"/>
    <w:rsid w:val="006554D7"/>
    <w:rsid w:val="0065560D"/>
    <w:rsid w:val="00655844"/>
    <w:rsid w:val="0065589D"/>
    <w:rsid w:val="00655AAC"/>
    <w:rsid w:val="00655BB1"/>
    <w:rsid w:val="006562D4"/>
    <w:rsid w:val="006563AB"/>
    <w:rsid w:val="006563B6"/>
    <w:rsid w:val="00656426"/>
    <w:rsid w:val="0065657C"/>
    <w:rsid w:val="006565AD"/>
    <w:rsid w:val="00656671"/>
    <w:rsid w:val="0065668D"/>
    <w:rsid w:val="00656733"/>
    <w:rsid w:val="0065684D"/>
    <w:rsid w:val="006568B0"/>
    <w:rsid w:val="0065695A"/>
    <w:rsid w:val="006569DA"/>
    <w:rsid w:val="00656DDC"/>
    <w:rsid w:val="00656DF8"/>
    <w:rsid w:val="00657095"/>
    <w:rsid w:val="0065714A"/>
    <w:rsid w:val="00657289"/>
    <w:rsid w:val="006572A4"/>
    <w:rsid w:val="006572FE"/>
    <w:rsid w:val="0065745C"/>
    <w:rsid w:val="006574AC"/>
    <w:rsid w:val="006576DB"/>
    <w:rsid w:val="006577EE"/>
    <w:rsid w:val="00657A24"/>
    <w:rsid w:val="00657A90"/>
    <w:rsid w:val="00657B4B"/>
    <w:rsid w:val="00657C90"/>
    <w:rsid w:val="00657CBA"/>
    <w:rsid w:val="00657F89"/>
    <w:rsid w:val="0066007F"/>
    <w:rsid w:val="006600AC"/>
    <w:rsid w:val="006600DC"/>
    <w:rsid w:val="006601A1"/>
    <w:rsid w:val="006601BD"/>
    <w:rsid w:val="0066032A"/>
    <w:rsid w:val="0066043B"/>
    <w:rsid w:val="00660474"/>
    <w:rsid w:val="006604C9"/>
    <w:rsid w:val="0066057A"/>
    <w:rsid w:val="00660614"/>
    <w:rsid w:val="00660663"/>
    <w:rsid w:val="006606E6"/>
    <w:rsid w:val="0066075E"/>
    <w:rsid w:val="0066078E"/>
    <w:rsid w:val="006607F9"/>
    <w:rsid w:val="00660883"/>
    <w:rsid w:val="0066088B"/>
    <w:rsid w:val="00660A30"/>
    <w:rsid w:val="00660A52"/>
    <w:rsid w:val="00660FA9"/>
    <w:rsid w:val="00660FFC"/>
    <w:rsid w:val="00661165"/>
    <w:rsid w:val="006611EC"/>
    <w:rsid w:val="006613C8"/>
    <w:rsid w:val="006613CF"/>
    <w:rsid w:val="00661429"/>
    <w:rsid w:val="00661441"/>
    <w:rsid w:val="00661590"/>
    <w:rsid w:val="0066161C"/>
    <w:rsid w:val="00661736"/>
    <w:rsid w:val="00661946"/>
    <w:rsid w:val="00661948"/>
    <w:rsid w:val="0066194A"/>
    <w:rsid w:val="00661A38"/>
    <w:rsid w:val="00661AD8"/>
    <w:rsid w:val="00661AF3"/>
    <w:rsid w:val="00661F41"/>
    <w:rsid w:val="00661F55"/>
    <w:rsid w:val="00662186"/>
    <w:rsid w:val="0066222B"/>
    <w:rsid w:val="00662240"/>
    <w:rsid w:val="006622BF"/>
    <w:rsid w:val="006622C3"/>
    <w:rsid w:val="00662319"/>
    <w:rsid w:val="0066237E"/>
    <w:rsid w:val="00662391"/>
    <w:rsid w:val="006623CF"/>
    <w:rsid w:val="00662538"/>
    <w:rsid w:val="0066255F"/>
    <w:rsid w:val="006626D9"/>
    <w:rsid w:val="00662806"/>
    <w:rsid w:val="006628BB"/>
    <w:rsid w:val="006629A4"/>
    <w:rsid w:val="00662A1F"/>
    <w:rsid w:val="00662A78"/>
    <w:rsid w:val="00662AEA"/>
    <w:rsid w:val="00662B38"/>
    <w:rsid w:val="00662BB4"/>
    <w:rsid w:val="00662C26"/>
    <w:rsid w:val="00662CA4"/>
    <w:rsid w:val="00662CB5"/>
    <w:rsid w:val="00662CD5"/>
    <w:rsid w:val="00662D1F"/>
    <w:rsid w:val="00662E29"/>
    <w:rsid w:val="00662F6F"/>
    <w:rsid w:val="00663037"/>
    <w:rsid w:val="0066308D"/>
    <w:rsid w:val="006630D0"/>
    <w:rsid w:val="00663177"/>
    <w:rsid w:val="00663351"/>
    <w:rsid w:val="00663491"/>
    <w:rsid w:val="006634EF"/>
    <w:rsid w:val="0066378C"/>
    <w:rsid w:val="006639E3"/>
    <w:rsid w:val="006639F2"/>
    <w:rsid w:val="00663B24"/>
    <w:rsid w:val="00663FA4"/>
    <w:rsid w:val="006640CA"/>
    <w:rsid w:val="00664100"/>
    <w:rsid w:val="006641D9"/>
    <w:rsid w:val="006642E4"/>
    <w:rsid w:val="00664392"/>
    <w:rsid w:val="00664677"/>
    <w:rsid w:val="006646D5"/>
    <w:rsid w:val="006647B5"/>
    <w:rsid w:val="00664936"/>
    <w:rsid w:val="00664A22"/>
    <w:rsid w:val="00664A3C"/>
    <w:rsid w:val="00664D92"/>
    <w:rsid w:val="00665243"/>
    <w:rsid w:val="0066529A"/>
    <w:rsid w:val="006652B5"/>
    <w:rsid w:val="0066536D"/>
    <w:rsid w:val="00665503"/>
    <w:rsid w:val="00665653"/>
    <w:rsid w:val="00665774"/>
    <w:rsid w:val="0066578F"/>
    <w:rsid w:val="00665844"/>
    <w:rsid w:val="00665868"/>
    <w:rsid w:val="006658A4"/>
    <w:rsid w:val="00665985"/>
    <w:rsid w:val="006659E7"/>
    <w:rsid w:val="00665BE1"/>
    <w:rsid w:val="00665D5E"/>
    <w:rsid w:val="00665EBD"/>
    <w:rsid w:val="00665F5E"/>
    <w:rsid w:val="006660C4"/>
    <w:rsid w:val="006660F7"/>
    <w:rsid w:val="006661BC"/>
    <w:rsid w:val="006661FF"/>
    <w:rsid w:val="0066622E"/>
    <w:rsid w:val="00666263"/>
    <w:rsid w:val="0066639A"/>
    <w:rsid w:val="006663FC"/>
    <w:rsid w:val="0066641D"/>
    <w:rsid w:val="00666560"/>
    <w:rsid w:val="006665A1"/>
    <w:rsid w:val="0066661D"/>
    <w:rsid w:val="006667ED"/>
    <w:rsid w:val="00666804"/>
    <w:rsid w:val="0066682D"/>
    <w:rsid w:val="00666873"/>
    <w:rsid w:val="006669CE"/>
    <w:rsid w:val="00666B5A"/>
    <w:rsid w:val="00666D18"/>
    <w:rsid w:val="00666D37"/>
    <w:rsid w:val="00666D5B"/>
    <w:rsid w:val="00666DA5"/>
    <w:rsid w:val="0066743D"/>
    <w:rsid w:val="006675CD"/>
    <w:rsid w:val="0066760B"/>
    <w:rsid w:val="00667703"/>
    <w:rsid w:val="006678B1"/>
    <w:rsid w:val="00667954"/>
    <w:rsid w:val="00667A1B"/>
    <w:rsid w:val="00667A60"/>
    <w:rsid w:val="00667BE1"/>
    <w:rsid w:val="00667BF1"/>
    <w:rsid w:val="00667D37"/>
    <w:rsid w:val="00667E4B"/>
    <w:rsid w:val="00667F0B"/>
    <w:rsid w:val="00667FB6"/>
    <w:rsid w:val="006701DA"/>
    <w:rsid w:val="00670291"/>
    <w:rsid w:val="006703AC"/>
    <w:rsid w:val="00670440"/>
    <w:rsid w:val="006704A8"/>
    <w:rsid w:val="006705BF"/>
    <w:rsid w:val="006705F9"/>
    <w:rsid w:val="006706E4"/>
    <w:rsid w:val="00670901"/>
    <w:rsid w:val="00670BCF"/>
    <w:rsid w:val="00670CE0"/>
    <w:rsid w:val="00670DD1"/>
    <w:rsid w:val="00670E87"/>
    <w:rsid w:val="00670EAF"/>
    <w:rsid w:val="00670EBE"/>
    <w:rsid w:val="006712F6"/>
    <w:rsid w:val="006715F9"/>
    <w:rsid w:val="006717A4"/>
    <w:rsid w:val="006717AA"/>
    <w:rsid w:val="006717E6"/>
    <w:rsid w:val="00671816"/>
    <w:rsid w:val="006718E5"/>
    <w:rsid w:val="006719C4"/>
    <w:rsid w:val="00671AC1"/>
    <w:rsid w:val="00671D58"/>
    <w:rsid w:val="00671D78"/>
    <w:rsid w:val="0067218C"/>
    <w:rsid w:val="0067220B"/>
    <w:rsid w:val="006723B1"/>
    <w:rsid w:val="006726C4"/>
    <w:rsid w:val="006727FA"/>
    <w:rsid w:val="006728CD"/>
    <w:rsid w:val="0067296E"/>
    <w:rsid w:val="00672A7C"/>
    <w:rsid w:val="00672A9F"/>
    <w:rsid w:val="00672B1E"/>
    <w:rsid w:val="00672C7B"/>
    <w:rsid w:val="00672DB0"/>
    <w:rsid w:val="00672E30"/>
    <w:rsid w:val="00672EE3"/>
    <w:rsid w:val="00672FB7"/>
    <w:rsid w:val="0067300E"/>
    <w:rsid w:val="00673149"/>
    <w:rsid w:val="00673227"/>
    <w:rsid w:val="00673364"/>
    <w:rsid w:val="0067385D"/>
    <w:rsid w:val="006739A1"/>
    <w:rsid w:val="00673BEB"/>
    <w:rsid w:val="00673CD8"/>
    <w:rsid w:val="00673E1A"/>
    <w:rsid w:val="00673EDD"/>
    <w:rsid w:val="00673FBD"/>
    <w:rsid w:val="00674078"/>
    <w:rsid w:val="0067408E"/>
    <w:rsid w:val="0067422D"/>
    <w:rsid w:val="0067428F"/>
    <w:rsid w:val="00674367"/>
    <w:rsid w:val="00674495"/>
    <w:rsid w:val="00674624"/>
    <w:rsid w:val="006746E3"/>
    <w:rsid w:val="00674700"/>
    <w:rsid w:val="00674948"/>
    <w:rsid w:val="00674B45"/>
    <w:rsid w:val="00674B83"/>
    <w:rsid w:val="00674C4D"/>
    <w:rsid w:val="00674D71"/>
    <w:rsid w:val="00674E04"/>
    <w:rsid w:val="00675016"/>
    <w:rsid w:val="006750C3"/>
    <w:rsid w:val="00675178"/>
    <w:rsid w:val="00675190"/>
    <w:rsid w:val="00675220"/>
    <w:rsid w:val="006752A0"/>
    <w:rsid w:val="0067542F"/>
    <w:rsid w:val="00675552"/>
    <w:rsid w:val="006757E3"/>
    <w:rsid w:val="00675982"/>
    <w:rsid w:val="006759BA"/>
    <w:rsid w:val="00675A9F"/>
    <w:rsid w:val="00675AE9"/>
    <w:rsid w:val="00675D1E"/>
    <w:rsid w:val="00675EBF"/>
    <w:rsid w:val="00675F4B"/>
    <w:rsid w:val="00675F51"/>
    <w:rsid w:val="00675FE6"/>
    <w:rsid w:val="0067600F"/>
    <w:rsid w:val="00676114"/>
    <w:rsid w:val="006761CC"/>
    <w:rsid w:val="006762A7"/>
    <w:rsid w:val="006764A6"/>
    <w:rsid w:val="00676591"/>
    <w:rsid w:val="0067663D"/>
    <w:rsid w:val="0067673D"/>
    <w:rsid w:val="00676802"/>
    <w:rsid w:val="00676848"/>
    <w:rsid w:val="00676A46"/>
    <w:rsid w:val="00676AAC"/>
    <w:rsid w:val="00676AD3"/>
    <w:rsid w:val="00676C75"/>
    <w:rsid w:val="00676D40"/>
    <w:rsid w:val="0067701E"/>
    <w:rsid w:val="00677094"/>
    <w:rsid w:val="00677140"/>
    <w:rsid w:val="0067717C"/>
    <w:rsid w:val="006771BB"/>
    <w:rsid w:val="00677564"/>
    <w:rsid w:val="006778B6"/>
    <w:rsid w:val="00677A63"/>
    <w:rsid w:val="00677B98"/>
    <w:rsid w:val="00677BB0"/>
    <w:rsid w:val="00677C31"/>
    <w:rsid w:val="00677C35"/>
    <w:rsid w:val="00677CB5"/>
    <w:rsid w:val="00677D0C"/>
    <w:rsid w:val="00677DC6"/>
    <w:rsid w:val="00677E2A"/>
    <w:rsid w:val="00677E7D"/>
    <w:rsid w:val="00677E9A"/>
    <w:rsid w:val="00677FD9"/>
    <w:rsid w:val="006800F1"/>
    <w:rsid w:val="00680358"/>
    <w:rsid w:val="006803C3"/>
    <w:rsid w:val="006803E0"/>
    <w:rsid w:val="00680502"/>
    <w:rsid w:val="0068068E"/>
    <w:rsid w:val="006806CA"/>
    <w:rsid w:val="00680785"/>
    <w:rsid w:val="00680BCD"/>
    <w:rsid w:val="00680C7E"/>
    <w:rsid w:val="00680D83"/>
    <w:rsid w:val="00680F2C"/>
    <w:rsid w:val="00681016"/>
    <w:rsid w:val="0068120D"/>
    <w:rsid w:val="00681227"/>
    <w:rsid w:val="00681303"/>
    <w:rsid w:val="00681407"/>
    <w:rsid w:val="006815DB"/>
    <w:rsid w:val="006815DF"/>
    <w:rsid w:val="0068160D"/>
    <w:rsid w:val="006817E1"/>
    <w:rsid w:val="00681A3C"/>
    <w:rsid w:val="00681A95"/>
    <w:rsid w:val="00681EBF"/>
    <w:rsid w:val="0068200D"/>
    <w:rsid w:val="00682057"/>
    <w:rsid w:val="00682117"/>
    <w:rsid w:val="00682119"/>
    <w:rsid w:val="006822E6"/>
    <w:rsid w:val="00682387"/>
    <w:rsid w:val="006825D9"/>
    <w:rsid w:val="0068269E"/>
    <w:rsid w:val="00682831"/>
    <w:rsid w:val="00682A6C"/>
    <w:rsid w:val="00682B30"/>
    <w:rsid w:val="00682B9B"/>
    <w:rsid w:val="00682BB6"/>
    <w:rsid w:val="00682C77"/>
    <w:rsid w:val="00682DA2"/>
    <w:rsid w:val="00683094"/>
    <w:rsid w:val="006832D1"/>
    <w:rsid w:val="006834EC"/>
    <w:rsid w:val="0068350F"/>
    <w:rsid w:val="006837BB"/>
    <w:rsid w:val="006838B7"/>
    <w:rsid w:val="00683AFA"/>
    <w:rsid w:val="00683B70"/>
    <w:rsid w:val="00683D01"/>
    <w:rsid w:val="00683D75"/>
    <w:rsid w:val="00683F52"/>
    <w:rsid w:val="00684434"/>
    <w:rsid w:val="0068467E"/>
    <w:rsid w:val="0068476E"/>
    <w:rsid w:val="006847CF"/>
    <w:rsid w:val="0068493C"/>
    <w:rsid w:val="00684B16"/>
    <w:rsid w:val="00684E49"/>
    <w:rsid w:val="00684EB3"/>
    <w:rsid w:val="00685068"/>
    <w:rsid w:val="00685085"/>
    <w:rsid w:val="0068543B"/>
    <w:rsid w:val="0068548C"/>
    <w:rsid w:val="006854ED"/>
    <w:rsid w:val="00685554"/>
    <w:rsid w:val="006856D8"/>
    <w:rsid w:val="006857DB"/>
    <w:rsid w:val="006859D9"/>
    <w:rsid w:val="00685ADC"/>
    <w:rsid w:val="00685B4D"/>
    <w:rsid w:val="00685CDE"/>
    <w:rsid w:val="00685D49"/>
    <w:rsid w:val="00685E9C"/>
    <w:rsid w:val="00685ED7"/>
    <w:rsid w:val="006862BE"/>
    <w:rsid w:val="0068666D"/>
    <w:rsid w:val="0068670F"/>
    <w:rsid w:val="00686797"/>
    <w:rsid w:val="0068681A"/>
    <w:rsid w:val="0068684D"/>
    <w:rsid w:val="00686890"/>
    <w:rsid w:val="00686B27"/>
    <w:rsid w:val="00686BB0"/>
    <w:rsid w:val="00686BDB"/>
    <w:rsid w:val="00686E0C"/>
    <w:rsid w:val="00686F0A"/>
    <w:rsid w:val="0068709B"/>
    <w:rsid w:val="006870A6"/>
    <w:rsid w:val="006873E8"/>
    <w:rsid w:val="006873FE"/>
    <w:rsid w:val="00687622"/>
    <w:rsid w:val="00687726"/>
    <w:rsid w:val="00687872"/>
    <w:rsid w:val="00687B00"/>
    <w:rsid w:val="00687BC3"/>
    <w:rsid w:val="00687CEC"/>
    <w:rsid w:val="00687DF7"/>
    <w:rsid w:val="00687ED9"/>
    <w:rsid w:val="00687FCA"/>
    <w:rsid w:val="0069002B"/>
    <w:rsid w:val="0069014D"/>
    <w:rsid w:val="00690288"/>
    <w:rsid w:val="0069037F"/>
    <w:rsid w:val="0069038A"/>
    <w:rsid w:val="00690416"/>
    <w:rsid w:val="0069057A"/>
    <w:rsid w:val="006906B2"/>
    <w:rsid w:val="006908C7"/>
    <w:rsid w:val="00690907"/>
    <w:rsid w:val="006909CC"/>
    <w:rsid w:val="00690A8E"/>
    <w:rsid w:val="00690C57"/>
    <w:rsid w:val="00690D2E"/>
    <w:rsid w:val="00691022"/>
    <w:rsid w:val="00691029"/>
    <w:rsid w:val="00691040"/>
    <w:rsid w:val="00691097"/>
    <w:rsid w:val="00691106"/>
    <w:rsid w:val="0069110B"/>
    <w:rsid w:val="00691224"/>
    <w:rsid w:val="00691263"/>
    <w:rsid w:val="00691299"/>
    <w:rsid w:val="006912CF"/>
    <w:rsid w:val="006913B9"/>
    <w:rsid w:val="00691408"/>
    <w:rsid w:val="00691483"/>
    <w:rsid w:val="006914AB"/>
    <w:rsid w:val="0069172F"/>
    <w:rsid w:val="006917AF"/>
    <w:rsid w:val="0069185D"/>
    <w:rsid w:val="00691961"/>
    <w:rsid w:val="00691BFF"/>
    <w:rsid w:val="00691C7C"/>
    <w:rsid w:val="00691D31"/>
    <w:rsid w:val="00691F2D"/>
    <w:rsid w:val="00691F43"/>
    <w:rsid w:val="00691F72"/>
    <w:rsid w:val="006920A4"/>
    <w:rsid w:val="00692136"/>
    <w:rsid w:val="006921BA"/>
    <w:rsid w:val="006921F2"/>
    <w:rsid w:val="0069221A"/>
    <w:rsid w:val="00692289"/>
    <w:rsid w:val="0069237C"/>
    <w:rsid w:val="006923F9"/>
    <w:rsid w:val="00692725"/>
    <w:rsid w:val="00692858"/>
    <w:rsid w:val="006928D4"/>
    <w:rsid w:val="006928FC"/>
    <w:rsid w:val="0069298D"/>
    <w:rsid w:val="006929F9"/>
    <w:rsid w:val="00692A39"/>
    <w:rsid w:val="00692C9A"/>
    <w:rsid w:val="00692D09"/>
    <w:rsid w:val="00692D97"/>
    <w:rsid w:val="00692E2A"/>
    <w:rsid w:val="00692F86"/>
    <w:rsid w:val="00693102"/>
    <w:rsid w:val="0069315E"/>
    <w:rsid w:val="0069319E"/>
    <w:rsid w:val="006932A0"/>
    <w:rsid w:val="006933E3"/>
    <w:rsid w:val="0069340D"/>
    <w:rsid w:val="006934C8"/>
    <w:rsid w:val="006935E6"/>
    <w:rsid w:val="006936CD"/>
    <w:rsid w:val="006936ED"/>
    <w:rsid w:val="00693758"/>
    <w:rsid w:val="00693772"/>
    <w:rsid w:val="00693914"/>
    <w:rsid w:val="00693B4C"/>
    <w:rsid w:val="00693D64"/>
    <w:rsid w:val="00693E2F"/>
    <w:rsid w:val="00694111"/>
    <w:rsid w:val="00694118"/>
    <w:rsid w:val="006941FC"/>
    <w:rsid w:val="00694289"/>
    <w:rsid w:val="006943DE"/>
    <w:rsid w:val="006944D9"/>
    <w:rsid w:val="0069465E"/>
    <w:rsid w:val="00694678"/>
    <w:rsid w:val="00694692"/>
    <w:rsid w:val="0069489A"/>
    <w:rsid w:val="00694904"/>
    <w:rsid w:val="00694969"/>
    <w:rsid w:val="006949EE"/>
    <w:rsid w:val="00694A27"/>
    <w:rsid w:val="00694BAF"/>
    <w:rsid w:val="00694C71"/>
    <w:rsid w:val="00694C92"/>
    <w:rsid w:val="00694F73"/>
    <w:rsid w:val="006951EE"/>
    <w:rsid w:val="0069530C"/>
    <w:rsid w:val="00695467"/>
    <w:rsid w:val="006954D9"/>
    <w:rsid w:val="0069553A"/>
    <w:rsid w:val="0069582F"/>
    <w:rsid w:val="0069599C"/>
    <w:rsid w:val="006959EF"/>
    <w:rsid w:val="00695BA6"/>
    <w:rsid w:val="00695C0F"/>
    <w:rsid w:val="00695C52"/>
    <w:rsid w:val="00695C65"/>
    <w:rsid w:val="00695D8E"/>
    <w:rsid w:val="00695FA1"/>
    <w:rsid w:val="00695FCE"/>
    <w:rsid w:val="0069602E"/>
    <w:rsid w:val="006960D0"/>
    <w:rsid w:val="00696125"/>
    <w:rsid w:val="00696133"/>
    <w:rsid w:val="0069613C"/>
    <w:rsid w:val="00696264"/>
    <w:rsid w:val="006962B8"/>
    <w:rsid w:val="0069632E"/>
    <w:rsid w:val="006964CC"/>
    <w:rsid w:val="006965CE"/>
    <w:rsid w:val="00696776"/>
    <w:rsid w:val="00696B93"/>
    <w:rsid w:val="00696D31"/>
    <w:rsid w:val="00696DBE"/>
    <w:rsid w:val="00696DFE"/>
    <w:rsid w:val="00697057"/>
    <w:rsid w:val="00697158"/>
    <w:rsid w:val="00697299"/>
    <w:rsid w:val="006973E6"/>
    <w:rsid w:val="0069747D"/>
    <w:rsid w:val="0069751F"/>
    <w:rsid w:val="0069758D"/>
    <w:rsid w:val="006977D9"/>
    <w:rsid w:val="00697A38"/>
    <w:rsid w:val="00697AFE"/>
    <w:rsid w:val="00697B75"/>
    <w:rsid w:val="00697D19"/>
    <w:rsid w:val="006A00DB"/>
    <w:rsid w:val="006A010F"/>
    <w:rsid w:val="006A01D1"/>
    <w:rsid w:val="006A02E6"/>
    <w:rsid w:val="006A0335"/>
    <w:rsid w:val="006A0385"/>
    <w:rsid w:val="006A03A6"/>
    <w:rsid w:val="006A047F"/>
    <w:rsid w:val="006A05A7"/>
    <w:rsid w:val="006A05D4"/>
    <w:rsid w:val="006A0643"/>
    <w:rsid w:val="006A0703"/>
    <w:rsid w:val="006A0802"/>
    <w:rsid w:val="006A0938"/>
    <w:rsid w:val="006A0E6F"/>
    <w:rsid w:val="006A0F0E"/>
    <w:rsid w:val="006A0F42"/>
    <w:rsid w:val="006A0F50"/>
    <w:rsid w:val="006A0F95"/>
    <w:rsid w:val="006A0FD0"/>
    <w:rsid w:val="006A1097"/>
    <w:rsid w:val="006A1143"/>
    <w:rsid w:val="006A11C6"/>
    <w:rsid w:val="006A1211"/>
    <w:rsid w:val="006A1382"/>
    <w:rsid w:val="006A15CB"/>
    <w:rsid w:val="006A1747"/>
    <w:rsid w:val="006A1890"/>
    <w:rsid w:val="006A1A43"/>
    <w:rsid w:val="006A1BE7"/>
    <w:rsid w:val="006A1C1C"/>
    <w:rsid w:val="006A1CE9"/>
    <w:rsid w:val="006A1F9A"/>
    <w:rsid w:val="006A2028"/>
    <w:rsid w:val="006A222F"/>
    <w:rsid w:val="006A23DA"/>
    <w:rsid w:val="006A24C4"/>
    <w:rsid w:val="006A256E"/>
    <w:rsid w:val="006A28D8"/>
    <w:rsid w:val="006A2903"/>
    <w:rsid w:val="006A2961"/>
    <w:rsid w:val="006A2996"/>
    <w:rsid w:val="006A29AF"/>
    <w:rsid w:val="006A2A7B"/>
    <w:rsid w:val="006A2AEE"/>
    <w:rsid w:val="006A2B3B"/>
    <w:rsid w:val="006A2E12"/>
    <w:rsid w:val="006A302E"/>
    <w:rsid w:val="006A30A8"/>
    <w:rsid w:val="006A30DB"/>
    <w:rsid w:val="006A315D"/>
    <w:rsid w:val="006A32E2"/>
    <w:rsid w:val="006A330E"/>
    <w:rsid w:val="006A33B9"/>
    <w:rsid w:val="006A347F"/>
    <w:rsid w:val="006A34FD"/>
    <w:rsid w:val="006A3616"/>
    <w:rsid w:val="006A36E8"/>
    <w:rsid w:val="006A37B7"/>
    <w:rsid w:val="006A38C7"/>
    <w:rsid w:val="006A39CF"/>
    <w:rsid w:val="006A3A37"/>
    <w:rsid w:val="006A3AC7"/>
    <w:rsid w:val="006A3AE0"/>
    <w:rsid w:val="006A3B54"/>
    <w:rsid w:val="006A3C63"/>
    <w:rsid w:val="006A3DA4"/>
    <w:rsid w:val="006A3E8D"/>
    <w:rsid w:val="006A3EB9"/>
    <w:rsid w:val="006A40E9"/>
    <w:rsid w:val="006A4125"/>
    <w:rsid w:val="006A427C"/>
    <w:rsid w:val="006A45A0"/>
    <w:rsid w:val="006A4961"/>
    <w:rsid w:val="006A496D"/>
    <w:rsid w:val="006A49D8"/>
    <w:rsid w:val="006A4A45"/>
    <w:rsid w:val="006A4B94"/>
    <w:rsid w:val="006A4C49"/>
    <w:rsid w:val="006A4C5A"/>
    <w:rsid w:val="006A4E49"/>
    <w:rsid w:val="006A4E85"/>
    <w:rsid w:val="006A4EB2"/>
    <w:rsid w:val="006A4EF5"/>
    <w:rsid w:val="006A4F90"/>
    <w:rsid w:val="006A504E"/>
    <w:rsid w:val="006A508E"/>
    <w:rsid w:val="006A509B"/>
    <w:rsid w:val="006A50FA"/>
    <w:rsid w:val="006A5172"/>
    <w:rsid w:val="006A51A6"/>
    <w:rsid w:val="006A53ED"/>
    <w:rsid w:val="006A54AE"/>
    <w:rsid w:val="006A54E2"/>
    <w:rsid w:val="006A55E8"/>
    <w:rsid w:val="006A58C9"/>
    <w:rsid w:val="006A58CB"/>
    <w:rsid w:val="006A58E7"/>
    <w:rsid w:val="006A59A9"/>
    <w:rsid w:val="006A5B1F"/>
    <w:rsid w:val="006A5C8A"/>
    <w:rsid w:val="006A5F30"/>
    <w:rsid w:val="006A6169"/>
    <w:rsid w:val="006A62C9"/>
    <w:rsid w:val="006A63EA"/>
    <w:rsid w:val="006A65CE"/>
    <w:rsid w:val="006A65ED"/>
    <w:rsid w:val="006A6627"/>
    <w:rsid w:val="006A6653"/>
    <w:rsid w:val="006A665D"/>
    <w:rsid w:val="006A684B"/>
    <w:rsid w:val="006A687A"/>
    <w:rsid w:val="006A6C3D"/>
    <w:rsid w:val="006A6C8E"/>
    <w:rsid w:val="006A6CEB"/>
    <w:rsid w:val="006A6E4D"/>
    <w:rsid w:val="006A6ECC"/>
    <w:rsid w:val="006A6F4C"/>
    <w:rsid w:val="006A6F4E"/>
    <w:rsid w:val="006A6F85"/>
    <w:rsid w:val="006A704F"/>
    <w:rsid w:val="006A738C"/>
    <w:rsid w:val="006A747A"/>
    <w:rsid w:val="006A7725"/>
    <w:rsid w:val="006A78AF"/>
    <w:rsid w:val="006A78E6"/>
    <w:rsid w:val="006A7970"/>
    <w:rsid w:val="006A7AAE"/>
    <w:rsid w:val="006A7B7F"/>
    <w:rsid w:val="006A7C1C"/>
    <w:rsid w:val="006A7C40"/>
    <w:rsid w:val="006B004D"/>
    <w:rsid w:val="006B02AA"/>
    <w:rsid w:val="006B030F"/>
    <w:rsid w:val="006B0547"/>
    <w:rsid w:val="006B05FE"/>
    <w:rsid w:val="006B06FD"/>
    <w:rsid w:val="006B0A94"/>
    <w:rsid w:val="006B0BC9"/>
    <w:rsid w:val="006B0C04"/>
    <w:rsid w:val="006B0C05"/>
    <w:rsid w:val="006B0C1E"/>
    <w:rsid w:val="006B0C99"/>
    <w:rsid w:val="006B0D3B"/>
    <w:rsid w:val="006B0E4F"/>
    <w:rsid w:val="006B0F4A"/>
    <w:rsid w:val="006B0F64"/>
    <w:rsid w:val="006B0F73"/>
    <w:rsid w:val="006B1012"/>
    <w:rsid w:val="006B1266"/>
    <w:rsid w:val="006B12F5"/>
    <w:rsid w:val="006B154B"/>
    <w:rsid w:val="006B16B8"/>
    <w:rsid w:val="006B18BA"/>
    <w:rsid w:val="006B18F4"/>
    <w:rsid w:val="006B19DC"/>
    <w:rsid w:val="006B1B05"/>
    <w:rsid w:val="006B1B13"/>
    <w:rsid w:val="006B1D47"/>
    <w:rsid w:val="006B21A9"/>
    <w:rsid w:val="006B2213"/>
    <w:rsid w:val="006B222C"/>
    <w:rsid w:val="006B235A"/>
    <w:rsid w:val="006B23C5"/>
    <w:rsid w:val="006B23DA"/>
    <w:rsid w:val="006B245E"/>
    <w:rsid w:val="006B25D7"/>
    <w:rsid w:val="006B26B4"/>
    <w:rsid w:val="006B26C8"/>
    <w:rsid w:val="006B28C0"/>
    <w:rsid w:val="006B2916"/>
    <w:rsid w:val="006B293F"/>
    <w:rsid w:val="006B29B6"/>
    <w:rsid w:val="006B2A2D"/>
    <w:rsid w:val="006B2B31"/>
    <w:rsid w:val="006B2D1B"/>
    <w:rsid w:val="006B2E89"/>
    <w:rsid w:val="006B2EDB"/>
    <w:rsid w:val="006B2F57"/>
    <w:rsid w:val="006B2FDD"/>
    <w:rsid w:val="006B3120"/>
    <w:rsid w:val="006B33D1"/>
    <w:rsid w:val="006B3559"/>
    <w:rsid w:val="006B36F4"/>
    <w:rsid w:val="006B3745"/>
    <w:rsid w:val="006B393A"/>
    <w:rsid w:val="006B3979"/>
    <w:rsid w:val="006B3A28"/>
    <w:rsid w:val="006B3AD1"/>
    <w:rsid w:val="006B3FBE"/>
    <w:rsid w:val="006B41F2"/>
    <w:rsid w:val="006B42AF"/>
    <w:rsid w:val="006B43CE"/>
    <w:rsid w:val="006B43D7"/>
    <w:rsid w:val="006B444E"/>
    <w:rsid w:val="006B44FC"/>
    <w:rsid w:val="006B4695"/>
    <w:rsid w:val="006B46A3"/>
    <w:rsid w:val="006B47A2"/>
    <w:rsid w:val="006B49ED"/>
    <w:rsid w:val="006B4ABD"/>
    <w:rsid w:val="006B4B64"/>
    <w:rsid w:val="006B4C63"/>
    <w:rsid w:val="006B4C79"/>
    <w:rsid w:val="006B4DEF"/>
    <w:rsid w:val="006B4E33"/>
    <w:rsid w:val="006B524A"/>
    <w:rsid w:val="006B54C0"/>
    <w:rsid w:val="006B560F"/>
    <w:rsid w:val="006B57EC"/>
    <w:rsid w:val="006B5838"/>
    <w:rsid w:val="006B5873"/>
    <w:rsid w:val="006B5A33"/>
    <w:rsid w:val="006B5A4B"/>
    <w:rsid w:val="006B5CE1"/>
    <w:rsid w:val="006B5D89"/>
    <w:rsid w:val="006B5E93"/>
    <w:rsid w:val="006B6037"/>
    <w:rsid w:val="006B603B"/>
    <w:rsid w:val="006B606C"/>
    <w:rsid w:val="006B60E8"/>
    <w:rsid w:val="006B615E"/>
    <w:rsid w:val="006B6689"/>
    <w:rsid w:val="006B66C9"/>
    <w:rsid w:val="006B67BB"/>
    <w:rsid w:val="006B6832"/>
    <w:rsid w:val="006B6BBB"/>
    <w:rsid w:val="006B6ED6"/>
    <w:rsid w:val="006B6F5F"/>
    <w:rsid w:val="006B6F83"/>
    <w:rsid w:val="006B709C"/>
    <w:rsid w:val="006B70D4"/>
    <w:rsid w:val="006B70EA"/>
    <w:rsid w:val="006B723A"/>
    <w:rsid w:val="006B72DA"/>
    <w:rsid w:val="006B72EB"/>
    <w:rsid w:val="006B737F"/>
    <w:rsid w:val="006B73DC"/>
    <w:rsid w:val="006B7580"/>
    <w:rsid w:val="006B7640"/>
    <w:rsid w:val="006B77F2"/>
    <w:rsid w:val="006B787E"/>
    <w:rsid w:val="006B7B05"/>
    <w:rsid w:val="006B7E2D"/>
    <w:rsid w:val="006B7E5B"/>
    <w:rsid w:val="006B7E80"/>
    <w:rsid w:val="006B7F17"/>
    <w:rsid w:val="006B7FD7"/>
    <w:rsid w:val="006C0055"/>
    <w:rsid w:val="006C00F7"/>
    <w:rsid w:val="006C0142"/>
    <w:rsid w:val="006C0247"/>
    <w:rsid w:val="006C02C3"/>
    <w:rsid w:val="006C02FD"/>
    <w:rsid w:val="006C049C"/>
    <w:rsid w:val="006C0611"/>
    <w:rsid w:val="006C06BA"/>
    <w:rsid w:val="006C0875"/>
    <w:rsid w:val="006C08B5"/>
    <w:rsid w:val="006C0B19"/>
    <w:rsid w:val="006C0CD4"/>
    <w:rsid w:val="006C0DF3"/>
    <w:rsid w:val="006C1046"/>
    <w:rsid w:val="006C10DD"/>
    <w:rsid w:val="006C1155"/>
    <w:rsid w:val="006C135C"/>
    <w:rsid w:val="006C1396"/>
    <w:rsid w:val="006C144C"/>
    <w:rsid w:val="006C145C"/>
    <w:rsid w:val="006C1559"/>
    <w:rsid w:val="006C1565"/>
    <w:rsid w:val="006C15BE"/>
    <w:rsid w:val="006C161B"/>
    <w:rsid w:val="006C1D15"/>
    <w:rsid w:val="006C1F5E"/>
    <w:rsid w:val="006C1F7A"/>
    <w:rsid w:val="006C208C"/>
    <w:rsid w:val="006C2162"/>
    <w:rsid w:val="006C21C3"/>
    <w:rsid w:val="006C2274"/>
    <w:rsid w:val="006C2704"/>
    <w:rsid w:val="006C296F"/>
    <w:rsid w:val="006C2C19"/>
    <w:rsid w:val="006C305D"/>
    <w:rsid w:val="006C30A1"/>
    <w:rsid w:val="006C30AD"/>
    <w:rsid w:val="006C3392"/>
    <w:rsid w:val="006C33DF"/>
    <w:rsid w:val="006C3716"/>
    <w:rsid w:val="006C3890"/>
    <w:rsid w:val="006C3AB1"/>
    <w:rsid w:val="006C3AB5"/>
    <w:rsid w:val="006C3ADE"/>
    <w:rsid w:val="006C3B1B"/>
    <w:rsid w:val="006C3C51"/>
    <w:rsid w:val="006C3C8E"/>
    <w:rsid w:val="006C3D9A"/>
    <w:rsid w:val="006C3DB3"/>
    <w:rsid w:val="006C3DF9"/>
    <w:rsid w:val="006C3EFA"/>
    <w:rsid w:val="006C40A9"/>
    <w:rsid w:val="006C40FA"/>
    <w:rsid w:val="006C4126"/>
    <w:rsid w:val="006C4182"/>
    <w:rsid w:val="006C43BA"/>
    <w:rsid w:val="006C43BB"/>
    <w:rsid w:val="006C44A9"/>
    <w:rsid w:val="006C44EE"/>
    <w:rsid w:val="006C46B2"/>
    <w:rsid w:val="006C472E"/>
    <w:rsid w:val="006C474B"/>
    <w:rsid w:val="006C47B7"/>
    <w:rsid w:val="006C49E0"/>
    <w:rsid w:val="006C4A96"/>
    <w:rsid w:val="006C4D23"/>
    <w:rsid w:val="006C4D80"/>
    <w:rsid w:val="006C515D"/>
    <w:rsid w:val="006C517E"/>
    <w:rsid w:val="006C51F6"/>
    <w:rsid w:val="006C5303"/>
    <w:rsid w:val="006C53FC"/>
    <w:rsid w:val="006C544C"/>
    <w:rsid w:val="006C58F1"/>
    <w:rsid w:val="006C58F5"/>
    <w:rsid w:val="006C58FB"/>
    <w:rsid w:val="006C592A"/>
    <w:rsid w:val="006C5934"/>
    <w:rsid w:val="006C59DD"/>
    <w:rsid w:val="006C5CE3"/>
    <w:rsid w:val="006C5CFA"/>
    <w:rsid w:val="006C5EFF"/>
    <w:rsid w:val="006C6039"/>
    <w:rsid w:val="006C60D3"/>
    <w:rsid w:val="006C60E0"/>
    <w:rsid w:val="006C63B3"/>
    <w:rsid w:val="006C64C7"/>
    <w:rsid w:val="006C6544"/>
    <w:rsid w:val="006C6670"/>
    <w:rsid w:val="006C66B0"/>
    <w:rsid w:val="006C66DE"/>
    <w:rsid w:val="006C6702"/>
    <w:rsid w:val="006C68E8"/>
    <w:rsid w:val="006C69C8"/>
    <w:rsid w:val="006C69CE"/>
    <w:rsid w:val="006C6A8D"/>
    <w:rsid w:val="006C6ADE"/>
    <w:rsid w:val="006C6AE9"/>
    <w:rsid w:val="006C6B30"/>
    <w:rsid w:val="006C6B70"/>
    <w:rsid w:val="006C6CFC"/>
    <w:rsid w:val="006C6D04"/>
    <w:rsid w:val="006C6EE0"/>
    <w:rsid w:val="006C6FF1"/>
    <w:rsid w:val="006C7130"/>
    <w:rsid w:val="006C72A6"/>
    <w:rsid w:val="006C736C"/>
    <w:rsid w:val="006C7406"/>
    <w:rsid w:val="006C7425"/>
    <w:rsid w:val="006C7781"/>
    <w:rsid w:val="006C77C2"/>
    <w:rsid w:val="006C7811"/>
    <w:rsid w:val="006C7976"/>
    <w:rsid w:val="006C7BAA"/>
    <w:rsid w:val="006C7C4C"/>
    <w:rsid w:val="006C7D4F"/>
    <w:rsid w:val="006C7D78"/>
    <w:rsid w:val="006C7EA6"/>
    <w:rsid w:val="006C7FFB"/>
    <w:rsid w:val="006D006D"/>
    <w:rsid w:val="006D009A"/>
    <w:rsid w:val="006D0302"/>
    <w:rsid w:val="006D0469"/>
    <w:rsid w:val="006D0569"/>
    <w:rsid w:val="006D05B8"/>
    <w:rsid w:val="006D0619"/>
    <w:rsid w:val="006D064F"/>
    <w:rsid w:val="006D08E4"/>
    <w:rsid w:val="006D08E5"/>
    <w:rsid w:val="006D0A53"/>
    <w:rsid w:val="006D0AE0"/>
    <w:rsid w:val="006D0BEA"/>
    <w:rsid w:val="006D0D37"/>
    <w:rsid w:val="006D0F52"/>
    <w:rsid w:val="006D1060"/>
    <w:rsid w:val="006D1279"/>
    <w:rsid w:val="006D1464"/>
    <w:rsid w:val="006D14A3"/>
    <w:rsid w:val="006D1521"/>
    <w:rsid w:val="006D156F"/>
    <w:rsid w:val="006D15C4"/>
    <w:rsid w:val="006D1684"/>
    <w:rsid w:val="006D19CE"/>
    <w:rsid w:val="006D19F3"/>
    <w:rsid w:val="006D1DA4"/>
    <w:rsid w:val="006D1DF8"/>
    <w:rsid w:val="006D1DFE"/>
    <w:rsid w:val="006D1EAA"/>
    <w:rsid w:val="006D1ECB"/>
    <w:rsid w:val="006D1F84"/>
    <w:rsid w:val="006D205F"/>
    <w:rsid w:val="006D23DF"/>
    <w:rsid w:val="006D2518"/>
    <w:rsid w:val="006D253C"/>
    <w:rsid w:val="006D277F"/>
    <w:rsid w:val="006D2889"/>
    <w:rsid w:val="006D29C3"/>
    <w:rsid w:val="006D2A00"/>
    <w:rsid w:val="006D2B55"/>
    <w:rsid w:val="006D2E30"/>
    <w:rsid w:val="006D2FF6"/>
    <w:rsid w:val="006D3104"/>
    <w:rsid w:val="006D316E"/>
    <w:rsid w:val="006D3187"/>
    <w:rsid w:val="006D34A0"/>
    <w:rsid w:val="006D351F"/>
    <w:rsid w:val="006D357A"/>
    <w:rsid w:val="006D35CC"/>
    <w:rsid w:val="006D3745"/>
    <w:rsid w:val="006D37D1"/>
    <w:rsid w:val="006D385E"/>
    <w:rsid w:val="006D3888"/>
    <w:rsid w:val="006D3AC1"/>
    <w:rsid w:val="006D3C2F"/>
    <w:rsid w:val="006D3EAE"/>
    <w:rsid w:val="006D3F7E"/>
    <w:rsid w:val="006D402D"/>
    <w:rsid w:val="006D406E"/>
    <w:rsid w:val="006D4075"/>
    <w:rsid w:val="006D41D3"/>
    <w:rsid w:val="006D4409"/>
    <w:rsid w:val="006D44AA"/>
    <w:rsid w:val="006D4506"/>
    <w:rsid w:val="006D4643"/>
    <w:rsid w:val="006D477F"/>
    <w:rsid w:val="006D4801"/>
    <w:rsid w:val="006D4831"/>
    <w:rsid w:val="006D48AC"/>
    <w:rsid w:val="006D4CAC"/>
    <w:rsid w:val="006D4D6C"/>
    <w:rsid w:val="006D4DFB"/>
    <w:rsid w:val="006D4E28"/>
    <w:rsid w:val="006D5157"/>
    <w:rsid w:val="006D51DD"/>
    <w:rsid w:val="006D52B5"/>
    <w:rsid w:val="006D5386"/>
    <w:rsid w:val="006D53A6"/>
    <w:rsid w:val="006D54B5"/>
    <w:rsid w:val="006D554F"/>
    <w:rsid w:val="006D5555"/>
    <w:rsid w:val="006D5558"/>
    <w:rsid w:val="006D59BF"/>
    <w:rsid w:val="006D5A10"/>
    <w:rsid w:val="006D5A65"/>
    <w:rsid w:val="006D5B53"/>
    <w:rsid w:val="006D5C0F"/>
    <w:rsid w:val="006D5DC6"/>
    <w:rsid w:val="006D5F83"/>
    <w:rsid w:val="006D6079"/>
    <w:rsid w:val="006D619F"/>
    <w:rsid w:val="006D62A5"/>
    <w:rsid w:val="006D6359"/>
    <w:rsid w:val="006D6526"/>
    <w:rsid w:val="006D6627"/>
    <w:rsid w:val="006D6AEF"/>
    <w:rsid w:val="006D6E69"/>
    <w:rsid w:val="006D6ED3"/>
    <w:rsid w:val="006D6EE1"/>
    <w:rsid w:val="006D6F13"/>
    <w:rsid w:val="006D70E2"/>
    <w:rsid w:val="006D7365"/>
    <w:rsid w:val="006D73A3"/>
    <w:rsid w:val="006D76D1"/>
    <w:rsid w:val="006D7846"/>
    <w:rsid w:val="006D786F"/>
    <w:rsid w:val="006D78BC"/>
    <w:rsid w:val="006D790F"/>
    <w:rsid w:val="006D7926"/>
    <w:rsid w:val="006D7984"/>
    <w:rsid w:val="006D7B05"/>
    <w:rsid w:val="006D7B55"/>
    <w:rsid w:val="006D7BB4"/>
    <w:rsid w:val="006D7C41"/>
    <w:rsid w:val="006D7C52"/>
    <w:rsid w:val="006D7DC7"/>
    <w:rsid w:val="006D7DF6"/>
    <w:rsid w:val="006D7F11"/>
    <w:rsid w:val="006E0038"/>
    <w:rsid w:val="006E003B"/>
    <w:rsid w:val="006E0116"/>
    <w:rsid w:val="006E058B"/>
    <w:rsid w:val="006E05DE"/>
    <w:rsid w:val="006E0769"/>
    <w:rsid w:val="006E076A"/>
    <w:rsid w:val="006E0943"/>
    <w:rsid w:val="006E09F0"/>
    <w:rsid w:val="006E0A50"/>
    <w:rsid w:val="006E0BDD"/>
    <w:rsid w:val="006E0E01"/>
    <w:rsid w:val="006E1033"/>
    <w:rsid w:val="006E1046"/>
    <w:rsid w:val="006E12ED"/>
    <w:rsid w:val="006E144E"/>
    <w:rsid w:val="006E14FA"/>
    <w:rsid w:val="006E16FE"/>
    <w:rsid w:val="006E1864"/>
    <w:rsid w:val="006E18BF"/>
    <w:rsid w:val="006E19D5"/>
    <w:rsid w:val="006E1A9E"/>
    <w:rsid w:val="006E1B9C"/>
    <w:rsid w:val="006E1C04"/>
    <w:rsid w:val="006E1E18"/>
    <w:rsid w:val="006E1F1E"/>
    <w:rsid w:val="006E1FD5"/>
    <w:rsid w:val="006E211A"/>
    <w:rsid w:val="006E21AE"/>
    <w:rsid w:val="006E22A5"/>
    <w:rsid w:val="006E25D0"/>
    <w:rsid w:val="006E265D"/>
    <w:rsid w:val="006E26B0"/>
    <w:rsid w:val="006E2723"/>
    <w:rsid w:val="006E29A9"/>
    <w:rsid w:val="006E29DF"/>
    <w:rsid w:val="006E2B0E"/>
    <w:rsid w:val="006E2DD2"/>
    <w:rsid w:val="006E2E8B"/>
    <w:rsid w:val="006E2F8A"/>
    <w:rsid w:val="006E3083"/>
    <w:rsid w:val="006E33D8"/>
    <w:rsid w:val="006E3431"/>
    <w:rsid w:val="006E34CD"/>
    <w:rsid w:val="006E359E"/>
    <w:rsid w:val="006E37F3"/>
    <w:rsid w:val="006E381A"/>
    <w:rsid w:val="006E384C"/>
    <w:rsid w:val="006E3942"/>
    <w:rsid w:val="006E3BF1"/>
    <w:rsid w:val="006E3DDE"/>
    <w:rsid w:val="006E3E5F"/>
    <w:rsid w:val="006E3EEC"/>
    <w:rsid w:val="006E3FAD"/>
    <w:rsid w:val="006E40FF"/>
    <w:rsid w:val="006E41DA"/>
    <w:rsid w:val="006E42A8"/>
    <w:rsid w:val="006E436C"/>
    <w:rsid w:val="006E4528"/>
    <w:rsid w:val="006E4561"/>
    <w:rsid w:val="006E45FE"/>
    <w:rsid w:val="006E463C"/>
    <w:rsid w:val="006E496C"/>
    <w:rsid w:val="006E4B0D"/>
    <w:rsid w:val="006E4C22"/>
    <w:rsid w:val="006E4CCE"/>
    <w:rsid w:val="006E4D43"/>
    <w:rsid w:val="006E4F6F"/>
    <w:rsid w:val="006E4FCC"/>
    <w:rsid w:val="006E5051"/>
    <w:rsid w:val="006E50C8"/>
    <w:rsid w:val="006E51ED"/>
    <w:rsid w:val="006E5249"/>
    <w:rsid w:val="006E5299"/>
    <w:rsid w:val="006E532F"/>
    <w:rsid w:val="006E56E0"/>
    <w:rsid w:val="006E58E4"/>
    <w:rsid w:val="006E599D"/>
    <w:rsid w:val="006E5AD3"/>
    <w:rsid w:val="006E5C4B"/>
    <w:rsid w:val="006E5C4C"/>
    <w:rsid w:val="006E5E4C"/>
    <w:rsid w:val="006E5F06"/>
    <w:rsid w:val="006E5F3B"/>
    <w:rsid w:val="006E62C8"/>
    <w:rsid w:val="006E643D"/>
    <w:rsid w:val="006E655A"/>
    <w:rsid w:val="006E665C"/>
    <w:rsid w:val="006E6682"/>
    <w:rsid w:val="006E66AC"/>
    <w:rsid w:val="006E66F6"/>
    <w:rsid w:val="006E6749"/>
    <w:rsid w:val="006E6784"/>
    <w:rsid w:val="006E6807"/>
    <w:rsid w:val="006E69A4"/>
    <w:rsid w:val="006E6A3F"/>
    <w:rsid w:val="006E6B88"/>
    <w:rsid w:val="006E6B97"/>
    <w:rsid w:val="006E6BE3"/>
    <w:rsid w:val="006E6BE9"/>
    <w:rsid w:val="006E6CD4"/>
    <w:rsid w:val="006E6E17"/>
    <w:rsid w:val="006E7064"/>
    <w:rsid w:val="006E70BA"/>
    <w:rsid w:val="006E7172"/>
    <w:rsid w:val="006E7178"/>
    <w:rsid w:val="006E71AB"/>
    <w:rsid w:val="006E7576"/>
    <w:rsid w:val="006E7619"/>
    <w:rsid w:val="006E7654"/>
    <w:rsid w:val="006E7668"/>
    <w:rsid w:val="006E76DE"/>
    <w:rsid w:val="006E76F0"/>
    <w:rsid w:val="006E7700"/>
    <w:rsid w:val="006E7720"/>
    <w:rsid w:val="006E787F"/>
    <w:rsid w:val="006E798E"/>
    <w:rsid w:val="006E79D8"/>
    <w:rsid w:val="006E7AC3"/>
    <w:rsid w:val="006E7C0E"/>
    <w:rsid w:val="006E7E09"/>
    <w:rsid w:val="006E7E62"/>
    <w:rsid w:val="006E7E7A"/>
    <w:rsid w:val="006F0307"/>
    <w:rsid w:val="006F03D8"/>
    <w:rsid w:val="006F046B"/>
    <w:rsid w:val="006F04B1"/>
    <w:rsid w:val="006F050E"/>
    <w:rsid w:val="006F0543"/>
    <w:rsid w:val="006F06B4"/>
    <w:rsid w:val="006F06C4"/>
    <w:rsid w:val="006F07DF"/>
    <w:rsid w:val="006F07E1"/>
    <w:rsid w:val="006F0B5E"/>
    <w:rsid w:val="006F0E34"/>
    <w:rsid w:val="006F1053"/>
    <w:rsid w:val="006F10BA"/>
    <w:rsid w:val="006F113E"/>
    <w:rsid w:val="006F11A5"/>
    <w:rsid w:val="006F123D"/>
    <w:rsid w:val="006F1270"/>
    <w:rsid w:val="006F1542"/>
    <w:rsid w:val="006F1B1E"/>
    <w:rsid w:val="006F1BF4"/>
    <w:rsid w:val="006F1C0F"/>
    <w:rsid w:val="006F1C8E"/>
    <w:rsid w:val="006F1E16"/>
    <w:rsid w:val="006F1E78"/>
    <w:rsid w:val="006F1F50"/>
    <w:rsid w:val="006F1F86"/>
    <w:rsid w:val="006F215C"/>
    <w:rsid w:val="006F21EF"/>
    <w:rsid w:val="006F2519"/>
    <w:rsid w:val="006F26A9"/>
    <w:rsid w:val="006F2779"/>
    <w:rsid w:val="006F27F2"/>
    <w:rsid w:val="006F27F4"/>
    <w:rsid w:val="006F2AE4"/>
    <w:rsid w:val="006F2BC9"/>
    <w:rsid w:val="006F2BE1"/>
    <w:rsid w:val="006F2DF7"/>
    <w:rsid w:val="006F2FE5"/>
    <w:rsid w:val="006F314D"/>
    <w:rsid w:val="006F3286"/>
    <w:rsid w:val="006F34C6"/>
    <w:rsid w:val="006F357A"/>
    <w:rsid w:val="006F35A2"/>
    <w:rsid w:val="006F36C5"/>
    <w:rsid w:val="006F37BF"/>
    <w:rsid w:val="006F3A10"/>
    <w:rsid w:val="006F3BA8"/>
    <w:rsid w:val="006F3C78"/>
    <w:rsid w:val="006F3E7E"/>
    <w:rsid w:val="006F3EFF"/>
    <w:rsid w:val="006F4028"/>
    <w:rsid w:val="006F4072"/>
    <w:rsid w:val="006F408E"/>
    <w:rsid w:val="006F4195"/>
    <w:rsid w:val="006F427B"/>
    <w:rsid w:val="006F432F"/>
    <w:rsid w:val="006F4518"/>
    <w:rsid w:val="006F455E"/>
    <w:rsid w:val="006F46CD"/>
    <w:rsid w:val="006F46FC"/>
    <w:rsid w:val="006F48B8"/>
    <w:rsid w:val="006F48BE"/>
    <w:rsid w:val="006F48C8"/>
    <w:rsid w:val="006F48F0"/>
    <w:rsid w:val="006F4C18"/>
    <w:rsid w:val="006F4CDA"/>
    <w:rsid w:val="006F4FEC"/>
    <w:rsid w:val="006F5189"/>
    <w:rsid w:val="006F5377"/>
    <w:rsid w:val="006F540B"/>
    <w:rsid w:val="006F5473"/>
    <w:rsid w:val="006F54F6"/>
    <w:rsid w:val="006F559F"/>
    <w:rsid w:val="006F56D0"/>
    <w:rsid w:val="006F57E6"/>
    <w:rsid w:val="006F5848"/>
    <w:rsid w:val="006F58FE"/>
    <w:rsid w:val="006F5D6D"/>
    <w:rsid w:val="006F5DA1"/>
    <w:rsid w:val="006F5EDA"/>
    <w:rsid w:val="006F6007"/>
    <w:rsid w:val="006F60A2"/>
    <w:rsid w:val="006F6102"/>
    <w:rsid w:val="006F6118"/>
    <w:rsid w:val="006F61AF"/>
    <w:rsid w:val="006F6244"/>
    <w:rsid w:val="006F62C0"/>
    <w:rsid w:val="006F62CF"/>
    <w:rsid w:val="006F64BF"/>
    <w:rsid w:val="006F6892"/>
    <w:rsid w:val="006F6A56"/>
    <w:rsid w:val="006F6BB2"/>
    <w:rsid w:val="006F6BEF"/>
    <w:rsid w:val="006F6C8F"/>
    <w:rsid w:val="006F6D66"/>
    <w:rsid w:val="006F6D8A"/>
    <w:rsid w:val="006F6E92"/>
    <w:rsid w:val="006F6ED3"/>
    <w:rsid w:val="006F6FF8"/>
    <w:rsid w:val="006F7007"/>
    <w:rsid w:val="006F7087"/>
    <w:rsid w:val="006F708E"/>
    <w:rsid w:val="006F7131"/>
    <w:rsid w:val="006F719A"/>
    <w:rsid w:val="006F72AE"/>
    <w:rsid w:val="006F7442"/>
    <w:rsid w:val="006F748F"/>
    <w:rsid w:val="006F7701"/>
    <w:rsid w:val="006F77EB"/>
    <w:rsid w:val="006F7835"/>
    <w:rsid w:val="006F7898"/>
    <w:rsid w:val="006F7B54"/>
    <w:rsid w:val="006F7D3E"/>
    <w:rsid w:val="006F7DBA"/>
    <w:rsid w:val="006F7DC9"/>
    <w:rsid w:val="006F7E97"/>
    <w:rsid w:val="00700103"/>
    <w:rsid w:val="0070014E"/>
    <w:rsid w:val="0070019C"/>
    <w:rsid w:val="00700290"/>
    <w:rsid w:val="007002C9"/>
    <w:rsid w:val="0070030B"/>
    <w:rsid w:val="007003B8"/>
    <w:rsid w:val="00700538"/>
    <w:rsid w:val="00700550"/>
    <w:rsid w:val="00700609"/>
    <w:rsid w:val="00700639"/>
    <w:rsid w:val="0070079F"/>
    <w:rsid w:val="007007E6"/>
    <w:rsid w:val="00700947"/>
    <w:rsid w:val="00700963"/>
    <w:rsid w:val="0070097E"/>
    <w:rsid w:val="00700994"/>
    <w:rsid w:val="007009C0"/>
    <w:rsid w:val="00700B06"/>
    <w:rsid w:val="00700B3C"/>
    <w:rsid w:val="00700DBB"/>
    <w:rsid w:val="00700F6F"/>
    <w:rsid w:val="007011F7"/>
    <w:rsid w:val="0070128E"/>
    <w:rsid w:val="007012F6"/>
    <w:rsid w:val="007013D1"/>
    <w:rsid w:val="00701755"/>
    <w:rsid w:val="00701775"/>
    <w:rsid w:val="00701822"/>
    <w:rsid w:val="00701A31"/>
    <w:rsid w:val="00701AFF"/>
    <w:rsid w:val="00701BEF"/>
    <w:rsid w:val="00701BF1"/>
    <w:rsid w:val="00701CF4"/>
    <w:rsid w:val="00701EBA"/>
    <w:rsid w:val="00701F8E"/>
    <w:rsid w:val="0070212E"/>
    <w:rsid w:val="0070234D"/>
    <w:rsid w:val="007023F0"/>
    <w:rsid w:val="00702528"/>
    <w:rsid w:val="00702751"/>
    <w:rsid w:val="00702778"/>
    <w:rsid w:val="007027C2"/>
    <w:rsid w:val="00702800"/>
    <w:rsid w:val="0070286D"/>
    <w:rsid w:val="00702D55"/>
    <w:rsid w:val="00702E57"/>
    <w:rsid w:val="00702E83"/>
    <w:rsid w:val="00702ED9"/>
    <w:rsid w:val="00702EDE"/>
    <w:rsid w:val="00702EE0"/>
    <w:rsid w:val="00702F6E"/>
    <w:rsid w:val="0070325E"/>
    <w:rsid w:val="0070348F"/>
    <w:rsid w:val="00703561"/>
    <w:rsid w:val="0070381C"/>
    <w:rsid w:val="0070389E"/>
    <w:rsid w:val="007039F4"/>
    <w:rsid w:val="00703A57"/>
    <w:rsid w:val="00703BEA"/>
    <w:rsid w:val="00703C41"/>
    <w:rsid w:val="00703CB1"/>
    <w:rsid w:val="00703DB6"/>
    <w:rsid w:val="00703DDE"/>
    <w:rsid w:val="00703E07"/>
    <w:rsid w:val="00703F72"/>
    <w:rsid w:val="00704031"/>
    <w:rsid w:val="007040EC"/>
    <w:rsid w:val="00704213"/>
    <w:rsid w:val="00704475"/>
    <w:rsid w:val="0070448C"/>
    <w:rsid w:val="00704576"/>
    <w:rsid w:val="0070459D"/>
    <w:rsid w:val="007047F0"/>
    <w:rsid w:val="0070480A"/>
    <w:rsid w:val="007048F6"/>
    <w:rsid w:val="00704965"/>
    <w:rsid w:val="0070498E"/>
    <w:rsid w:val="007049DB"/>
    <w:rsid w:val="00704B73"/>
    <w:rsid w:val="00704CDE"/>
    <w:rsid w:val="00704CE6"/>
    <w:rsid w:val="00704F1F"/>
    <w:rsid w:val="00704F2F"/>
    <w:rsid w:val="00704F5B"/>
    <w:rsid w:val="0070503D"/>
    <w:rsid w:val="007050CB"/>
    <w:rsid w:val="007050E6"/>
    <w:rsid w:val="00705149"/>
    <w:rsid w:val="0070526A"/>
    <w:rsid w:val="00705351"/>
    <w:rsid w:val="007053C3"/>
    <w:rsid w:val="00705409"/>
    <w:rsid w:val="007055C5"/>
    <w:rsid w:val="007059B7"/>
    <w:rsid w:val="00705BAC"/>
    <w:rsid w:val="00705D0F"/>
    <w:rsid w:val="00705DCE"/>
    <w:rsid w:val="00705E13"/>
    <w:rsid w:val="00705F91"/>
    <w:rsid w:val="00705FDE"/>
    <w:rsid w:val="00706017"/>
    <w:rsid w:val="0070601F"/>
    <w:rsid w:val="0070614F"/>
    <w:rsid w:val="00706210"/>
    <w:rsid w:val="00706228"/>
    <w:rsid w:val="0070622D"/>
    <w:rsid w:val="0070632C"/>
    <w:rsid w:val="00706526"/>
    <w:rsid w:val="0070662D"/>
    <w:rsid w:val="00706671"/>
    <w:rsid w:val="00706718"/>
    <w:rsid w:val="0070672E"/>
    <w:rsid w:val="007069B3"/>
    <w:rsid w:val="00706B3F"/>
    <w:rsid w:val="00706B50"/>
    <w:rsid w:val="00706C37"/>
    <w:rsid w:val="00706C3E"/>
    <w:rsid w:val="00706C8A"/>
    <w:rsid w:val="00706DCB"/>
    <w:rsid w:val="00706FC6"/>
    <w:rsid w:val="00707045"/>
    <w:rsid w:val="0070722D"/>
    <w:rsid w:val="00707313"/>
    <w:rsid w:val="0070748F"/>
    <w:rsid w:val="00707513"/>
    <w:rsid w:val="0070766C"/>
    <w:rsid w:val="007076ED"/>
    <w:rsid w:val="00707784"/>
    <w:rsid w:val="007078B9"/>
    <w:rsid w:val="007078F6"/>
    <w:rsid w:val="00707998"/>
    <w:rsid w:val="00707A8C"/>
    <w:rsid w:val="00707C6E"/>
    <w:rsid w:val="00707D17"/>
    <w:rsid w:val="00707D38"/>
    <w:rsid w:val="00707EC6"/>
    <w:rsid w:val="00707FD7"/>
    <w:rsid w:val="00707FDD"/>
    <w:rsid w:val="00707FDE"/>
    <w:rsid w:val="00707FE3"/>
    <w:rsid w:val="00710078"/>
    <w:rsid w:val="007100E3"/>
    <w:rsid w:val="00710137"/>
    <w:rsid w:val="007101DD"/>
    <w:rsid w:val="007102BB"/>
    <w:rsid w:val="00710393"/>
    <w:rsid w:val="0071042E"/>
    <w:rsid w:val="00710581"/>
    <w:rsid w:val="007106C0"/>
    <w:rsid w:val="00710783"/>
    <w:rsid w:val="007108AB"/>
    <w:rsid w:val="00710C1A"/>
    <w:rsid w:val="00710C5F"/>
    <w:rsid w:val="00710D6A"/>
    <w:rsid w:val="00710E7E"/>
    <w:rsid w:val="00710EC3"/>
    <w:rsid w:val="00710EEA"/>
    <w:rsid w:val="00710F69"/>
    <w:rsid w:val="00710FBA"/>
    <w:rsid w:val="007110D8"/>
    <w:rsid w:val="00711105"/>
    <w:rsid w:val="00711191"/>
    <w:rsid w:val="007111A2"/>
    <w:rsid w:val="007111E8"/>
    <w:rsid w:val="007114B8"/>
    <w:rsid w:val="0071153F"/>
    <w:rsid w:val="00711969"/>
    <w:rsid w:val="007119A2"/>
    <w:rsid w:val="00711AFF"/>
    <w:rsid w:val="00711B7C"/>
    <w:rsid w:val="00711C32"/>
    <w:rsid w:val="00711D00"/>
    <w:rsid w:val="00711F24"/>
    <w:rsid w:val="007120A6"/>
    <w:rsid w:val="007120C9"/>
    <w:rsid w:val="0071225B"/>
    <w:rsid w:val="0071233B"/>
    <w:rsid w:val="0071249F"/>
    <w:rsid w:val="0071255B"/>
    <w:rsid w:val="00712573"/>
    <w:rsid w:val="007127FB"/>
    <w:rsid w:val="0071282C"/>
    <w:rsid w:val="00712876"/>
    <w:rsid w:val="00712B9D"/>
    <w:rsid w:val="00712D1A"/>
    <w:rsid w:val="00712D50"/>
    <w:rsid w:val="00712E33"/>
    <w:rsid w:val="00712E8A"/>
    <w:rsid w:val="00712F54"/>
    <w:rsid w:val="007130AC"/>
    <w:rsid w:val="00713137"/>
    <w:rsid w:val="007132A6"/>
    <w:rsid w:val="00713456"/>
    <w:rsid w:val="007134D7"/>
    <w:rsid w:val="00713619"/>
    <w:rsid w:val="0071369A"/>
    <w:rsid w:val="007136A4"/>
    <w:rsid w:val="00713736"/>
    <w:rsid w:val="00713770"/>
    <w:rsid w:val="00713773"/>
    <w:rsid w:val="00713908"/>
    <w:rsid w:val="00713EB6"/>
    <w:rsid w:val="00713EE2"/>
    <w:rsid w:val="00713F62"/>
    <w:rsid w:val="00713F97"/>
    <w:rsid w:val="00713FFF"/>
    <w:rsid w:val="007140D8"/>
    <w:rsid w:val="0071412B"/>
    <w:rsid w:val="0071421D"/>
    <w:rsid w:val="00714221"/>
    <w:rsid w:val="00714288"/>
    <w:rsid w:val="00714302"/>
    <w:rsid w:val="007143AA"/>
    <w:rsid w:val="00714413"/>
    <w:rsid w:val="0071459B"/>
    <w:rsid w:val="007145ED"/>
    <w:rsid w:val="0071468E"/>
    <w:rsid w:val="00714801"/>
    <w:rsid w:val="00714876"/>
    <w:rsid w:val="0071497A"/>
    <w:rsid w:val="00714D1B"/>
    <w:rsid w:val="00714D44"/>
    <w:rsid w:val="00714F67"/>
    <w:rsid w:val="007154F7"/>
    <w:rsid w:val="00715534"/>
    <w:rsid w:val="0071555F"/>
    <w:rsid w:val="00715595"/>
    <w:rsid w:val="0071562A"/>
    <w:rsid w:val="007156D0"/>
    <w:rsid w:val="00715A19"/>
    <w:rsid w:val="00715ABD"/>
    <w:rsid w:val="00715C59"/>
    <w:rsid w:val="00715E67"/>
    <w:rsid w:val="00715ECB"/>
    <w:rsid w:val="00715EF3"/>
    <w:rsid w:val="007163B0"/>
    <w:rsid w:val="007163D8"/>
    <w:rsid w:val="007166A5"/>
    <w:rsid w:val="00716D23"/>
    <w:rsid w:val="00716D57"/>
    <w:rsid w:val="00716D9F"/>
    <w:rsid w:val="00716E40"/>
    <w:rsid w:val="00716EAF"/>
    <w:rsid w:val="00716F79"/>
    <w:rsid w:val="00716FD2"/>
    <w:rsid w:val="007170D4"/>
    <w:rsid w:val="00717231"/>
    <w:rsid w:val="00717435"/>
    <w:rsid w:val="0071760A"/>
    <w:rsid w:val="0071772A"/>
    <w:rsid w:val="00717750"/>
    <w:rsid w:val="0071792F"/>
    <w:rsid w:val="00717B07"/>
    <w:rsid w:val="00717C01"/>
    <w:rsid w:val="00717CA5"/>
    <w:rsid w:val="00717DA1"/>
    <w:rsid w:val="0072005B"/>
    <w:rsid w:val="007200FB"/>
    <w:rsid w:val="007201EC"/>
    <w:rsid w:val="007202FF"/>
    <w:rsid w:val="0072038E"/>
    <w:rsid w:val="007206CE"/>
    <w:rsid w:val="0072072A"/>
    <w:rsid w:val="007207EB"/>
    <w:rsid w:val="007208D2"/>
    <w:rsid w:val="00720B42"/>
    <w:rsid w:val="00720B88"/>
    <w:rsid w:val="00720D30"/>
    <w:rsid w:val="00720EF5"/>
    <w:rsid w:val="00720F23"/>
    <w:rsid w:val="00720F2B"/>
    <w:rsid w:val="00720FF7"/>
    <w:rsid w:val="00721015"/>
    <w:rsid w:val="0072105E"/>
    <w:rsid w:val="00721249"/>
    <w:rsid w:val="00721310"/>
    <w:rsid w:val="007213F1"/>
    <w:rsid w:val="0072149C"/>
    <w:rsid w:val="00721707"/>
    <w:rsid w:val="007217B6"/>
    <w:rsid w:val="00721844"/>
    <w:rsid w:val="00721C59"/>
    <w:rsid w:val="00721C82"/>
    <w:rsid w:val="00721CAB"/>
    <w:rsid w:val="00721CDB"/>
    <w:rsid w:val="0072211E"/>
    <w:rsid w:val="00722184"/>
    <w:rsid w:val="0072238A"/>
    <w:rsid w:val="00722404"/>
    <w:rsid w:val="00722526"/>
    <w:rsid w:val="00722556"/>
    <w:rsid w:val="007225B4"/>
    <w:rsid w:val="00722678"/>
    <w:rsid w:val="00722682"/>
    <w:rsid w:val="007226AF"/>
    <w:rsid w:val="00722704"/>
    <w:rsid w:val="007229FC"/>
    <w:rsid w:val="00722A1B"/>
    <w:rsid w:val="00722A74"/>
    <w:rsid w:val="00722C38"/>
    <w:rsid w:val="00722C6C"/>
    <w:rsid w:val="00722E48"/>
    <w:rsid w:val="00722EEE"/>
    <w:rsid w:val="00722FF9"/>
    <w:rsid w:val="00723061"/>
    <w:rsid w:val="00723112"/>
    <w:rsid w:val="0072314B"/>
    <w:rsid w:val="007231FF"/>
    <w:rsid w:val="00723237"/>
    <w:rsid w:val="007233B3"/>
    <w:rsid w:val="00723483"/>
    <w:rsid w:val="0072349D"/>
    <w:rsid w:val="00723557"/>
    <w:rsid w:val="00723597"/>
    <w:rsid w:val="007236C6"/>
    <w:rsid w:val="007237D2"/>
    <w:rsid w:val="0072388B"/>
    <w:rsid w:val="007239C6"/>
    <w:rsid w:val="00723A81"/>
    <w:rsid w:val="00723C98"/>
    <w:rsid w:val="00723D5A"/>
    <w:rsid w:val="00723D7A"/>
    <w:rsid w:val="00723F41"/>
    <w:rsid w:val="00723F4C"/>
    <w:rsid w:val="0072406C"/>
    <w:rsid w:val="0072417B"/>
    <w:rsid w:val="00724203"/>
    <w:rsid w:val="00724290"/>
    <w:rsid w:val="007242A4"/>
    <w:rsid w:val="00724324"/>
    <w:rsid w:val="00724510"/>
    <w:rsid w:val="007245B1"/>
    <w:rsid w:val="007245E0"/>
    <w:rsid w:val="0072486C"/>
    <w:rsid w:val="00724ACB"/>
    <w:rsid w:val="00724BA3"/>
    <w:rsid w:val="00724C9B"/>
    <w:rsid w:val="00724C9C"/>
    <w:rsid w:val="00724D25"/>
    <w:rsid w:val="00724DDB"/>
    <w:rsid w:val="00724EC4"/>
    <w:rsid w:val="007250AD"/>
    <w:rsid w:val="00725206"/>
    <w:rsid w:val="00725326"/>
    <w:rsid w:val="00725360"/>
    <w:rsid w:val="0072566A"/>
    <w:rsid w:val="0072596A"/>
    <w:rsid w:val="00725A38"/>
    <w:rsid w:val="00725A6D"/>
    <w:rsid w:val="00725AA1"/>
    <w:rsid w:val="00725BE1"/>
    <w:rsid w:val="00725BEF"/>
    <w:rsid w:val="00725FBF"/>
    <w:rsid w:val="00726151"/>
    <w:rsid w:val="00726179"/>
    <w:rsid w:val="007261BD"/>
    <w:rsid w:val="007264A1"/>
    <w:rsid w:val="0072664C"/>
    <w:rsid w:val="00726718"/>
    <w:rsid w:val="0072671B"/>
    <w:rsid w:val="0072698D"/>
    <w:rsid w:val="00726A47"/>
    <w:rsid w:val="00726C0D"/>
    <w:rsid w:val="00726D5D"/>
    <w:rsid w:val="00726DCB"/>
    <w:rsid w:val="00726F7C"/>
    <w:rsid w:val="0072714E"/>
    <w:rsid w:val="007271FF"/>
    <w:rsid w:val="00727263"/>
    <w:rsid w:val="007273CA"/>
    <w:rsid w:val="0072765A"/>
    <w:rsid w:val="0072775F"/>
    <w:rsid w:val="007277C1"/>
    <w:rsid w:val="00727823"/>
    <w:rsid w:val="007278F4"/>
    <w:rsid w:val="00727B78"/>
    <w:rsid w:val="00727BEE"/>
    <w:rsid w:val="00727C01"/>
    <w:rsid w:val="007300C4"/>
    <w:rsid w:val="007300D6"/>
    <w:rsid w:val="007301F1"/>
    <w:rsid w:val="00730316"/>
    <w:rsid w:val="0073034F"/>
    <w:rsid w:val="00730578"/>
    <w:rsid w:val="00730747"/>
    <w:rsid w:val="007307A0"/>
    <w:rsid w:val="007307E7"/>
    <w:rsid w:val="00730965"/>
    <w:rsid w:val="00730C1F"/>
    <w:rsid w:val="00730C90"/>
    <w:rsid w:val="00730D90"/>
    <w:rsid w:val="00730FD1"/>
    <w:rsid w:val="00731135"/>
    <w:rsid w:val="0073115B"/>
    <w:rsid w:val="00731390"/>
    <w:rsid w:val="007314FC"/>
    <w:rsid w:val="007315CD"/>
    <w:rsid w:val="007316F3"/>
    <w:rsid w:val="00731931"/>
    <w:rsid w:val="007319DC"/>
    <w:rsid w:val="00731B51"/>
    <w:rsid w:val="00731D46"/>
    <w:rsid w:val="00731DE3"/>
    <w:rsid w:val="00731E21"/>
    <w:rsid w:val="00732013"/>
    <w:rsid w:val="0073201C"/>
    <w:rsid w:val="007321BD"/>
    <w:rsid w:val="00732351"/>
    <w:rsid w:val="007323BE"/>
    <w:rsid w:val="007325F1"/>
    <w:rsid w:val="0073271C"/>
    <w:rsid w:val="00732762"/>
    <w:rsid w:val="007327C3"/>
    <w:rsid w:val="007328B5"/>
    <w:rsid w:val="00732921"/>
    <w:rsid w:val="00732988"/>
    <w:rsid w:val="00732B22"/>
    <w:rsid w:val="00732C14"/>
    <w:rsid w:val="00732E7C"/>
    <w:rsid w:val="00732ED1"/>
    <w:rsid w:val="00732F6F"/>
    <w:rsid w:val="0073339D"/>
    <w:rsid w:val="007335F9"/>
    <w:rsid w:val="0073361E"/>
    <w:rsid w:val="00733624"/>
    <w:rsid w:val="00733653"/>
    <w:rsid w:val="0073369E"/>
    <w:rsid w:val="00733872"/>
    <w:rsid w:val="00733954"/>
    <w:rsid w:val="00733986"/>
    <w:rsid w:val="007339C9"/>
    <w:rsid w:val="00733A01"/>
    <w:rsid w:val="00733BE6"/>
    <w:rsid w:val="00733C2F"/>
    <w:rsid w:val="00733D55"/>
    <w:rsid w:val="00734175"/>
    <w:rsid w:val="007344B6"/>
    <w:rsid w:val="00734549"/>
    <w:rsid w:val="007345D6"/>
    <w:rsid w:val="007345F2"/>
    <w:rsid w:val="0073490C"/>
    <w:rsid w:val="00734953"/>
    <w:rsid w:val="00734B11"/>
    <w:rsid w:val="00734E9F"/>
    <w:rsid w:val="00734EFF"/>
    <w:rsid w:val="00734F13"/>
    <w:rsid w:val="007351E9"/>
    <w:rsid w:val="007351F3"/>
    <w:rsid w:val="007351F8"/>
    <w:rsid w:val="0073522F"/>
    <w:rsid w:val="00735290"/>
    <w:rsid w:val="00735295"/>
    <w:rsid w:val="007352AA"/>
    <w:rsid w:val="007352CD"/>
    <w:rsid w:val="007353F8"/>
    <w:rsid w:val="00735426"/>
    <w:rsid w:val="007354CB"/>
    <w:rsid w:val="007354E6"/>
    <w:rsid w:val="00735771"/>
    <w:rsid w:val="00735AC1"/>
    <w:rsid w:val="00735D2D"/>
    <w:rsid w:val="00735DEA"/>
    <w:rsid w:val="00735DF8"/>
    <w:rsid w:val="00735EEA"/>
    <w:rsid w:val="00735F4F"/>
    <w:rsid w:val="00736016"/>
    <w:rsid w:val="0073608B"/>
    <w:rsid w:val="00736506"/>
    <w:rsid w:val="0073653C"/>
    <w:rsid w:val="00736580"/>
    <w:rsid w:val="007366AF"/>
    <w:rsid w:val="0073677A"/>
    <w:rsid w:val="007367D9"/>
    <w:rsid w:val="00736807"/>
    <w:rsid w:val="007369DC"/>
    <w:rsid w:val="00736B21"/>
    <w:rsid w:val="00736C33"/>
    <w:rsid w:val="00736C9F"/>
    <w:rsid w:val="00736D78"/>
    <w:rsid w:val="00736D7C"/>
    <w:rsid w:val="00736D9D"/>
    <w:rsid w:val="00736DEA"/>
    <w:rsid w:val="00736E6A"/>
    <w:rsid w:val="00736FEF"/>
    <w:rsid w:val="0073712D"/>
    <w:rsid w:val="007371D8"/>
    <w:rsid w:val="00737207"/>
    <w:rsid w:val="00737208"/>
    <w:rsid w:val="00737229"/>
    <w:rsid w:val="007372C0"/>
    <w:rsid w:val="0073742C"/>
    <w:rsid w:val="00737459"/>
    <w:rsid w:val="00737489"/>
    <w:rsid w:val="00737610"/>
    <w:rsid w:val="0073769D"/>
    <w:rsid w:val="007376BA"/>
    <w:rsid w:val="007376EB"/>
    <w:rsid w:val="00737776"/>
    <w:rsid w:val="00737777"/>
    <w:rsid w:val="007378CB"/>
    <w:rsid w:val="00737C4C"/>
    <w:rsid w:val="00737C6B"/>
    <w:rsid w:val="00737CF3"/>
    <w:rsid w:val="00737DF9"/>
    <w:rsid w:val="00737F45"/>
    <w:rsid w:val="00740224"/>
    <w:rsid w:val="0074056D"/>
    <w:rsid w:val="007405A2"/>
    <w:rsid w:val="0074063B"/>
    <w:rsid w:val="007406AB"/>
    <w:rsid w:val="0074075E"/>
    <w:rsid w:val="007407D4"/>
    <w:rsid w:val="007407F6"/>
    <w:rsid w:val="00740929"/>
    <w:rsid w:val="00740A1E"/>
    <w:rsid w:val="00740A92"/>
    <w:rsid w:val="00740B3A"/>
    <w:rsid w:val="00740F05"/>
    <w:rsid w:val="007412D3"/>
    <w:rsid w:val="0074133C"/>
    <w:rsid w:val="0074137E"/>
    <w:rsid w:val="00741630"/>
    <w:rsid w:val="00741696"/>
    <w:rsid w:val="0074193E"/>
    <w:rsid w:val="00741A1C"/>
    <w:rsid w:val="00741AC1"/>
    <w:rsid w:val="00741AD8"/>
    <w:rsid w:val="00741D90"/>
    <w:rsid w:val="00741EBC"/>
    <w:rsid w:val="00741F77"/>
    <w:rsid w:val="00742062"/>
    <w:rsid w:val="007420AD"/>
    <w:rsid w:val="007421B9"/>
    <w:rsid w:val="00742269"/>
    <w:rsid w:val="0074248B"/>
    <w:rsid w:val="0074263E"/>
    <w:rsid w:val="0074279A"/>
    <w:rsid w:val="00742860"/>
    <w:rsid w:val="00742CCB"/>
    <w:rsid w:val="00742D0C"/>
    <w:rsid w:val="00742D85"/>
    <w:rsid w:val="00743056"/>
    <w:rsid w:val="007431C8"/>
    <w:rsid w:val="00743216"/>
    <w:rsid w:val="00743326"/>
    <w:rsid w:val="00743680"/>
    <w:rsid w:val="00743817"/>
    <w:rsid w:val="0074381E"/>
    <w:rsid w:val="00743967"/>
    <w:rsid w:val="00743AAF"/>
    <w:rsid w:val="00743ADC"/>
    <w:rsid w:val="00743D7F"/>
    <w:rsid w:val="00743E64"/>
    <w:rsid w:val="00743FF9"/>
    <w:rsid w:val="00744018"/>
    <w:rsid w:val="00744496"/>
    <w:rsid w:val="00744568"/>
    <w:rsid w:val="007445FA"/>
    <w:rsid w:val="00744733"/>
    <w:rsid w:val="00744931"/>
    <w:rsid w:val="00744AD8"/>
    <w:rsid w:val="00744AEE"/>
    <w:rsid w:val="00744B78"/>
    <w:rsid w:val="00744CD9"/>
    <w:rsid w:val="00744EAC"/>
    <w:rsid w:val="00744EEC"/>
    <w:rsid w:val="00745068"/>
    <w:rsid w:val="0074508F"/>
    <w:rsid w:val="007452AF"/>
    <w:rsid w:val="007456BB"/>
    <w:rsid w:val="00745775"/>
    <w:rsid w:val="00745964"/>
    <w:rsid w:val="00745AD3"/>
    <w:rsid w:val="00745C5E"/>
    <w:rsid w:val="00745C94"/>
    <w:rsid w:val="00745CC7"/>
    <w:rsid w:val="00745F3A"/>
    <w:rsid w:val="00746133"/>
    <w:rsid w:val="007461FE"/>
    <w:rsid w:val="00746252"/>
    <w:rsid w:val="0074633E"/>
    <w:rsid w:val="007463FF"/>
    <w:rsid w:val="00746475"/>
    <w:rsid w:val="007467F2"/>
    <w:rsid w:val="00746974"/>
    <w:rsid w:val="00746A8F"/>
    <w:rsid w:val="00746DB1"/>
    <w:rsid w:val="00746E1A"/>
    <w:rsid w:val="00746F64"/>
    <w:rsid w:val="00746FA5"/>
    <w:rsid w:val="00746FAC"/>
    <w:rsid w:val="00746FB0"/>
    <w:rsid w:val="00747094"/>
    <w:rsid w:val="007470C0"/>
    <w:rsid w:val="0074727B"/>
    <w:rsid w:val="007472DA"/>
    <w:rsid w:val="0074740C"/>
    <w:rsid w:val="0074757C"/>
    <w:rsid w:val="007475CB"/>
    <w:rsid w:val="00747635"/>
    <w:rsid w:val="00747713"/>
    <w:rsid w:val="00747904"/>
    <w:rsid w:val="00747938"/>
    <w:rsid w:val="0074794D"/>
    <w:rsid w:val="00747981"/>
    <w:rsid w:val="00747A65"/>
    <w:rsid w:val="00747ADD"/>
    <w:rsid w:val="00747C2E"/>
    <w:rsid w:val="00747E35"/>
    <w:rsid w:val="00750074"/>
    <w:rsid w:val="00750234"/>
    <w:rsid w:val="0075031C"/>
    <w:rsid w:val="0075044E"/>
    <w:rsid w:val="00750452"/>
    <w:rsid w:val="00750490"/>
    <w:rsid w:val="007504C6"/>
    <w:rsid w:val="00750629"/>
    <w:rsid w:val="00750635"/>
    <w:rsid w:val="007506A0"/>
    <w:rsid w:val="00750709"/>
    <w:rsid w:val="0075079E"/>
    <w:rsid w:val="00750C12"/>
    <w:rsid w:val="00750D62"/>
    <w:rsid w:val="00750E56"/>
    <w:rsid w:val="00750E74"/>
    <w:rsid w:val="00750F07"/>
    <w:rsid w:val="00750F4C"/>
    <w:rsid w:val="007510B7"/>
    <w:rsid w:val="007510C6"/>
    <w:rsid w:val="00751130"/>
    <w:rsid w:val="00751333"/>
    <w:rsid w:val="007515BF"/>
    <w:rsid w:val="0075175E"/>
    <w:rsid w:val="007517B5"/>
    <w:rsid w:val="0075183F"/>
    <w:rsid w:val="007519C8"/>
    <w:rsid w:val="00751A7D"/>
    <w:rsid w:val="00751B6A"/>
    <w:rsid w:val="00751BC3"/>
    <w:rsid w:val="00751C04"/>
    <w:rsid w:val="00751D5C"/>
    <w:rsid w:val="00751DCD"/>
    <w:rsid w:val="00752008"/>
    <w:rsid w:val="00752088"/>
    <w:rsid w:val="00752149"/>
    <w:rsid w:val="00752236"/>
    <w:rsid w:val="0075223D"/>
    <w:rsid w:val="007522A6"/>
    <w:rsid w:val="00752587"/>
    <w:rsid w:val="007526B2"/>
    <w:rsid w:val="007527DA"/>
    <w:rsid w:val="007528BF"/>
    <w:rsid w:val="007529B0"/>
    <w:rsid w:val="00752AD3"/>
    <w:rsid w:val="00752BA9"/>
    <w:rsid w:val="00752BF0"/>
    <w:rsid w:val="00752CAD"/>
    <w:rsid w:val="00752CEC"/>
    <w:rsid w:val="00752D42"/>
    <w:rsid w:val="00752E2D"/>
    <w:rsid w:val="0075305E"/>
    <w:rsid w:val="007532B0"/>
    <w:rsid w:val="007536A5"/>
    <w:rsid w:val="0075377A"/>
    <w:rsid w:val="007538B1"/>
    <w:rsid w:val="007538EC"/>
    <w:rsid w:val="00753AB7"/>
    <w:rsid w:val="00753AC9"/>
    <w:rsid w:val="00753BC8"/>
    <w:rsid w:val="00753E3B"/>
    <w:rsid w:val="00753E40"/>
    <w:rsid w:val="00753F57"/>
    <w:rsid w:val="00753F72"/>
    <w:rsid w:val="00754170"/>
    <w:rsid w:val="00754172"/>
    <w:rsid w:val="007541F0"/>
    <w:rsid w:val="0075449D"/>
    <w:rsid w:val="00754636"/>
    <w:rsid w:val="0075485B"/>
    <w:rsid w:val="0075485D"/>
    <w:rsid w:val="0075494E"/>
    <w:rsid w:val="007549F8"/>
    <w:rsid w:val="00754BA5"/>
    <w:rsid w:val="00754C66"/>
    <w:rsid w:val="00754F06"/>
    <w:rsid w:val="00754FD8"/>
    <w:rsid w:val="007550F7"/>
    <w:rsid w:val="00755323"/>
    <w:rsid w:val="00755602"/>
    <w:rsid w:val="007556FB"/>
    <w:rsid w:val="007557F5"/>
    <w:rsid w:val="00755874"/>
    <w:rsid w:val="00755A85"/>
    <w:rsid w:val="00755AA7"/>
    <w:rsid w:val="00755B0E"/>
    <w:rsid w:val="00755BAA"/>
    <w:rsid w:val="00755E2D"/>
    <w:rsid w:val="00755EB5"/>
    <w:rsid w:val="00755EC3"/>
    <w:rsid w:val="00756085"/>
    <w:rsid w:val="00756154"/>
    <w:rsid w:val="0075630F"/>
    <w:rsid w:val="007564D9"/>
    <w:rsid w:val="0075663A"/>
    <w:rsid w:val="00756831"/>
    <w:rsid w:val="0075691F"/>
    <w:rsid w:val="007569E4"/>
    <w:rsid w:val="00756B00"/>
    <w:rsid w:val="00756BEE"/>
    <w:rsid w:val="00756C7B"/>
    <w:rsid w:val="00756C80"/>
    <w:rsid w:val="00756D5A"/>
    <w:rsid w:val="00756DCB"/>
    <w:rsid w:val="00756DEC"/>
    <w:rsid w:val="00756E54"/>
    <w:rsid w:val="0075706E"/>
    <w:rsid w:val="0075737D"/>
    <w:rsid w:val="00757589"/>
    <w:rsid w:val="007575B2"/>
    <w:rsid w:val="00757721"/>
    <w:rsid w:val="00757913"/>
    <w:rsid w:val="007579DF"/>
    <w:rsid w:val="00757CD5"/>
    <w:rsid w:val="00757CF8"/>
    <w:rsid w:val="00757D39"/>
    <w:rsid w:val="00757D74"/>
    <w:rsid w:val="00757DE2"/>
    <w:rsid w:val="00757F32"/>
    <w:rsid w:val="00757FBB"/>
    <w:rsid w:val="0076001A"/>
    <w:rsid w:val="0076004B"/>
    <w:rsid w:val="007600CA"/>
    <w:rsid w:val="007601B0"/>
    <w:rsid w:val="00760696"/>
    <w:rsid w:val="007607D7"/>
    <w:rsid w:val="00760837"/>
    <w:rsid w:val="00760900"/>
    <w:rsid w:val="00760AEE"/>
    <w:rsid w:val="00760CB8"/>
    <w:rsid w:val="00760E00"/>
    <w:rsid w:val="00760FDD"/>
    <w:rsid w:val="00761014"/>
    <w:rsid w:val="0076107D"/>
    <w:rsid w:val="00761161"/>
    <w:rsid w:val="00761195"/>
    <w:rsid w:val="0076119A"/>
    <w:rsid w:val="007611DE"/>
    <w:rsid w:val="007613C0"/>
    <w:rsid w:val="00761415"/>
    <w:rsid w:val="0076141C"/>
    <w:rsid w:val="00761640"/>
    <w:rsid w:val="007616B7"/>
    <w:rsid w:val="00761791"/>
    <w:rsid w:val="00761815"/>
    <w:rsid w:val="007619BD"/>
    <w:rsid w:val="00761BAC"/>
    <w:rsid w:val="00761C26"/>
    <w:rsid w:val="00761CD8"/>
    <w:rsid w:val="00761DA2"/>
    <w:rsid w:val="00761E44"/>
    <w:rsid w:val="00761EDB"/>
    <w:rsid w:val="00761EE4"/>
    <w:rsid w:val="00761F63"/>
    <w:rsid w:val="00762208"/>
    <w:rsid w:val="007622A3"/>
    <w:rsid w:val="00762588"/>
    <w:rsid w:val="007625F1"/>
    <w:rsid w:val="00762735"/>
    <w:rsid w:val="00762883"/>
    <w:rsid w:val="00762A6F"/>
    <w:rsid w:val="00762BF0"/>
    <w:rsid w:val="00762C70"/>
    <w:rsid w:val="00762E0F"/>
    <w:rsid w:val="00762F9C"/>
    <w:rsid w:val="00762FB3"/>
    <w:rsid w:val="00763031"/>
    <w:rsid w:val="007630A1"/>
    <w:rsid w:val="00763125"/>
    <w:rsid w:val="00763212"/>
    <w:rsid w:val="007632CB"/>
    <w:rsid w:val="007632F8"/>
    <w:rsid w:val="0076337F"/>
    <w:rsid w:val="007634ED"/>
    <w:rsid w:val="0076356E"/>
    <w:rsid w:val="007636C3"/>
    <w:rsid w:val="007637A1"/>
    <w:rsid w:val="007637E2"/>
    <w:rsid w:val="00763A58"/>
    <w:rsid w:val="00763A6C"/>
    <w:rsid w:val="00763B62"/>
    <w:rsid w:val="00764074"/>
    <w:rsid w:val="007641EB"/>
    <w:rsid w:val="007642C5"/>
    <w:rsid w:val="007643EE"/>
    <w:rsid w:val="007646B8"/>
    <w:rsid w:val="007646DF"/>
    <w:rsid w:val="00764750"/>
    <w:rsid w:val="0076480C"/>
    <w:rsid w:val="00764814"/>
    <w:rsid w:val="00764C28"/>
    <w:rsid w:val="00764D20"/>
    <w:rsid w:val="00764DB5"/>
    <w:rsid w:val="00764EB0"/>
    <w:rsid w:val="00764EE1"/>
    <w:rsid w:val="00765097"/>
    <w:rsid w:val="00765296"/>
    <w:rsid w:val="00765328"/>
    <w:rsid w:val="007653B7"/>
    <w:rsid w:val="007653BB"/>
    <w:rsid w:val="007653D3"/>
    <w:rsid w:val="007654C1"/>
    <w:rsid w:val="00765588"/>
    <w:rsid w:val="0076563C"/>
    <w:rsid w:val="0076589B"/>
    <w:rsid w:val="0076599E"/>
    <w:rsid w:val="00765B07"/>
    <w:rsid w:val="00765BA5"/>
    <w:rsid w:val="00765C25"/>
    <w:rsid w:val="00765CA4"/>
    <w:rsid w:val="00765D9F"/>
    <w:rsid w:val="00765EE8"/>
    <w:rsid w:val="00765F3D"/>
    <w:rsid w:val="00766030"/>
    <w:rsid w:val="00766102"/>
    <w:rsid w:val="007661BA"/>
    <w:rsid w:val="0076631A"/>
    <w:rsid w:val="00766327"/>
    <w:rsid w:val="00766386"/>
    <w:rsid w:val="007664D7"/>
    <w:rsid w:val="00766533"/>
    <w:rsid w:val="00766574"/>
    <w:rsid w:val="00766639"/>
    <w:rsid w:val="0076680D"/>
    <w:rsid w:val="00766A57"/>
    <w:rsid w:val="00766AD8"/>
    <w:rsid w:val="00766BB2"/>
    <w:rsid w:val="00766D60"/>
    <w:rsid w:val="00766E97"/>
    <w:rsid w:val="00766F0D"/>
    <w:rsid w:val="00766F36"/>
    <w:rsid w:val="007670A8"/>
    <w:rsid w:val="00767104"/>
    <w:rsid w:val="007671EE"/>
    <w:rsid w:val="007673CA"/>
    <w:rsid w:val="00767425"/>
    <w:rsid w:val="007675E5"/>
    <w:rsid w:val="0076794E"/>
    <w:rsid w:val="00767977"/>
    <w:rsid w:val="007679D9"/>
    <w:rsid w:val="00767A52"/>
    <w:rsid w:val="00767AD8"/>
    <w:rsid w:val="00767B80"/>
    <w:rsid w:val="00767BEA"/>
    <w:rsid w:val="00767C64"/>
    <w:rsid w:val="00767CB6"/>
    <w:rsid w:val="00767D75"/>
    <w:rsid w:val="00767DB5"/>
    <w:rsid w:val="00767DBD"/>
    <w:rsid w:val="00767DFB"/>
    <w:rsid w:val="00767EC5"/>
    <w:rsid w:val="00767FE8"/>
    <w:rsid w:val="00770553"/>
    <w:rsid w:val="00770732"/>
    <w:rsid w:val="0077091E"/>
    <w:rsid w:val="00770B29"/>
    <w:rsid w:val="00770E4C"/>
    <w:rsid w:val="00770EA9"/>
    <w:rsid w:val="00770F69"/>
    <w:rsid w:val="0077103D"/>
    <w:rsid w:val="00771111"/>
    <w:rsid w:val="007712D1"/>
    <w:rsid w:val="00771330"/>
    <w:rsid w:val="00771411"/>
    <w:rsid w:val="0077152D"/>
    <w:rsid w:val="007715B3"/>
    <w:rsid w:val="007716DB"/>
    <w:rsid w:val="00771730"/>
    <w:rsid w:val="00771819"/>
    <w:rsid w:val="00771975"/>
    <w:rsid w:val="00771A93"/>
    <w:rsid w:val="00771AE6"/>
    <w:rsid w:val="00771B70"/>
    <w:rsid w:val="00771C6D"/>
    <w:rsid w:val="00771E8A"/>
    <w:rsid w:val="00771EA9"/>
    <w:rsid w:val="00771F38"/>
    <w:rsid w:val="0077242F"/>
    <w:rsid w:val="007724BA"/>
    <w:rsid w:val="007725C5"/>
    <w:rsid w:val="0077262B"/>
    <w:rsid w:val="00772A91"/>
    <w:rsid w:val="00772CFE"/>
    <w:rsid w:val="00772D6B"/>
    <w:rsid w:val="00772E3E"/>
    <w:rsid w:val="007732A7"/>
    <w:rsid w:val="00773402"/>
    <w:rsid w:val="0077342B"/>
    <w:rsid w:val="00773517"/>
    <w:rsid w:val="0077353E"/>
    <w:rsid w:val="00773562"/>
    <w:rsid w:val="007735BC"/>
    <w:rsid w:val="007736C0"/>
    <w:rsid w:val="007736D3"/>
    <w:rsid w:val="00773955"/>
    <w:rsid w:val="00773963"/>
    <w:rsid w:val="00773AB7"/>
    <w:rsid w:val="00773AE5"/>
    <w:rsid w:val="00773B36"/>
    <w:rsid w:val="00774045"/>
    <w:rsid w:val="00774064"/>
    <w:rsid w:val="0077443A"/>
    <w:rsid w:val="007744DD"/>
    <w:rsid w:val="00774514"/>
    <w:rsid w:val="00774629"/>
    <w:rsid w:val="00774745"/>
    <w:rsid w:val="007749C7"/>
    <w:rsid w:val="007749CB"/>
    <w:rsid w:val="007749EE"/>
    <w:rsid w:val="00774B0F"/>
    <w:rsid w:val="00774BF5"/>
    <w:rsid w:val="00774C81"/>
    <w:rsid w:val="00774D75"/>
    <w:rsid w:val="00774D87"/>
    <w:rsid w:val="00774F54"/>
    <w:rsid w:val="00774FBA"/>
    <w:rsid w:val="00774FF9"/>
    <w:rsid w:val="0077514E"/>
    <w:rsid w:val="007751F2"/>
    <w:rsid w:val="007752FD"/>
    <w:rsid w:val="0077542A"/>
    <w:rsid w:val="0077548B"/>
    <w:rsid w:val="0077549C"/>
    <w:rsid w:val="007755D6"/>
    <w:rsid w:val="00775697"/>
    <w:rsid w:val="0077570F"/>
    <w:rsid w:val="00775AE9"/>
    <w:rsid w:val="00775B1B"/>
    <w:rsid w:val="00775BF9"/>
    <w:rsid w:val="00775D4B"/>
    <w:rsid w:val="00775DD3"/>
    <w:rsid w:val="0077621F"/>
    <w:rsid w:val="00776605"/>
    <w:rsid w:val="0077661A"/>
    <w:rsid w:val="0077665A"/>
    <w:rsid w:val="0077680E"/>
    <w:rsid w:val="007768DB"/>
    <w:rsid w:val="00776931"/>
    <w:rsid w:val="0077696F"/>
    <w:rsid w:val="00776A0D"/>
    <w:rsid w:val="00776A78"/>
    <w:rsid w:val="00776B14"/>
    <w:rsid w:val="00776C67"/>
    <w:rsid w:val="00776CCE"/>
    <w:rsid w:val="00776FCF"/>
    <w:rsid w:val="0077703A"/>
    <w:rsid w:val="00777103"/>
    <w:rsid w:val="00777149"/>
    <w:rsid w:val="00777430"/>
    <w:rsid w:val="00777447"/>
    <w:rsid w:val="00777516"/>
    <w:rsid w:val="007775AC"/>
    <w:rsid w:val="0077772B"/>
    <w:rsid w:val="0077780D"/>
    <w:rsid w:val="0077782D"/>
    <w:rsid w:val="007778B7"/>
    <w:rsid w:val="00777A99"/>
    <w:rsid w:val="00777CAD"/>
    <w:rsid w:val="00777E3B"/>
    <w:rsid w:val="00777F6D"/>
    <w:rsid w:val="0078000E"/>
    <w:rsid w:val="007800A1"/>
    <w:rsid w:val="007800D4"/>
    <w:rsid w:val="007800F4"/>
    <w:rsid w:val="00780613"/>
    <w:rsid w:val="00780646"/>
    <w:rsid w:val="007806D3"/>
    <w:rsid w:val="00780704"/>
    <w:rsid w:val="007809EA"/>
    <w:rsid w:val="00780A7A"/>
    <w:rsid w:val="00780BCD"/>
    <w:rsid w:val="00780C03"/>
    <w:rsid w:val="00780C47"/>
    <w:rsid w:val="00780C65"/>
    <w:rsid w:val="00780E41"/>
    <w:rsid w:val="00780F47"/>
    <w:rsid w:val="00780F69"/>
    <w:rsid w:val="00781099"/>
    <w:rsid w:val="007810BA"/>
    <w:rsid w:val="007810F1"/>
    <w:rsid w:val="00781273"/>
    <w:rsid w:val="007812BF"/>
    <w:rsid w:val="007813B4"/>
    <w:rsid w:val="00781513"/>
    <w:rsid w:val="00781547"/>
    <w:rsid w:val="00781584"/>
    <w:rsid w:val="007816AE"/>
    <w:rsid w:val="007817E3"/>
    <w:rsid w:val="0078183E"/>
    <w:rsid w:val="00781932"/>
    <w:rsid w:val="00781988"/>
    <w:rsid w:val="00781ACF"/>
    <w:rsid w:val="00781AFD"/>
    <w:rsid w:val="00781B5D"/>
    <w:rsid w:val="00781C0F"/>
    <w:rsid w:val="00781C86"/>
    <w:rsid w:val="00781CB7"/>
    <w:rsid w:val="00781D72"/>
    <w:rsid w:val="00781E18"/>
    <w:rsid w:val="0078207C"/>
    <w:rsid w:val="007820C8"/>
    <w:rsid w:val="00782101"/>
    <w:rsid w:val="00782113"/>
    <w:rsid w:val="00782132"/>
    <w:rsid w:val="0078218F"/>
    <w:rsid w:val="0078219C"/>
    <w:rsid w:val="007822E6"/>
    <w:rsid w:val="00782446"/>
    <w:rsid w:val="0078247F"/>
    <w:rsid w:val="00782579"/>
    <w:rsid w:val="00782795"/>
    <w:rsid w:val="007827B1"/>
    <w:rsid w:val="00782835"/>
    <w:rsid w:val="00782C96"/>
    <w:rsid w:val="00782D11"/>
    <w:rsid w:val="00782E6B"/>
    <w:rsid w:val="00782EFC"/>
    <w:rsid w:val="00783196"/>
    <w:rsid w:val="007833C0"/>
    <w:rsid w:val="007835BF"/>
    <w:rsid w:val="007835F9"/>
    <w:rsid w:val="007837DA"/>
    <w:rsid w:val="007838D8"/>
    <w:rsid w:val="00783908"/>
    <w:rsid w:val="007840E7"/>
    <w:rsid w:val="00784101"/>
    <w:rsid w:val="00784190"/>
    <w:rsid w:val="007842D9"/>
    <w:rsid w:val="007843A7"/>
    <w:rsid w:val="00784509"/>
    <w:rsid w:val="00784621"/>
    <w:rsid w:val="0078463B"/>
    <w:rsid w:val="007848F9"/>
    <w:rsid w:val="0078491D"/>
    <w:rsid w:val="0078494E"/>
    <w:rsid w:val="00784BAA"/>
    <w:rsid w:val="00784C06"/>
    <w:rsid w:val="00784C31"/>
    <w:rsid w:val="00784D7E"/>
    <w:rsid w:val="00784D84"/>
    <w:rsid w:val="00784E3A"/>
    <w:rsid w:val="00784F64"/>
    <w:rsid w:val="0078501C"/>
    <w:rsid w:val="00785132"/>
    <w:rsid w:val="00785141"/>
    <w:rsid w:val="007852CD"/>
    <w:rsid w:val="00785351"/>
    <w:rsid w:val="007856AD"/>
    <w:rsid w:val="0078572D"/>
    <w:rsid w:val="00785861"/>
    <w:rsid w:val="00785905"/>
    <w:rsid w:val="00785959"/>
    <w:rsid w:val="007859F7"/>
    <w:rsid w:val="00785A15"/>
    <w:rsid w:val="00785AD0"/>
    <w:rsid w:val="00785C1F"/>
    <w:rsid w:val="00785C5B"/>
    <w:rsid w:val="00785D8B"/>
    <w:rsid w:val="00785DF3"/>
    <w:rsid w:val="00785ECE"/>
    <w:rsid w:val="00785F3C"/>
    <w:rsid w:val="00785F48"/>
    <w:rsid w:val="00785F90"/>
    <w:rsid w:val="0078615F"/>
    <w:rsid w:val="00786385"/>
    <w:rsid w:val="0078674D"/>
    <w:rsid w:val="00786801"/>
    <w:rsid w:val="0078684F"/>
    <w:rsid w:val="00786881"/>
    <w:rsid w:val="00786919"/>
    <w:rsid w:val="0078695F"/>
    <w:rsid w:val="007869A0"/>
    <w:rsid w:val="00786AA4"/>
    <w:rsid w:val="00786AD8"/>
    <w:rsid w:val="00786C21"/>
    <w:rsid w:val="00786E05"/>
    <w:rsid w:val="00786ECA"/>
    <w:rsid w:val="00786F83"/>
    <w:rsid w:val="00787083"/>
    <w:rsid w:val="007871BD"/>
    <w:rsid w:val="00787203"/>
    <w:rsid w:val="007874D8"/>
    <w:rsid w:val="0078751B"/>
    <w:rsid w:val="007875FF"/>
    <w:rsid w:val="007876A6"/>
    <w:rsid w:val="00787947"/>
    <w:rsid w:val="00787964"/>
    <w:rsid w:val="007879D8"/>
    <w:rsid w:val="00787D72"/>
    <w:rsid w:val="00790031"/>
    <w:rsid w:val="00790165"/>
    <w:rsid w:val="007901AE"/>
    <w:rsid w:val="00790323"/>
    <w:rsid w:val="00790385"/>
    <w:rsid w:val="00790433"/>
    <w:rsid w:val="0079057C"/>
    <w:rsid w:val="00790648"/>
    <w:rsid w:val="00790677"/>
    <w:rsid w:val="00790807"/>
    <w:rsid w:val="0079090F"/>
    <w:rsid w:val="007909CB"/>
    <w:rsid w:val="00790D77"/>
    <w:rsid w:val="00791018"/>
    <w:rsid w:val="0079101C"/>
    <w:rsid w:val="0079102B"/>
    <w:rsid w:val="00791163"/>
    <w:rsid w:val="007912DA"/>
    <w:rsid w:val="00791586"/>
    <w:rsid w:val="00791944"/>
    <w:rsid w:val="007919D2"/>
    <w:rsid w:val="00791A49"/>
    <w:rsid w:val="00791AAA"/>
    <w:rsid w:val="00791B42"/>
    <w:rsid w:val="00791B67"/>
    <w:rsid w:val="00791C1F"/>
    <w:rsid w:val="007924D9"/>
    <w:rsid w:val="0079255D"/>
    <w:rsid w:val="00792594"/>
    <w:rsid w:val="007925A2"/>
    <w:rsid w:val="00792636"/>
    <w:rsid w:val="0079268C"/>
    <w:rsid w:val="0079284A"/>
    <w:rsid w:val="00792995"/>
    <w:rsid w:val="00792BB1"/>
    <w:rsid w:val="00792C6B"/>
    <w:rsid w:val="00792DD8"/>
    <w:rsid w:val="00792E4D"/>
    <w:rsid w:val="00793043"/>
    <w:rsid w:val="00793078"/>
    <w:rsid w:val="007931C7"/>
    <w:rsid w:val="007933AA"/>
    <w:rsid w:val="007933D6"/>
    <w:rsid w:val="00793419"/>
    <w:rsid w:val="00793574"/>
    <w:rsid w:val="00793697"/>
    <w:rsid w:val="00793931"/>
    <w:rsid w:val="007939DF"/>
    <w:rsid w:val="00793AE4"/>
    <w:rsid w:val="00793C33"/>
    <w:rsid w:val="00793CD6"/>
    <w:rsid w:val="007940A2"/>
    <w:rsid w:val="00794153"/>
    <w:rsid w:val="007942D5"/>
    <w:rsid w:val="0079450B"/>
    <w:rsid w:val="007945B3"/>
    <w:rsid w:val="0079460A"/>
    <w:rsid w:val="00794711"/>
    <w:rsid w:val="00794821"/>
    <w:rsid w:val="00794B64"/>
    <w:rsid w:val="00794C46"/>
    <w:rsid w:val="00794D74"/>
    <w:rsid w:val="00794E30"/>
    <w:rsid w:val="00794E37"/>
    <w:rsid w:val="00794EE5"/>
    <w:rsid w:val="00794F11"/>
    <w:rsid w:val="00794F97"/>
    <w:rsid w:val="00795152"/>
    <w:rsid w:val="0079520D"/>
    <w:rsid w:val="00795424"/>
    <w:rsid w:val="007954F4"/>
    <w:rsid w:val="007955AB"/>
    <w:rsid w:val="007955C1"/>
    <w:rsid w:val="00795782"/>
    <w:rsid w:val="007957A1"/>
    <w:rsid w:val="00795839"/>
    <w:rsid w:val="0079585C"/>
    <w:rsid w:val="007958D2"/>
    <w:rsid w:val="007958F4"/>
    <w:rsid w:val="00795ADC"/>
    <w:rsid w:val="00795D47"/>
    <w:rsid w:val="00795EAF"/>
    <w:rsid w:val="00795F8E"/>
    <w:rsid w:val="0079609E"/>
    <w:rsid w:val="00796112"/>
    <w:rsid w:val="007964B6"/>
    <w:rsid w:val="00796683"/>
    <w:rsid w:val="00796697"/>
    <w:rsid w:val="00796816"/>
    <w:rsid w:val="0079682A"/>
    <w:rsid w:val="007968C7"/>
    <w:rsid w:val="00796AFE"/>
    <w:rsid w:val="00796D68"/>
    <w:rsid w:val="00796D81"/>
    <w:rsid w:val="00796FEB"/>
    <w:rsid w:val="0079706C"/>
    <w:rsid w:val="00797152"/>
    <w:rsid w:val="007973F3"/>
    <w:rsid w:val="00797447"/>
    <w:rsid w:val="00797546"/>
    <w:rsid w:val="007975EE"/>
    <w:rsid w:val="00797786"/>
    <w:rsid w:val="00797797"/>
    <w:rsid w:val="0079788B"/>
    <w:rsid w:val="0079791E"/>
    <w:rsid w:val="0079793C"/>
    <w:rsid w:val="00797DD4"/>
    <w:rsid w:val="007A00B7"/>
    <w:rsid w:val="007A015E"/>
    <w:rsid w:val="007A0181"/>
    <w:rsid w:val="007A0259"/>
    <w:rsid w:val="007A02A1"/>
    <w:rsid w:val="007A02BA"/>
    <w:rsid w:val="007A0338"/>
    <w:rsid w:val="007A05D1"/>
    <w:rsid w:val="007A072E"/>
    <w:rsid w:val="007A085D"/>
    <w:rsid w:val="007A0A90"/>
    <w:rsid w:val="007A0AF1"/>
    <w:rsid w:val="007A0BE5"/>
    <w:rsid w:val="007A0F57"/>
    <w:rsid w:val="007A1380"/>
    <w:rsid w:val="007A13AD"/>
    <w:rsid w:val="007A13EF"/>
    <w:rsid w:val="007A13F0"/>
    <w:rsid w:val="007A1470"/>
    <w:rsid w:val="007A14EF"/>
    <w:rsid w:val="007A15F7"/>
    <w:rsid w:val="007A1690"/>
    <w:rsid w:val="007A17C8"/>
    <w:rsid w:val="007A18FF"/>
    <w:rsid w:val="007A192C"/>
    <w:rsid w:val="007A1984"/>
    <w:rsid w:val="007A19D6"/>
    <w:rsid w:val="007A1B24"/>
    <w:rsid w:val="007A1E23"/>
    <w:rsid w:val="007A1F2E"/>
    <w:rsid w:val="007A20E0"/>
    <w:rsid w:val="007A217E"/>
    <w:rsid w:val="007A24DD"/>
    <w:rsid w:val="007A2503"/>
    <w:rsid w:val="007A28AE"/>
    <w:rsid w:val="007A29B4"/>
    <w:rsid w:val="007A29E5"/>
    <w:rsid w:val="007A2C62"/>
    <w:rsid w:val="007A2E9E"/>
    <w:rsid w:val="007A2F25"/>
    <w:rsid w:val="007A3188"/>
    <w:rsid w:val="007A3323"/>
    <w:rsid w:val="007A33CD"/>
    <w:rsid w:val="007A349F"/>
    <w:rsid w:val="007A3512"/>
    <w:rsid w:val="007A358D"/>
    <w:rsid w:val="007A3674"/>
    <w:rsid w:val="007A3777"/>
    <w:rsid w:val="007A3851"/>
    <w:rsid w:val="007A3912"/>
    <w:rsid w:val="007A3929"/>
    <w:rsid w:val="007A3B85"/>
    <w:rsid w:val="007A3C3B"/>
    <w:rsid w:val="007A3D09"/>
    <w:rsid w:val="007A3E1E"/>
    <w:rsid w:val="007A3E42"/>
    <w:rsid w:val="007A3EEE"/>
    <w:rsid w:val="007A3FD5"/>
    <w:rsid w:val="007A43BE"/>
    <w:rsid w:val="007A4534"/>
    <w:rsid w:val="007A45DE"/>
    <w:rsid w:val="007A4613"/>
    <w:rsid w:val="007A4ACA"/>
    <w:rsid w:val="007A4D98"/>
    <w:rsid w:val="007A4E3A"/>
    <w:rsid w:val="007A4E6A"/>
    <w:rsid w:val="007A50BE"/>
    <w:rsid w:val="007A5245"/>
    <w:rsid w:val="007A544F"/>
    <w:rsid w:val="007A56DE"/>
    <w:rsid w:val="007A581C"/>
    <w:rsid w:val="007A5876"/>
    <w:rsid w:val="007A587D"/>
    <w:rsid w:val="007A5A7B"/>
    <w:rsid w:val="007A5AD3"/>
    <w:rsid w:val="007A5C89"/>
    <w:rsid w:val="007A6016"/>
    <w:rsid w:val="007A602C"/>
    <w:rsid w:val="007A6088"/>
    <w:rsid w:val="007A6203"/>
    <w:rsid w:val="007A6228"/>
    <w:rsid w:val="007A627E"/>
    <w:rsid w:val="007A63E8"/>
    <w:rsid w:val="007A652E"/>
    <w:rsid w:val="007A66BD"/>
    <w:rsid w:val="007A66D4"/>
    <w:rsid w:val="007A6765"/>
    <w:rsid w:val="007A6851"/>
    <w:rsid w:val="007A690C"/>
    <w:rsid w:val="007A6B76"/>
    <w:rsid w:val="007A6BC0"/>
    <w:rsid w:val="007A6C7A"/>
    <w:rsid w:val="007A6E83"/>
    <w:rsid w:val="007A7028"/>
    <w:rsid w:val="007A7029"/>
    <w:rsid w:val="007A76D6"/>
    <w:rsid w:val="007A7707"/>
    <w:rsid w:val="007A7755"/>
    <w:rsid w:val="007A78BF"/>
    <w:rsid w:val="007A7939"/>
    <w:rsid w:val="007A79EC"/>
    <w:rsid w:val="007A79F4"/>
    <w:rsid w:val="007A7A19"/>
    <w:rsid w:val="007A7B1F"/>
    <w:rsid w:val="007A7B81"/>
    <w:rsid w:val="007A7C95"/>
    <w:rsid w:val="007A7E4D"/>
    <w:rsid w:val="007A7E6A"/>
    <w:rsid w:val="007A7EAC"/>
    <w:rsid w:val="007A7F78"/>
    <w:rsid w:val="007B0071"/>
    <w:rsid w:val="007B01DD"/>
    <w:rsid w:val="007B03B5"/>
    <w:rsid w:val="007B041B"/>
    <w:rsid w:val="007B0439"/>
    <w:rsid w:val="007B0571"/>
    <w:rsid w:val="007B05AE"/>
    <w:rsid w:val="007B05C4"/>
    <w:rsid w:val="007B0622"/>
    <w:rsid w:val="007B0642"/>
    <w:rsid w:val="007B0722"/>
    <w:rsid w:val="007B0B3C"/>
    <w:rsid w:val="007B0C8E"/>
    <w:rsid w:val="007B0E23"/>
    <w:rsid w:val="007B0EA9"/>
    <w:rsid w:val="007B0FC6"/>
    <w:rsid w:val="007B100B"/>
    <w:rsid w:val="007B1033"/>
    <w:rsid w:val="007B11CB"/>
    <w:rsid w:val="007B1234"/>
    <w:rsid w:val="007B1338"/>
    <w:rsid w:val="007B1358"/>
    <w:rsid w:val="007B1497"/>
    <w:rsid w:val="007B1535"/>
    <w:rsid w:val="007B1695"/>
    <w:rsid w:val="007B19EB"/>
    <w:rsid w:val="007B1BD9"/>
    <w:rsid w:val="007B1DE0"/>
    <w:rsid w:val="007B1E23"/>
    <w:rsid w:val="007B1FBD"/>
    <w:rsid w:val="007B207F"/>
    <w:rsid w:val="007B2299"/>
    <w:rsid w:val="007B2342"/>
    <w:rsid w:val="007B2353"/>
    <w:rsid w:val="007B2412"/>
    <w:rsid w:val="007B24BD"/>
    <w:rsid w:val="007B251B"/>
    <w:rsid w:val="007B2775"/>
    <w:rsid w:val="007B2895"/>
    <w:rsid w:val="007B28E2"/>
    <w:rsid w:val="007B2966"/>
    <w:rsid w:val="007B2A0C"/>
    <w:rsid w:val="007B2AA3"/>
    <w:rsid w:val="007B2AC9"/>
    <w:rsid w:val="007B2B2C"/>
    <w:rsid w:val="007B2B4F"/>
    <w:rsid w:val="007B2DD0"/>
    <w:rsid w:val="007B2FB7"/>
    <w:rsid w:val="007B2FC2"/>
    <w:rsid w:val="007B2FE6"/>
    <w:rsid w:val="007B376F"/>
    <w:rsid w:val="007B3841"/>
    <w:rsid w:val="007B3C26"/>
    <w:rsid w:val="007B3C46"/>
    <w:rsid w:val="007B3D7C"/>
    <w:rsid w:val="007B3E35"/>
    <w:rsid w:val="007B3F7F"/>
    <w:rsid w:val="007B406F"/>
    <w:rsid w:val="007B425A"/>
    <w:rsid w:val="007B4465"/>
    <w:rsid w:val="007B459C"/>
    <w:rsid w:val="007B45CE"/>
    <w:rsid w:val="007B466F"/>
    <w:rsid w:val="007B46A8"/>
    <w:rsid w:val="007B4863"/>
    <w:rsid w:val="007B4973"/>
    <w:rsid w:val="007B4B7C"/>
    <w:rsid w:val="007B4B99"/>
    <w:rsid w:val="007B4B9B"/>
    <w:rsid w:val="007B4BB7"/>
    <w:rsid w:val="007B4D7E"/>
    <w:rsid w:val="007B4EF2"/>
    <w:rsid w:val="007B4FFA"/>
    <w:rsid w:val="007B50EA"/>
    <w:rsid w:val="007B52C6"/>
    <w:rsid w:val="007B52F3"/>
    <w:rsid w:val="007B57D1"/>
    <w:rsid w:val="007B57FC"/>
    <w:rsid w:val="007B591A"/>
    <w:rsid w:val="007B5B6E"/>
    <w:rsid w:val="007B5C20"/>
    <w:rsid w:val="007B5C52"/>
    <w:rsid w:val="007B5F87"/>
    <w:rsid w:val="007B61DB"/>
    <w:rsid w:val="007B6214"/>
    <w:rsid w:val="007B625C"/>
    <w:rsid w:val="007B62E4"/>
    <w:rsid w:val="007B647A"/>
    <w:rsid w:val="007B65B7"/>
    <w:rsid w:val="007B68B0"/>
    <w:rsid w:val="007B6A99"/>
    <w:rsid w:val="007B6C6B"/>
    <w:rsid w:val="007B6C9A"/>
    <w:rsid w:val="007B6EBA"/>
    <w:rsid w:val="007B6EE0"/>
    <w:rsid w:val="007B70FD"/>
    <w:rsid w:val="007B7154"/>
    <w:rsid w:val="007B73A1"/>
    <w:rsid w:val="007B73ED"/>
    <w:rsid w:val="007B743D"/>
    <w:rsid w:val="007B74D3"/>
    <w:rsid w:val="007B754A"/>
    <w:rsid w:val="007B75CC"/>
    <w:rsid w:val="007B7704"/>
    <w:rsid w:val="007B773D"/>
    <w:rsid w:val="007B782C"/>
    <w:rsid w:val="007B789E"/>
    <w:rsid w:val="007B7AFE"/>
    <w:rsid w:val="007B7DA3"/>
    <w:rsid w:val="007C01C2"/>
    <w:rsid w:val="007C021F"/>
    <w:rsid w:val="007C03A3"/>
    <w:rsid w:val="007C05A0"/>
    <w:rsid w:val="007C06DE"/>
    <w:rsid w:val="007C0705"/>
    <w:rsid w:val="007C074D"/>
    <w:rsid w:val="007C088C"/>
    <w:rsid w:val="007C08BF"/>
    <w:rsid w:val="007C0B38"/>
    <w:rsid w:val="007C0C4C"/>
    <w:rsid w:val="007C0C9F"/>
    <w:rsid w:val="007C0D33"/>
    <w:rsid w:val="007C0DAB"/>
    <w:rsid w:val="007C0EC4"/>
    <w:rsid w:val="007C12FA"/>
    <w:rsid w:val="007C13E0"/>
    <w:rsid w:val="007C146D"/>
    <w:rsid w:val="007C1604"/>
    <w:rsid w:val="007C1681"/>
    <w:rsid w:val="007C16D8"/>
    <w:rsid w:val="007C1703"/>
    <w:rsid w:val="007C174E"/>
    <w:rsid w:val="007C17D7"/>
    <w:rsid w:val="007C18D7"/>
    <w:rsid w:val="007C196B"/>
    <w:rsid w:val="007C1A20"/>
    <w:rsid w:val="007C1C65"/>
    <w:rsid w:val="007C1C87"/>
    <w:rsid w:val="007C1D71"/>
    <w:rsid w:val="007C1DE9"/>
    <w:rsid w:val="007C1F0D"/>
    <w:rsid w:val="007C200E"/>
    <w:rsid w:val="007C2277"/>
    <w:rsid w:val="007C2383"/>
    <w:rsid w:val="007C254F"/>
    <w:rsid w:val="007C2577"/>
    <w:rsid w:val="007C25E0"/>
    <w:rsid w:val="007C2660"/>
    <w:rsid w:val="007C27EC"/>
    <w:rsid w:val="007C2AF2"/>
    <w:rsid w:val="007C2BAF"/>
    <w:rsid w:val="007C2D23"/>
    <w:rsid w:val="007C2DB1"/>
    <w:rsid w:val="007C2DD1"/>
    <w:rsid w:val="007C2DD8"/>
    <w:rsid w:val="007C2E31"/>
    <w:rsid w:val="007C2EB3"/>
    <w:rsid w:val="007C313E"/>
    <w:rsid w:val="007C32F3"/>
    <w:rsid w:val="007C32FD"/>
    <w:rsid w:val="007C343C"/>
    <w:rsid w:val="007C3518"/>
    <w:rsid w:val="007C3606"/>
    <w:rsid w:val="007C3820"/>
    <w:rsid w:val="007C38B6"/>
    <w:rsid w:val="007C3A76"/>
    <w:rsid w:val="007C3D81"/>
    <w:rsid w:val="007C3DAB"/>
    <w:rsid w:val="007C3E33"/>
    <w:rsid w:val="007C3E8A"/>
    <w:rsid w:val="007C4240"/>
    <w:rsid w:val="007C4281"/>
    <w:rsid w:val="007C42BC"/>
    <w:rsid w:val="007C4361"/>
    <w:rsid w:val="007C4524"/>
    <w:rsid w:val="007C4599"/>
    <w:rsid w:val="007C46B1"/>
    <w:rsid w:val="007C48D6"/>
    <w:rsid w:val="007C49D1"/>
    <w:rsid w:val="007C4ADB"/>
    <w:rsid w:val="007C4BBF"/>
    <w:rsid w:val="007C4D3C"/>
    <w:rsid w:val="007C4F31"/>
    <w:rsid w:val="007C506F"/>
    <w:rsid w:val="007C50A0"/>
    <w:rsid w:val="007C5184"/>
    <w:rsid w:val="007C51D6"/>
    <w:rsid w:val="007C54FB"/>
    <w:rsid w:val="007C563C"/>
    <w:rsid w:val="007C5642"/>
    <w:rsid w:val="007C569D"/>
    <w:rsid w:val="007C57F6"/>
    <w:rsid w:val="007C5947"/>
    <w:rsid w:val="007C5AD5"/>
    <w:rsid w:val="007C5BA8"/>
    <w:rsid w:val="007C5C03"/>
    <w:rsid w:val="007C5C2A"/>
    <w:rsid w:val="007C5D8C"/>
    <w:rsid w:val="007C5EBE"/>
    <w:rsid w:val="007C6014"/>
    <w:rsid w:val="007C6455"/>
    <w:rsid w:val="007C65D5"/>
    <w:rsid w:val="007C6AB4"/>
    <w:rsid w:val="007C6B80"/>
    <w:rsid w:val="007C6BAB"/>
    <w:rsid w:val="007C6D5D"/>
    <w:rsid w:val="007C6D74"/>
    <w:rsid w:val="007C6F4B"/>
    <w:rsid w:val="007C7168"/>
    <w:rsid w:val="007C79E6"/>
    <w:rsid w:val="007C7A15"/>
    <w:rsid w:val="007C7CA0"/>
    <w:rsid w:val="007C7CDA"/>
    <w:rsid w:val="007D014C"/>
    <w:rsid w:val="007D03FB"/>
    <w:rsid w:val="007D040F"/>
    <w:rsid w:val="007D05D4"/>
    <w:rsid w:val="007D07E6"/>
    <w:rsid w:val="007D090D"/>
    <w:rsid w:val="007D09FD"/>
    <w:rsid w:val="007D0B1A"/>
    <w:rsid w:val="007D0B1C"/>
    <w:rsid w:val="007D0B79"/>
    <w:rsid w:val="007D0F5A"/>
    <w:rsid w:val="007D104B"/>
    <w:rsid w:val="007D1087"/>
    <w:rsid w:val="007D114A"/>
    <w:rsid w:val="007D11B6"/>
    <w:rsid w:val="007D11C9"/>
    <w:rsid w:val="007D12D9"/>
    <w:rsid w:val="007D13CF"/>
    <w:rsid w:val="007D13D3"/>
    <w:rsid w:val="007D1474"/>
    <w:rsid w:val="007D147A"/>
    <w:rsid w:val="007D1643"/>
    <w:rsid w:val="007D18DA"/>
    <w:rsid w:val="007D1ADD"/>
    <w:rsid w:val="007D1C69"/>
    <w:rsid w:val="007D21EB"/>
    <w:rsid w:val="007D223A"/>
    <w:rsid w:val="007D227E"/>
    <w:rsid w:val="007D2393"/>
    <w:rsid w:val="007D24DD"/>
    <w:rsid w:val="007D264E"/>
    <w:rsid w:val="007D277B"/>
    <w:rsid w:val="007D283D"/>
    <w:rsid w:val="007D28DA"/>
    <w:rsid w:val="007D28E8"/>
    <w:rsid w:val="007D2A23"/>
    <w:rsid w:val="007D2BE5"/>
    <w:rsid w:val="007D2C23"/>
    <w:rsid w:val="007D2DBC"/>
    <w:rsid w:val="007D2DCB"/>
    <w:rsid w:val="007D2E12"/>
    <w:rsid w:val="007D2E1B"/>
    <w:rsid w:val="007D2EBD"/>
    <w:rsid w:val="007D2F0A"/>
    <w:rsid w:val="007D2F3B"/>
    <w:rsid w:val="007D2F8D"/>
    <w:rsid w:val="007D3104"/>
    <w:rsid w:val="007D31F7"/>
    <w:rsid w:val="007D333A"/>
    <w:rsid w:val="007D35B7"/>
    <w:rsid w:val="007D3660"/>
    <w:rsid w:val="007D3850"/>
    <w:rsid w:val="007D3B5F"/>
    <w:rsid w:val="007D4022"/>
    <w:rsid w:val="007D42F8"/>
    <w:rsid w:val="007D4437"/>
    <w:rsid w:val="007D4485"/>
    <w:rsid w:val="007D44D4"/>
    <w:rsid w:val="007D4582"/>
    <w:rsid w:val="007D45F3"/>
    <w:rsid w:val="007D4812"/>
    <w:rsid w:val="007D4854"/>
    <w:rsid w:val="007D4AFB"/>
    <w:rsid w:val="007D4B17"/>
    <w:rsid w:val="007D4BCE"/>
    <w:rsid w:val="007D4C18"/>
    <w:rsid w:val="007D4CCC"/>
    <w:rsid w:val="007D4D63"/>
    <w:rsid w:val="007D4E0B"/>
    <w:rsid w:val="007D4E7B"/>
    <w:rsid w:val="007D4F5A"/>
    <w:rsid w:val="007D4FF2"/>
    <w:rsid w:val="007D50AD"/>
    <w:rsid w:val="007D517F"/>
    <w:rsid w:val="007D51F1"/>
    <w:rsid w:val="007D535D"/>
    <w:rsid w:val="007D5621"/>
    <w:rsid w:val="007D56B7"/>
    <w:rsid w:val="007D56D4"/>
    <w:rsid w:val="007D56DA"/>
    <w:rsid w:val="007D5726"/>
    <w:rsid w:val="007D573D"/>
    <w:rsid w:val="007D59F0"/>
    <w:rsid w:val="007D5B2C"/>
    <w:rsid w:val="007D5B67"/>
    <w:rsid w:val="007D5C66"/>
    <w:rsid w:val="007D5DE7"/>
    <w:rsid w:val="007D5E06"/>
    <w:rsid w:val="007D5F07"/>
    <w:rsid w:val="007D5FD9"/>
    <w:rsid w:val="007D6038"/>
    <w:rsid w:val="007D61EF"/>
    <w:rsid w:val="007D626C"/>
    <w:rsid w:val="007D6376"/>
    <w:rsid w:val="007D63C0"/>
    <w:rsid w:val="007D69C4"/>
    <w:rsid w:val="007D6B26"/>
    <w:rsid w:val="007D6F4B"/>
    <w:rsid w:val="007D6FEE"/>
    <w:rsid w:val="007D7122"/>
    <w:rsid w:val="007D740A"/>
    <w:rsid w:val="007D7440"/>
    <w:rsid w:val="007D747B"/>
    <w:rsid w:val="007D74C3"/>
    <w:rsid w:val="007D76B8"/>
    <w:rsid w:val="007D79C3"/>
    <w:rsid w:val="007D7A08"/>
    <w:rsid w:val="007D7A24"/>
    <w:rsid w:val="007D7B1C"/>
    <w:rsid w:val="007D7B4A"/>
    <w:rsid w:val="007D7BFF"/>
    <w:rsid w:val="007D7CDB"/>
    <w:rsid w:val="007D7E74"/>
    <w:rsid w:val="007D7FA0"/>
    <w:rsid w:val="007E0035"/>
    <w:rsid w:val="007E00C1"/>
    <w:rsid w:val="007E016D"/>
    <w:rsid w:val="007E0333"/>
    <w:rsid w:val="007E04A6"/>
    <w:rsid w:val="007E04BF"/>
    <w:rsid w:val="007E04EB"/>
    <w:rsid w:val="007E0866"/>
    <w:rsid w:val="007E08BF"/>
    <w:rsid w:val="007E0A81"/>
    <w:rsid w:val="007E0AC1"/>
    <w:rsid w:val="007E0B8C"/>
    <w:rsid w:val="007E0E66"/>
    <w:rsid w:val="007E0F15"/>
    <w:rsid w:val="007E0F6C"/>
    <w:rsid w:val="007E0F75"/>
    <w:rsid w:val="007E11B6"/>
    <w:rsid w:val="007E11F7"/>
    <w:rsid w:val="007E1226"/>
    <w:rsid w:val="007E1330"/>
    <w:rsid w:val="007E1383"/>
    <w:rsid w:val="007E13CC"/>
    <w:rsid w:val="007E14CA"/>
    <w:rsid w:val="007E1821"/>
    <w:rsid w:val="007E1C71"/>
    <w:rsid w:val="007E1D9F"/>
    <w:rsid w:val="007E1DA8"/>
    <w:rsid w:val="007E1FB8"/>
    <w:rsid w:val="007E2192"/>
    <w:rsid w:val="007E22A5"/>
    <w:rsid w:val="007E22CD"/>
    <w:rsid w:val="007E2327"/>
    <w:rsid w:val="007E2350"/>
    <w:rsid w:val="007E24A1"/>
    <w:rsid w:val="007E24E9"/>
    <w:rsid w:val="007E24F5"/>
    <w:rsid w:val="007E254D"/>
    <w:rsid w:val="007E256A"/>
    <w:rsid w:val="007E27B1"/>
    <w:rsid w:val="007E282A"/>
    <w:rsid w:val="007E2B8C"/>
    <w:rsid w:val="007E2BD4"/>
    <w:rsid w:val="007E2D34"/>
    <w:rsid w:val="007E2E5E"/>
    <w:rsid w:val="007E309A"/>
    <w:rsid w:val="007E3146"/>
    <w:rsid w:val="007E31F3"/>
    <w:rsid w:val="007E3222"/>
    <w:rsid w:val="007E32AF"/>
    <w:rsid w:val="007E33AA"/>
    <w:rsid w:val="007E3463"/>
    <w:rsid w:val="007E34BB"/>
    <w:rsid w:val="007E3506"/>
    <w:rsid w:val="007E37B7"/>
    <w:rsid w:val="007E37BC"/>
    <w:rsid w:val="007E3917"/>
    <w:rsid w:val="007E3983"/>
    <w:rsid w:val="007E3AA4"/>
    <w:rsid w:val="007E3C30"/>
    <w:rsid w:val="007E3DCA"/>
    <w:rsid w:val="007E3E13"/>
    <w:rsid w:val="007E3E79"/>
    <w:rsid w:val="007E4034"/>
    <w:rsid w:val="007E4155"/>
    <w:rsid w:val="007E416B"/>
    <w:rsid w:val="007E425C"/>
    <w:rsid w:val="007E42A4"/>
    <w:rsid w:val="007E42B0"/>
    <w:rsid w:val="007E451A"/>
    <w:rsid w:val="007E456E"/>
    <w:rsid w:val="007E4594"/>
    <w:rsid w:val="007E466D"/>
    <w:rsid w:val="007E46FE"/>
    <w:rsid w:val="007E496B"/>
    <w:rsid w:val="007E4A42"/>
    <w:rsid w:val="007E4B52"/>
    <w:rsid w:val="007E4BA3"/>
    <w:rsid w:val="007E4BBB"/>
    <w:rsid w:val="007E4BE8"/>
    <w:rsid w:val="007E4FAF"/>
    <w:rsid w:val="007E524F"/>
    <w:rsid w:val="007E526E"/>
    <w:rsid w:val="007E530F"/>
    <w:rsid w:val="007E53DF"/>
    <w:rsid w:val="007E5436"/>
    <w:rsid w:val="007E54BF"/>
    <w:rsid w:val="007E56D4"/>
    <w:rsid w:val="007E5742"/>
    <w:rsid w:val="007E588E"/>
    <w:rsid w:val="007E5B6B"/>
    <w:rsid w:val="007E5C01"/>
    <w:rsid w:val="007E5C17"/>
    <w:rsid w:val="007E5D93"/>
    <w:rsid w:val="007E5ED0"/>
    <w:rsid w:val="007E5FA9"/>
    <w:rsid w:val="007E6002"/>
    <w:rsid w:val="007E60F6"/>
    <w:rsid w:val="007E6102"/>
    <w:rsid w:val="007E619A"/>
    <w:rsid w:val="007E61DF"/>
    <w:rsid w:val="007E61FE"/>
    <w:rsid w:val="007E6392"/>
    <w:rsid w:val="007E63BF"/>
    <w:rsid w:val="007E6579"/>
    <w:rsid w:val="007E678A"/>
    <w:rsid w:val="007E6895"/>
    <w:rsid w:val="007E6A04"/>
    <w:rsid w:val="007E6A17"/>
    <w:rsid w:val="007E6B7D"/>
    <w:rsid w:val="007E6B81"/>
    <w:rsid w:val="007E6BEB"/>
    <w:rsid w:val="007E6C71"/>
    <w:rsid w:val="007E6C75"/>
    <w:rsid w:val="007E6C92"/>
    <w:rsid w:val="007E6E25"/>
    <w:rsid w:val="007E6FA8"/>
    <w:rsid w:val="007E6FAA"/>
    <w:rsid w:val="007E71FD"/>
    <w:rsid w:val="007E7290"/>
    <w:rsid w:val="007E7370"/>
    <w:rsid w:val="007E740F"/>
    <w:rsid w:val="007E7500"/>
    <w:rsid w:val="007E76BE"/>
    <w:rsid w:val="007E77DF"/>
    <w:rsid w:val="007E7865"/>
    <w:rsid w:val="007E7926"/>
    <w:rsid w:val="007E7972"/>
    <w:rsid w:val="007E7C42"/>
    <w:rsid w:val="007E7D7E"/>
    <w:rsid w:val="007E7DDF"/>
    <w:rsid w:val="007E7F16"/>
    <w:rsid w:val="007F006F"/>
    <w:rsid w:val="007F00BD"/>
    <w:rsid w:val="007F01FD"/>
    <w:rsid w:val="007F02A6"/>
    <w:rsid w:val="007F02D6"/>
    <w:rsid w:val="007F02DF"/>
    <w:rsid w:val="007F035E"/>
    <w:rsid w:val="007F0404"/>
    <w:rsid w:val="007F054E"/>
    <w:rsid w:val="007F0619"/>
    <w:rsid w:val="007F0647"/>
    <w:rsid w:val="007F06EE"/>
    <w:rsid w:val="007F0771"/>
    <w:rsid w:val="007F0862"/>
    <w:rsid w:val="007F088F"/>
    <w:rsid w:val="007F098E"/>
    <w:rsid w:val="007F0B0D"/>
    <w:rsid w:val="007F0D03"/>
    <w:rsid w:val="007F0EB1"/>
    <w:rsid w:val="007F0EC9"/>
    <w:rsid w:val="007F0ED8"/>
    <w:rsid w:val="007F0F84"/>
    <w:rsid w:val="007F0F9F"/>
    <w:rsid w:val="007F0FCB"/>
    <w:rsid w:val="007F102F"/>
    <w:rsid w:val="007F10EF"/>
    <w:rsid w:val="007F144B"/>
    <w:rsid w:val="007F145C"/>
    <w:rsid w:val="007F148F"/>
    <w:rsid w:val="007F157E"/>
    <w:rsid w:val="007F1A1E"/>
    <w:rsid w:val="007F1A33"/>
    <w:rsid w:val="007F1B75"/>
    <w:rsid w:val="007F1C17"/>
    <w:rsid w:val="007F1C80"/>
    <w:rsid w:val="007F1CF2"/>
    <w:rsid w:val="007F1EC8"/>
    <w:rsid w:val="007F1F8F"/>
    <w:rsid w:val="007F2034"/>
    <w:rsid w:val="007F2187"/>
    <w:rsid w:val="007F2209"/>
    <w:rsid w:val="007F249D"/>
    <w:rsid w:val="007F25CE"/>
    <w:rsid w:val="007F26BD"/>
    <w:rsid w:val="007F26CE"/>
    <w:rsid w:val="007F27FE"/>
    <w:rsid w:val="007F2B92"/>
    <w:rsid w:val="007F2BA3"/>
    <w:rsid w:val="007F2C2C"/>
    <w:rsid w:val="007F2F34"/>
    <w:rsid w:val="007F2FA8"/>
    <w:rsid w:val="007F30BC"/>
    <w:rsid w:val="007F318D"/>
    <w:rsid w:val="007F3339"/>
    <w:rsid w:val="007F33DD"/>
    <w:rsid w:val="007F348A"/>
    <w:rsid w:val="007F349C"/>
    <w:rsid w:val="007F3535"/>
    <w:rsid w:val="007F3595"/>
    <w:rsid w:val="007F3749"/>
    <w:rsid w:val="007F386E"/>
    <w:rsid w:val="007F3D40"/>
    <w:rsid w:val="007F3D71"/>
    <w:rsid w:val="007F3DCD"/>
    <w:rsid w:val="007F3FE4"/>
    <w:rsid w:val="007F4198"/>
    <w:rsid w:val="007F42B9"/>
    <w:rsid w:val="007F4348"/>
    <w:rsid w:val="007F43F1"/>
    <w:rsid w:val="007F44CA"/>
    <w:rsid w:val="007F46BB"/>
    <w:rsid w:val="007F480A"/>
    <w:rsid w:val="007F4850"/>
    <w:rsid w:val="007F4D10"/>
    <w:rsid w:val="007F4D99"/>
    <w:rsid w:val="007F4E7E"/>
    <w:rsid w:val="007F512D"/>
    <w:rsid w:val="007F51BE"/>
    <w:rsid w:val="007F5325"/>
    <w:rsid w:val="007F54D1"/>
    <w:rsid w:val="007F58D6"/>
    <w:rsid w:val="007F58E1"/>
    <w:rsid w:val="007F596E"/>
    <w:rsid w:val="007F5AC4"/>
    <w:rsid w:val="007F5B81"/>
    <w:rsid w:val="007F5E09"/>
    <w:rsid w:val="007F5ED0"/>
    <w:rsid w:val="007F5F2F"/>
    <w:rsid w:val="007F5F32"/>
    <w:rsid w:val="007F6114"/>
    <w:rsid w:val="007F619C"/>
    <w:rsid w:val="007F61BA"/>
    <w:rsid w:val="007F63DF"/>
    <w:rsid w:val="007F66D3"/>
    <w:rsid w:val="007F66E5"/>
    <w:rsid w:val="007F692B"/>
    <w:rsid w:val="007F69F4"/>
    <w:rsid w:val="007F69F6"/>
    <w:rsid w:val="007F6A2B"/>
    <w:rsid w:val="007F6A6B"/>
    <w:rsid w:val="007F6CEE"/>
    <w:rsid w:val="007F6E02"/>
    <w:rsid w:val="007F72B4"/>
    <w:rsid w:val="007F7529"/>
    <w:rsid w:val="007F759F"/>
    <w:rsid w:val="007F7876"/>
    <w:rsid w:val="007F78D8"/>
    <w:rsid w:val="007F794F"/>
    <w:rsid w:val="007F79C0"/>
    <w:rsid w:val="007F7A09"/>
    <w:rsid w:val="007F7ADA"/>
    <w:rsid w:val="007F7DB1"/>
    <w:rsid w:val="007F7E03"/>
    <w:rsid w:val="008000F6"/>
    <w:rsid w:val="00800271"/>
    <w:rsid w:val="008004B1"/>
    <w:rsid w:val="00800599"/>
    <w:rsid w:val="0080086B"/>
    <w:rsid w:val="008009F2"/>
    <w:rsid w:val="00800D26"/>
    <w:rsid w:val="00800D9C"/>
    <w:rsid w:val="00800F06"/>
    <w:rsid w:val="00800F52"/>
    <w:rsid w:val="00800FF5"/>
    <w:rsid w:val="0080100B"/>
    <w:rsid w:val="008010E8"/>
    <w:rsid w:val="00801165"/>
    <w:rsid w:val="0080136C"/>
    <w:rsid w:val="00801491"/>
    <w:rsid w:val="008015E0"/>
    <w:rsid w:val="0080164F"/>
    <w:rsid w:val="0080165B"/>
    <w:rsid w:val="0080178B"/>
    <w:rsid w:val="00801845"/>
    <w:rsid w:val="00801878"/>
    <w:rsid w:val="00801950"/>
    <w:rsid w:val="008019C7"/>
    <w:rsid w:val="00801A12"/>
    <w:rsid w:val="00801A8C"/>
    <w:rsid w:val="00801E89"/>
    <w:rsid w:val="00801F78"/>
    <w:rsid w:val="00801F7A"/>
    <w:rsid w:val="00801FC3"/>
    <w:rsid w:val="00802135"/>
    <w:rsid w:val="00802603"/>
    <w:rsid w:val="00802657"/>
    <w:rsid w:val="0080274F"/>
    <w:rsid w:val="00802798"/>
    <w:rsid w:val="00802865"/>
    <w:rsid w:val="0080289F"/>
    <w:rsid w:val="0080290F"/>
    <w:rsid w:val="00802970"/>
    <w:rsid w:val="008029D0"/>
    <w:rsid w:val="00802A73"/>
    <w:rsid w:val="00802A81"/>
    <w:rsid w:val="00802AD9"/>
    <w:rsid w:val="00802ADB"/>
    <w:rsid w:val="00802B4A"/>
    <w:rsid w:val="00802B73"/>
    <w:rsid w:val="00802BE2"/>
    <w:rsid w:val="00802C92"/>
    <w:rsid w:val="00802D0F"/>
    <w:rsid w:val="00802EF3"/>
    <w:rsid w:val="008030F9"/>
    <w:rsid w:val="008031F8"/>
    <w:rsid w:val="00803250"/>
    <w:rsid w:val="008032F5"/>
    <w:rsid w:val="00803340"/>
    <w:rsid w:val="00803373"/>
    <w:rsid w:val="00803494"/>
    <w:rsid w:val="00803846"/>
    <w:rsid w:val="0080390F"/>
    <w:rsid w:val="00803ABB"/>
    <w:rsid w:val="00803C3E"/>
    <w:rsid w:val="00803D6D"/>
    <w:rsid w:val="00803DFA"/>
    <w:rsid w:val="00803F0F"/>
    <w:rsid w:val="00803FA3"/>
    <w:rsid w:val="008041A1"/>
    <w:rsid w:val="008042D7"/>
    <w:rsid w:val="00804315"/>
    <w:rsid w:val="008043B8"/>
    <w:rsid w:val="008044A3"/>
    <w:rsid w:val="00804602"/>
    <w:rsid w:val="008046EA"/>
    <w:rsid w:val="0080475B"/>
    <w:rsid w:val="00804A40"/>
    <w:rsid w:val="00804A8D"/>
    <w:rsid w:val="00804CCF"/>
    <w:rsid w:val="00804D6B"/>
    <w:rsid w:val="00804E1B"/>
    <w:rsid w:val="00804FC4"/>
    <w:rsid w:val="00805295"/>
    <w:rsid w:val="008052DA"/>
    <w:rsid w:val="0080532F"/>
    <w:rsid w:val="00805330"/>
    <w:rsid w:val="008053C8"/>
    <w:rsid w:val="0080541E"/>
    <w:rsid w:val="00805443"/>
    <w:rsid w:val="008054AF"/>
    <w:rsid w:val="008057A9"/>
    <w:rsid w:val="00805903"/>
    <w:rsid w:val="0080596A"/>
    <w:rsid w:val="00805C0F"/>
    <w:rsid w:val="00805D33"/>
    <w:rsid w:val="00805DE8"/>
    <w:rsid w:val="00805E43"/>
    <w:rsid w:val="00806033"/>
    <w:rsid w:val="00806091"/>
    <w:rsid w:val="00806316"/>
    <w:rsid w:val="00806387"/>
    <w:rsid w:val="008063AF"/>
    <w:rsid w:val="0080643A"/>
    <w:rsid w:val="00806480"/>
    <w:rsid w:val="00806516"/>
    <w:rsid w:val="008065C9"/>
    <w:rsid w:val="008065DF"/>
    <w:rsid w:val="0080663F"/>
    <w:rsid w:val="008066FB"/>
    <w:rsid w:val="008067BC"/>
    <w:rsid w:val="0080680D"/>
    <w:rsid w:val="008069B0"/>
    <w:rsid w:val="008069D5"/>
    <w:rsid w:val="00806C46"/>
    <w:rsid w:val="00806C7F"/>
    <w:rsid w:val="00806CF8"/>
    <w:rsid w:val="00806DC2"/>
    <w:rsid w:val="00806E3C"/>
    <w:rsid w:val="008074C2"/>
    <w:rsid w:val="00807528"/>
    <w:rsid w:val="0080755E"/>
    <w:rsid w:val="00807655"/>
    <w:rsid w:val="0080781D"/>
    <w:rsid w:val="00807864"/>
    <w:rsid w:val="0080799F"/>
    <w:rsid w:val="00807CF4"/>
    <w:rsid w:val="00807D0C"/>
    <w:rsid w:val="00807D3E"/>
    <w:rsid w:val="00807D60"/>
    <w:rsid w:val="00807D8D"/>
    <w:rsid w:val="00807D96"/>
    <w:rsid w:val="00807E3B"/>
    <w:rsid w:val="00807E75"/>
    <w:rsid w:val="00807FB7"/>
    <w:rsid w:val="0081005F"/>
    <w:rsid w:val="008101A0"/>
    <w:rsid w:val="00810206"/>
    <w:rsid w:val="00810409"/>
    <w:rsid w:val="00810429"/>
    <w:rsid w:val="0081046C"/>
    <w:rsid w:val="00810834"/>
    <w:rsid w:val="0081091B"/>
    <w:rsid w:val="0081091E"/>
    <w:rsid w:val="008109BF"/>
    <w:rsid w:val="00810A49"/>
    <w:rsid w:val="00810ADE"/>
    <w:rsid w:val="00810BF8"/>
    <w:rsid w:val="00810C8C"/>
    <w:rsid w:val="00810F26"/>
    <w:rsid w:val="00811001"/>
    <w:rsid w:val="008110B6"/>
    <w:rsid w:val="0081111D"/>
    <w:rsid w:val="008111D0"/>
    <w:rsid w:val="00811460"/>
    <w:rsid w:val="00811504"/>
    <w:rsid w:val="00811614"/>
    <w:rsid w:val="0081162F"/>
    <w:rsid w:val="00811779"/>
    <w:rsid w:val="00811835"/>
    <w:rsid w:val="008118C1"/>
    <w:rsid w:val="008118CB"/>
    <w:rsid w:val="00811965"/>
    <w:rsid w:val="00811A7F"/>
    <w:rsid w:val="00811B64"/>
    <w:rsid w:val="00811BA3"/>
    <w:rsid w:val="00811C50"/>
    <w:rsid w:val="00811D75"/>
    <w:rsid w:val="00811D98"/>
    <w:rsid w:val="00811E2C"/>
    <w:rsid w:val="00811F7F"/>
    <w:rsid w:val="00811FC2"/>
    <w:rsid w:val="00812073"/>
    <w:rsid w:val="00812088"/>
    <w:rsid w:val="00812204"/>
    <w:rsid w:val="00812397"/>
    <w:rsid w:val="0081239A"/>
    <w:rsid w:val="008123B3"/>
    <w:rsid w:val="008129A3"/>
    <w:rsid w:val="00812A8D"/>
    <w:rsid w:val="00812B02"/>
    <w:rsid w:val="00812CAB"/>
    <w:rsid w:val="00812D00"/>
    <w:rsid w:val="00813241"/>
    <w:rsid w:val="0081334F"/>
    <w:rsid w:val="008133D9"/>
    <w:rsid w:val="00813418"/>
    <w:rsid w:val="0081354E"/>
    <w:rsid w:val="00813565"/>
    <w:rsid w:val="008135BD"/>
    <w:rsid w:val="008135EA"/>
    <w:rsid w:val="00813630"/>
    <w:rsid w:val="0081379F"/>
    <w:rsid w:val="00813844"/>
    <w:rsid w:val="008138C4"/>
    <w:rsid w:val="008138F3"/>
    <w:rsid w:val="00813A13"/>
    <w:rsid w:val="00813BB4"/>
    <w:rsid w:val="00813BDA"/>
    <w:rsid w:val="00813C9B"/>
    <w:rsid w:val="00813DB1"/>
    <w:rsid w:val="00813DF3"/>
    <w:rsid w:val="00813F74"/>
    <w:rsid w:val="00814148"/>
    <w:rsid w:val="0081417A"/>
    <w:rsid w:val="00814209"/>
    <w:rsid w:val="008142F0"/>
    <w:rsid w:val="0081436A"/>
    <w:rsid w:val="00814392"/>
    <w:rsid w:val="008144B1"/>
    <w:rsid w:val="008145A8"/>
    <w:rsid w:val="008145DE"/>
    <w:rsid w:val="008145E2"/>
    <w:rsid w:val="0081463A"/>
    <w:rsid w:val="00814B33"/>
    <w:rsid w:val="00814C55"/>
    <w:rsid w:val="00815108"/>
    <w:rsid w:val="00815196"/>
    <w:rsid w:val="0081534C"/>
    <w:rsid w:val="00815493"/>
    <w:rsid w:val="008154BE"/>
    <w:rsid w:val="00815547"/>
    <w:rsid w:val="008155C6"/>
    <w:rsid w:val="00815635"/>
    <w:rsid w:val="0081563E"/>
    <w:rsid w:val="00815995"/>
    <w:rsid w:val="00815A18"/>
    <w:rsid w:val="00815B1F"/>
    <w:rsid w:val="00815D2F"/>
    <w:rsid w:val="00815DF7"/>
    <w:rsid w:val="00815E9E"/>
    <w:rsid w:val="00815F07"/>
    <w:rsid w:val="00815FD4"/>
    <w:rsid w:val="00815FDC"/>
    <w:rsid w:val="00816079"/>
    <w:rsid w:val="008160CB"/>
    <w:rsid w:val="008161F1"/>
    <w:rsid w:val="008161FE"/>
    <w:rsid w:val="00816212"/>
    <w:rsid w:val="00816218"/>
    <w:rsid w:val="008163C0"/>
    <w:rsid w:val="0081647A"/>
    <w:rsid w:val="008164CC"/>
    <w:rsid w:val="00816897"/>
    <w:rsid w:val="008168E2"/>
    <w:rsid w:val="00816A84"/>
    <w:rsid w:val="00816DA1"/>
    <w:rsid w:val="00816E86"/>
    <w:rsid w:val="00816EE3"/>
    <w:rsid w:val="00816F29"/>
    <w:rsid w:val="00816FFD"/>
    <w:rsid w:val="008172F7"/>
    <w:rsid w:val="00817356"/>
    <w:rsid w:val="0081742C"/>
    <w:rsid w:val="008174E4"/>
    <w:rsid w:val="00817566"/>
    <w:rsid w:val="0081767B"/>
    <w:rsid w:val="008176CE"/>
    <w:rsid w:val="00817857"/>
    <w:rsid w:val="008178BD"/>
    <w:rsid w:val="00817984"/>
    <w:rsid w:val="00817AC0"/>
    <w:rsid w:val="00817BAA"/>
    <w:rsid w:val="00817BFB"/>
    <w:rsid w:val="00817D24"/>
    <w:rsid w:val="00817DEA"/>
    <w:rsid w:val="00817E22"/>
    <w:rsid w:val="00817F6F"/>
    <w:rsid w:val="00820015"/>
    <w:rsid w:val="0082003A"/>
    <w:rsid w:val="00820072"/>
    <w:rsid w:val="008201E1"/>
    <w:rsid w:val="0082023B"/>
    <w:rsid w:val="008202DA"/>
    <w:rsid w:val="00820367"/>
    <w:rsid w:val="00820563"/>
    <w:rsid w:val="00820572"/>
    <w:rsid w:val="00820978"/>
    <w:rsid w:val="00820E35"/>
    <w:rsid w:val="00821024"/>
    <w:rsid w:val="00821141"/>
    <w:rsid w:val="00821167"/>
    <w:rsid w:val="008211E1"/>
    <w:rsid w:val="0082139B"/>
    <w:rsid w:val="00821510"/>
    <w:rsid w:val="00821523"/>
    <w:rsid w:val="008215B0"/>
    <w:rsid w:val="00821727"/>
    <w:rsid w:val="0082178C"/>
    <w:rsid w:val="00821829"/>
    <w:rsid w:val="00821850"/>
    <w:rsid w:val="00821B3C"/>
    <w:rsid w:val="00821BC7"/>
    <w:rsid w:val="00821C65"/>
    <w:rsid w:val="00821DB2"/>
    <w:rsid w:val="00821DDD"/>
    <w:rsid w:val="00821DFE"/>
    <w:rsid w:val="00821FB8"/>
    <w:rsid w:val="0082201F"/>
    <w:rsid w:val="0082221E"/>
    <w:rsid w:val="00822395"/>
    <w:rsid w:val="00822414"/>
    <w:rsid w:val="00822430"/>
    <w:rsid w:val="00822438"/>
    <w:rsid w:val="008224AA"/>
    <w:rsid w:val="008225BF"/>
    <w:rsid w:val="00822693"/>
    <w:rsid w:val="008226A1"/>
    <w:rsid w:val="0082276E"/>
    <w:rsid w:val="008227AB"/>
    <w:rsid w:val="008227AC"/>
    <w:rsid w:val="00822823"/>
    <w:rsid w:val="00822835"/>
    <w:rsid w:val="00822980"/>
    <w:rsid w:val="008229CF"/>
    <w:rsid w:val="00822A60"/>
    <w:rsid w:val="00822AA2"/>
    <w:rsid w:val="00822AEF"/>
    <w:rsid w:val="00822BBF"/>
    <w:rsid w:val="00822BCD"/>
    <w:rsid w:val="00822CBA"/>
    <w:rsid w:val="00822CEB"/>
    <w:rsid w:val="00822D2A"/>
    <w:rsid w:val="00822DD5"/>
    <w:rsid w:val="00822E81"/>
    <w:rsid w:val="00822EB7"/>
    <w:rsid w:val="00822F18"/>
    <w:rsid w:val="00822FFF"/>
    <w:rsid w:val="00823018"/>
    <w:rsid w:val="00823051"/>
    <w:rsid w:val="008230AA"/>
    <w:rsid w:val="00823201"/>
    <w:rsid w:val="008233F1"/>
    <w:rsid w:val="008236DE"/>
    <w:rsid w:val="00823722"/>
    <w:rsid w:val="00823E37"/>
    <w:rsid w:val="008240F4"/>
    <w:rsid w:val="0082411D"/>
    <w:rsid w:val="00824127"/>
    <w:rsid w:val="0082421F"/>
    <w:rsid w:val="00824226"/>
    <w:rsid w:val="00824401"/>
    <w:rsid w:val="00824427"/>
    <w:rsid w:val="008244EA"/>
    <w:rsid w:val="008245A1"/>
    <w:rsid w:val="00824688"/>
    <w:rsid w:val="0082483B"/>
    <w:rsid w:val="00824A8E"/>
    <w:rsid w:val="00824A9E"/>
    <w:rsid w:val="00824DF3"/>
    <w:rsid w:val="00824F1C"/>
    <w:rsid w:val="00825050"/>
    <w:rsid w:val="008253F2"/>
    <w:rsid w:val="00825563"/>
    <w:rsid w:val="00825597"/>
    <w:rsid w:val="00825752"/>
    <w:rsid w:val="00825974"/>
    <w:rsid w:val="00825A90"/>
    <w:rsid w:val="00825B54"/>
    <w:rsid w:val="00825C27"/>
    <w:rsid w:val="00825C65"/>
    <w:rsid w:val="00825E6F"/>
    <w:rsid w:val="00825EB1"/>
    <w:rsid w:val="008260AF"/>
    <w:rsid w:val="00826168"/>
    <w:rsid w:val="008261EB"/>
    <w:rsid w:val="00826216"/>
    <w:rsid w:val="0082628F"/>
    <w:rsid w:val="008262AB"/>
    <w:rsid w:val="00826382"/>
    <w:rsid w:val="00826450"/>
    <w:rsid w:val="008264AD"/>
    <w:rsid w:val="00826571"/>
    <w:rsid w:val="0082670A"/>
    <w:rsid w:val="0082681A"/>
    <w:rsid w:val="0082697D"/>
    <w:rsid w:val="00826A2E"/>
    <w:rsid w:val="00826A5E"/>
    <w:rsid w:val="00826C34"/>
    <w:rsid w:val="00826CCF"/>
    <w:rsid w:val="00826D75"/>
    <w:rsid w:val="00827077"/>
    <w:rsid w:val="0082719A"/>
    <w:rsid w:val="0082723C"/>
    <w:rsid w:val="00827292"/>
    <w:rsid w:val="008272D6"/>
    <w:rsid w:val="008272EB"/>
    <w:rsid w:val="00827585"/>
    <w:rsid w:val="00827614"/>
    <w:rsid w:val="00827666"/>
    <w:rsid w:val="0082773F"/>
    <w:rsid w:val="00827834"/>
    <w:rsid w:val="00827853"/>
    <w:rsid w:val="00827871"/>
    <w:rsid w:val="0082795B"/>
    <w:rsid w:val="00827AE5"/>
    <w:rsid w:val="00827C0B"/>
    <w:rsid w:val="00827C87"/>
    <w:rsid w:val="00827CA2"/>
    <w:rsid w:val="00827D23"/>
    <w:rsid w:val="00827F05"/>
    <w:rsid w:val="00827F69"/>
    <w:rsid w:val="00830185"/>
    <w:rsid w:val="008301F5"/>
    <w:rsid w:val="0083033A"/>
    <w:rsid w:val="008303D7"/>
    <w:rsid w:val="008303D9"/>
    <w:rsid w:val="008304EE"/>
    <w:rsid w:val="008306FF"/>
    <w:rsid w:val="00830852"/>
    <w:rsid w:val="008308C9"/>
    <w:rsid w:val="008309CF"/>
    <w:rsid w:val="00830A66"/>
    <w:rsid w:val="00830B47"/>
    <w:rsid w:val="00830BF6"/>
    <w:rsid w:val="00830C79"/>
    <w:rsid w:val="00830D0F"/>
    <w:rsid w:val="00830E02"/>
    <w:rsid w:val="00831157"/>
    <w:rsid w:val="008311C9"/>
    <w:rsid w:val="008312ED"/>
    <w:rsid w:val="0083143B"/>
    <w:rsid w:val="0083159E"/>
    <w:rsid w:val="0083169C"/>
    <w:rsid w:val="0083192C"/>
    <w:rsid w:val="008319C0"/>
    <w:rsid w:val="008319F6"/>
    <w:rsid w:val="00831AD3"/>
    <w:rsid w:val="00831B47"/>
    <w:rsid w:val="00831BA0"/>
    <w:rsid w:val="00831C04"/>
    <w:rsid w:val="00831D34"/>
    <w:rsid w:val="00831DE9"/>
    <w:rsid w:val="00831E77"/>
    <w:rsid w:val="008321B4"/>
    <w:rsid w:val="00832237"/>
    <w:rsid w:val="008324D7"/>
    <w:rsid w:val="00832533"/>
    <w:rsid w:val="00832630"/>
    <w:rsid w:val="00832639"/>
    <w:rsid w:val="0083269D"/>
    <w:rsid w:val="008327C8"/>
    <w:rsid w:val="00832895"/>
    <w:rsid w:val="008329F5"/>
    <w:rsid w:val="00832A7D"/>
    <w:rsid w:val="00832D26"/>
    <w:rsid w:val="008331EB"/>
    <w:rsid w:val="008332B4"/>
    <w:rsid w:val="00833329"/>
    <w:rsid w:val="00833340"/>
    <w:rsid w:val="008333F6"/>
    <w:rsid w:val="0083362E"/>
    <w:rsid w:val="00833638"/>
    <w:rsid w:val="00833639"/>
    <w:rsid w:val="008336A5"/>
    <w:rsid w:val="0083390F"/>
    <w:rsid w:val="0083391A"/>
    <w:rsid w:val="0083392B"/>
    <w:rsid w:val="00833A54"/>
    <w:rsid w:val="00833A8D"/>
    <w:rsid w:val="00833B12"/>
    <w:rsid w:val="00833B5F"/>
    <w:rsid w:val="00833E03"/>
    <w:rsid w:val="00833E04"/>
    <w:rsid w:val="00833E0F"/>
    <w:rsid w:val="00833EE5"/>
    <w:rsid w:val="00834180"/>
    <w:rsid w:val="00834245"/>
    <w:rsid w:val="008344A8"/>
    <w:rsid w:val="0083454A"/>
    <w:rsid w:val="00834604"/>
    <w:rsid w:val="00834907"/>
    <w:rsid w:val="00834A30"/>
    <w:rsid w:val="00834AB3"/>
    <w:rsid w:val="00834BCE"/>
    <w:rsid w:val="00834D6B"/>
    <w:rsid w:val="00834E22"/>
    <w:rsid w:val="00834E47"/>
    <w:rsid w:val="0083501D"/>
    <w:rsid w:val="00835118"/>
    <w:rsid w:val="0083536D"/>
    <w:rsid w:val="008353FD"/>
    <w:rsid w:val="008356C3"/>
    <w:rsid w:val="00835901"/>
    <w:rsid w:val="00835A57"/>
    <w:rsid w:val="00835A7F"/>
    <w:rsid w:val="00835ABA"/>
    <w:rsid w:val="00835B38"/>
    <w:rsid w:val="00835B81"/>
    <w:rsid w:val="00835BB8"/>
    <w:rsid w:val="00835CDC"/>
    <w:rsid w:val="00835D58"/>
    <w:rsid w:val="00835E22"/>
    <w:rsid w:val="00835E2E"/>
    <w:rsid w:val="00835F3A"/>
    <w:rsid w:val="00835F80"/>
    <w:rsid w:val="00836113"/>
    <w:rsid w:val="0083611D"/>
    <w:rsid w:val="008361BE"/>
    <w:rsid w:val="00836450"/>
    <w:rsid w:val="008364AD"/>
    <w:rsid w:val="008364EB"/>
    <w:rsid w:val="008366DA"/>
    <w:rsid w:val="0083685A"/>
    <w:rsid w:val="00836874"/>
    <w:rsid w:val="00836892"/>
    <w:rsid w:val="00836907"/>
    <w:rsid w:val="00836AD8"/>
    <w:rsid w:val="00836AFC"/>
    <w:rsid w:val="00836B37"/>
    <w:rsid w:val="00836B4B"/>
    <w:rsid w:val="00836BDE"/>
    <w:rsid w:val="00836C9D"/>
    <w:rsid w:val="00836CA5"/>
    <w:rsid w:val="00836CB7"/>
    <w:rsid w:val="00836CED"/>
    <w:rsid w:val="00836F93"/>
    <w:rsid w:val="008370B0"/>
    <w:rsid w:val="008370FF"/>
    <w:rsid w:val="00837183"/>
    <w:rsid w:val="008374D6"/>
    <w:rsid w:val="008376D7"/>
    <w:rsid w:val="00837706"/>
    <w:rsid w:val="00837A02"/>
    <w:rsid w:val="00837AA1"/>
    <w:rsid w:val="00837BF9"/>
    <w:rsid w:val="00837D57"/>
    <w:rsid w:val="00837E6A"/>
    <w:rsid w:val="00837E87"/>
    <w:rsid w:val="00837FA6"/>
    <w:rsid w:val="0084001D"/>
    <w:rsid w:val="008400DD"/>
    <w:rsid w:val="008401E3"/>
    <w:rsid w:val="0084037F"/>
    <w:rsid w:val="008404AE"/>
    <w:rsid w:val="0084054D"/>
    <w:rsid w:val="00840622"/>
    <w:rsid w:val="008407A5"/>
    <w:rsid w:val="00840991"/>
    <w:rsid w:val="00840A3D"/>
    <w:rsid w:val="00840B2E"/>
    <w:rsid w:val="00840B8B"/>
    <w:rsid w:val="00840E21"/>
    <w:rsid w:val="00840E2E"/>
    <w:rsid w:val="00840EE0"/>
    <w:rsid w:val="00841035"/>
    <w:rsid w:val="008410C5"/>
    <w:rsid w:val="0084115F"/>
    <w:rsid w:val="008411A1"/>
    <w:rsid w:val="008411A2"/>
    <w:rsid w:val="008412B6"/>
    <w:rsid w:val="00841316"/>
    <w:rsid w:val="0084137E"/>
    <w:rsid w:val="008413DA"/>
    <w:rsid w:val="00841557"/>
    <w:rsid w:val="0084185E"/>
    <w:rsid w:val="00841A64"/>
    <w:rsid w:val="00841A82"/>
    <w:rsid w:val="00841C62"/>
    <w:rsid w:val="00841D05"/>
    <w:rsid w:val="00841D43"/>
    <w:rsid w:val="00841D53"/>
    <w:rsid w:val="00841E24"/>
    <w:rsid w:val="00841EE9"/>
    <w:rsid w:val="00841F70"/>
    <w:rsid w:val="00842164"/>
    <w:rsid w:val="008422B2"/>
    <w:rsid w:val="008422C4"/>
    <w:rsid w:val="008423C1"/>
    <w:rsid w:val="008425B6"/>
    <w:rsid w:val="008426CA"/>
    <w:rsid w:val="00842862"/>
    <w:rsid w:val="008428CC"/>
    <w:rsid w:val="00842A82"/>
    <w:rsid w:val="00842AAB"/>
    <w:rsid w:val="00842B58"/>
    <w:rsid w:val="00842BF6"/>
    <w:rsid w:val="00842C7E"/>
    <w:rsid w:val="00842E40"/>
    <w:rsid w:val="00842F15"/>
    <w:rsid w:val="008431A5"/>
    <w:rsid w:val="008431EE"/>
    <w:rsid w:val="008436F0"/>
    <w:rsid w:val="0084390E"/>
    <w:rsid w:val="00843A34"/>
    <w:rsid w:val="00843ABD"/>
    <w:rsid w:val="00843B1D"/>
    <w:rsid w:val="00843B7D"/>
    <w:rsid w:val="00843C37"/>
    <w:rsid w:val="00843E13"/>
    <w:rsid w:val="008441C4"/>
    <w:rsid w:val="008441FA"/>
    <w:rsid w:val="008442DF"/>
    <w:rsid w:val="00844395"/>
    <w:rsid w:val="0084439D"/>
    <w:rsid w:val="008443E8"/>
    <w:rsid w:val="008444F3"/>
    <w:rsid w:val="008447DB"/>
    <w:rsid w:val="00844834"/>
    <w:rsid w:val="00844A2E"/>
    <w:rsid w:val="00844A6E"/>
    <w:rsid w:val="00844B0A"/>
    <w:rsid w:val="00844C36"/>
    <w:rsid w:val="00844C54"/>
    <w:rsid w:val="00844CB1"/>
    <w:rsid w:val="00844EAF"/>
    <w:rsid w:val="00844EBF"/>
    <w:rsid w:val="00844EDD"/>
    <w:rsid w:val="00844EDF"/>
    <w:rsid w:val="00844F8E"/>
    <w:rsid w:val="00844FEF"/>
    <w:rsid w:val="00845285"/>
    <w:rsid w:val="008452DB"/>
    <w:rsid w:val="008452F1"/>
    <w:rsid w:val="00845396"/>
    <w:rsid w:val="008453E6"/>
    <w:rsid w:val="008453FB"/>
    <w:rsid w:val="00845401"/>
    <w:rsid w:val="008454E9"/>
    <w:rsid w:val="008455A2"/>
    <w:rsid w:val="00845655"/>
    <w:rsid w:val="00845869"/>
    <w:rsid w:val="00845878"/>
    <w:rsid w:val="0084589F"/>
    <w:rsid w:val="00845A89"/>
    <w:rsid w:val="00845AAD"/>
    <w:rsid w:val="00845B06"/>
    <w:rsid w:val="00845B56"/>
    <w:rsid w:val="00845B9D"/>
    <w:rsid w:val="00845C14"/>
    <w:rsid w:val="00845D88"/>
    <w:rsid w:val="00845ECA"/>
    <w:rsid w:val="00845F40"/>
    <w:rsid w:val="0084604C"/>
    <w:rsid w:val="0084607F"/>
    <w:rsid w:val="00846176"/>
    <w:rsid w:val="008461AE"/>
    <w:rsid w:val="00846275"/>
    <w:rsid w:val="00846325"/>
    <w:rsid w:val="00846408"/>
    <w:rsid w:val="008465D3"/>
    <w:rsid w:val="00846695"/>
    <w:rsid w:val="0084678E"/>
    <w:rsid w:val="00846B39"/>
    <w:rsid w:val="00846CC1"/>
    <w:rsid w:val="00846D02"/>
    <w:rsid w:val="00846DD5"/>
    <w:rsid w:val="00846E57"/>
    <w:rsid w:val="00846F9F"/>
    <w:rsid w:val="00847248"/>
    <w:rsid w:val="00847343"/>
    <w:rsid w:val="00847374"/>
    <w:rsid w:val="00847466"/>
    <w:rsid w:val="0084758E"/>
    <w:rsid w:val="00847702"/>
    <w:rsid w:val="00847746"/>
    <w:rsid w:val="0084778B"/>
    <w:rsid w:val="00847794"/>
    <w:rsid w:val="008477DF"/>
    <w:rsid w:val="008478B9"/>
    <w:rsid w:val="00847A0D"/>
    <w:rsid w:val="00847AF2"/>
    <w:rsid w:val="00847BE4"/>
    <w:rsid w:val="00847CB5"/>
    <w:rsid w:val="00847D44"/>
    <w:rsid w:val="00847E19"/>
    <w:rsid w:val="00847E2F"/>
    <w:rsid w:val="00847E96"/>
    <w:rsid w:val="00847F31"/>
    <w:rsid w:val="0085010C"/>
    <w:rsid w:val="0085012A"/>
    <w:rsid w:val="00850264"/>
    <w:rsid w:val="00850315"/>
    <w:rsid w:val="00850396"/>
    <w:rsid w:val="0085043F"/>
    <w:rsid w:val="0085050B"/>
    <w:rsid w:val="008505E0"/>
    <w:rsid w:val="0085075B"/>
    <w:rsid w:val="00850938"/>
    <w:rsid w:val="00850CA4"/>
    <w:rsid w:val="00850DDC"/>
    <w:rsid w:val="00850EFC"/>
    <w:rsid w:val="00850F08"/>
    <w:rsid w:val="008510AB"/>
    <w:rsid w:val="00851266"/>
    <w:rsid w:val="008514B7"/>
    <w:rsid w:val="0085152F"/>
    <w:rsid w:val="008515AD"/>
    <w:rsid w:val="008515D8"/>
    <w:rsid w:val="00851673"/>
    <w:rsid w:val="008517C7"/>
    <w:rsid w:val="00851A3D"/>
    <w:rsid w:val="00851ACB"/>
    <w:rsid w:val="00851F39"/>
    <w:rsid w:val="0085205E"/>
    <w:rsid w:val="00852100"/>
    <w:rsid w:val="00852331"/>
    <w:rsid w:val="0085292B"/>
    <w:rsid w:val="0085299F"/>
    <w:rsid w:val="00852AE9"/>
    <w:rsid w:val="00852BBE"/>
    <w:rsid w:val="00852C0B"/>
    <w:rsid w:val="00852CD8"/>
    <w:rsid w:val="00852CEA"/>
    <w:rsid w:val="00852D02"/>
    <w:rsid w:val="00852E85"/>
    <w:rsid w:val="00852F09"/>
    <w:rsid w:val="00853080"/>
    <w:rsid w:val="0085311A"/>
    <w:rsid w:val="008532BF"/>
    <w:rsid w:val="008537A9"/>
    <w:rsid w:val="008537C8"/>
    <w:rsid w:val="008538AC"/>
    <w:rsid w:val="0085394F"/>
    <w:rsid w:val="00853A7A"/>
    <w:rsid w:val="00853D59"/>
    <w:rsid w:val="00853D86"/>
    <w:rsid w:val="00853EBF"/>
    <w:rsid w:val="00853ED0"/>
    <w:rsid w:val="00853F9B"/>
    <w:rsid w:val="00854303"/>
    <w:rsid w:val="00854362"/>
    <w:rsid w:val="008543A0"/>
    <w:rsid w:val="008544E7"/>
    <w:rsid w:val="008545BF"/>
    <w:rsid w:val="0085484F"/>
    <w:rsid w:val="008549B5"/>
    <w:rsid w:val="008549F4"/>
    <w:rsid w:val="00854BC5"/>
    <w:rsid w:val="00854BEB"/>
    <w:rsid w:val="00854D4C"/>
    <w:rsid w:val="00854D52"/>
    <w:rsid w:val="00854FDE"/>
    <w:rsid w:val="00855051"/>
    <w:rsid w:val="00855056"/>
    <w:rsid w:val="008550C0"/>
    <w:rsid w:val="008551C5"/>
    <w:rsid w:val="00855338"/>
    <w:rsid w:val="00855445"/>
    <w:rsid w:val="00855694"/>
    <w:rsid w:val="0085589E"/>
    <w:rsid w:val="008558E6"/>
    <w:rsid w:val="00855906"/>
    <w:rsid w:val="00855A80"/>
    <w:rsid w:val="00855CEF"/>
    <w:rsid w:val="00855D0E"/>
    <w:rsid w:val="00855DB2"/>
    <w:rsid w:val="00855DD2"/>
    <w:rsid w:val="00855E93"/>
    <w:rsid w:val="00855F37"/>
    <w:rsid w:val="00855F49"/>
    <w:rsid w:val="00856031"/>
    <w:rsid w:val="00856044"/>
    <w:rsid w:val="00856089"/>
    <w:rsid w:val="008560A9"/>
    <w:rsid w:val="00856131"/>
    <w:rsid w:val="0085615F"/>
    <w:rsid w:val="00856321"/>
    <w:rsid w:val="0085641F"/>
    <w:rsid w:val="008564BA"/>
    <w:rsid w:val="008564EC"/>
    <w:rsid w:val="008568DF"/>
    <w:rsid w:val="00856914"/>
    <w:rsid w:val="00856AAF"/>
    <w:rsid w:val="00856B3C"/>
    <w:rsid w:val="00856B69"/>
    <w:rsid w:val="00856D24"/>
    <w:rsid w:val="00856D97"/>
    <w:rsid w:val="00856DEE"/>
    <w:rsid w:val="00856F25"/>
    <w:rsid w:val="00856F54"/>
    <w:rsid w:val="008570F2"/>
    <w:rsid w:val="00857183"/>
    <w:rsid w:val="0085721D"/>
    <w:rsid w:val="00857244"/>
    <w:rsid w:val="00857251"/>
    <w:rsid w:val="00857330"/>
    <w:rsid w:val="0085741F"/>
    <w:rsid w:val="0085774A"/>
    <w:rsid w:val="008577EB"/>
    <w:rsid w:val="0085793A"/>
    <w:rsid w:val="008579EE"/>
    <w:rsid w:val="00857D20"/>
    <w:rsid w:val="00857DAE"/>
    <w:rsid w:val="00857E54"/>
    <w:rsid w:val="00857F17"/>
    <w:rsid w:val="00857F8C"/>
    <w:rsid w:val="00860136"/>
    <w:rsid w:val="00860276"/>
    <w:rsid w:val="008602BD"/>
    <w:rsid w:val="00860484"/>
    <w:rsid w:val="008604CE"/>
    <w:rsid w:val="008604EE"/>
    <w:rsid w:val="008605CF"/>
    <w:rsid w:val="008608C0"/>
    <w:rsid w:val="008609B3"/>
    <w:rsid w:val="00860A9E"/>
    <w:rsid w:val="00860C7D"/>
    <w:rsid w:val="00860C81"/>
    <w:rsid w:val="00860CDC"/>
    <w:rsid w:val="00860CF5"/>
    <w:rsid w:val="00860D76"/>
    <w:rsid w:val="00860E01"/>
    <w:rsid w:val="00860ECE"/>
    <w:rsid w:val="00860F6D"/>
    <w:rsid w:val="00861186"/>
    <w:rsid w:val="008611D9"/>
    <w:rsid w:val="008611DD"/>
    <w:rsid w:val="0086128C"/>
    <w:rsid w:val="008612FD"/>
    <w:rsid w:val="00861401"/>
    <w:rsid w:val="008615AA"/>
    <w:rsid w:val="00861642"/>
    <w:rsid w:val="0086171C"/>
    <w:rsid w:val="0086171E"/>
    <w:rsid w:val="008618C3"/>
    <w:rsid w:val="00861B76"/>
    <w:rsid w:val="00861C31"/>
    <w:rsid w:val="00861C49"/>
    <w:rsid w:val="00861C55"/>
    <w:rsid w:val="00862070"/>
    <w:rsid w:val="0086207E"/>
    <w:rsid w:val="008620EE"/>
    <w:rsid w:val="008622F2"/>
    <w:rsid w:val="0086239C"/>
    <w:rsid w:val="008623C9"/>
    <w:rsid w:val="008625F2"/>
    <w:rsid w:val="0086268A"/>
    <w:rsid w:val="008626B9"/>
    <w:rsid w:val="008626E8"/>
    <w:rsid w:val="008628E3"/>
    <w:rsid w:val="0086292C"/>
    <w:rsid w:val="00862956"/>
    <w:rsid w:val="00862B97"/>
    <w:rsid w:val="00862C99"/>
    <w:rsid w:val="00862D7E"/>
    <w:rsid w:val="00862F3D"/>
    <w:rsid w:val="0086329E"/>
    <w:rsid w:val="0086343C"/>
    <w:rsid w:val="008634A5"/>
    <w:rsid w:val="008634B5"/>
    <w:rsid w:val="008636EA"/>
    <w:rsid w:val="008636F2"/>
    <w:rsid w:val="008638EC"/>
    <w:rsid w:val="00863D93"/>
    <w:rsid w:val="00863F88"/>
    <w:rsid w:val="00863FAC"/>
    <w:rsid w:val="008640C0"/>
    <w:rsid w:val="0086430D"/>
    <w:rsid w:val="0086451F"/>
    <w:rsid w:val="00864624"/>
    <w:rsid w:val="008646CC"/>
    <w:rsid w:val="00864715"/>
    <w:rsid w:val="0086472B"/>
    <w:rsid w:val="0086475A"/>
    <w:rsid w:val="00864870"/>
    <w:rsid w:val="0086491F"/>
    <w:rsid w:val="00864A38"/>
    <w:rsid w:val="00864D95"/>
    <w:rsid w:val="00864E27"/>
    <w:rsid w:val="008650ED"/>
    <w:rsid w:val="00865573"/>
    <w:rsid w:val="008655FA"/>
    <w:rsid w:val="00865610"/>
    <w:rsid w:val="00865683"/>
    <w:rsid w:val="00865696"/>
    <w:rsid w:val="008657D7"/>
    <w:rsid w:val="008659F4"/>
    <w:rsid w:val="00865AB2"/>
    <w:rsid w:val="00865B19"/>
    <w:rsid w:val="00865B6D"/>
    <w:rsid w:val="00865B94"/>
    <w:rsid w:val="00865BF1"/>
    <w:rsid w:val="00865C41"/>
    <w:rsid w:val="00865E4A"/>
    <w:rsid w:val="008660D3"/>
    <w:rsid w:val="00866207"/>
    <w:rsid w:val="00866239"/>
    <w:rsid w:val="00866318"/>
    <w:rsid w:val="0086645F"/>
    <w:rsid w:val="00866490"/>
    <w:rsid w:val="00866744"/>
    <w:rsid w:val="008667C2"/>
    <w:rsid w:val="00866889"/>
    <w:rsid w:val="00866974"/>
    <w:rsid w:val="00866A2A"/>
    <w:rsid w:val="00866B4B"/>
    <w:rsid w:val="00866B50"/>
    <w:rsid w:val="00866FEF"/>
    <w:rsid w:val="0086705E"/>
    <w:rsid w:val="00867188"/>
    <w:rsid w:val="0086726A"/>
    <w:rsid w:val="008672A5"/>
    <w:rsid w:val="0086734A"/>
    <w:rsid w:val="00867370"/>
    <w:rsid w:val="008673C2"/>
    <w:rsid w:val="00867747"/>
    <w:rsid w:val="00867943"/>
    <w:rsid w:val="00867972"/>
    <w:rsid w:val="008679EC"/>
    <w:rsid w:val="00867A16"/>
    <w:rsid w:val="00867A4B"/>
    <w:rsid w:val="00867B25"/>
    <w:rsid w:val="00867B89"/>
    <w:rsid w:val="00867C9F"/>
    <w:rsid w:val="00867D35"/>
    <w:rsid w:val="00867E34"/>
    <w:rsid w:val="00867EE3"/>
    <w:rsid w:val="00870344"/>
    <w:rsid w:val="0087042E"/>
    <w:rsid w:val="00870575"/>
    <w:rsid w:val="008705DD"/>
    <w:rsid w:val="00870768"/>
    <w:rsid w:val="00870792"/>
    <w:rsid w:val="0087087A"/>
    <w:rsid w:val="008708CA"/>
    <w:rsid w:val="0087093E"/>
    <w:rsid w:val="008709B1"/>
    <w:rsid w:val="00870DB7"/>
    <w:rsid w:val="00871192"/>
    <w:rsid w:val="00871433"/>
    <w:rsid w:val="008714C4"/>
    <w:rsid w:val="00871598"/>
    <w:rsid w:val="008715CC"/>
    <w:rsid w:val="008716C6"/>
    <w:rsid w:val="00871725"/>
    <w:rsid w:val="0087180E"/>
    <w:rsid w:val="0087187F"/>
    <w:rsid w:val="00871902"/>
    <w:rsid w:val="00871BC7"/>
    <w:rsid w:val="00871CD9"/>
    <w:rsid w:val="00871DC8"/>
    <w:rsid w:val="00871E86"/>
    <w:rsid w:val="00871EE9"/>
    <w:rsid w:val="00871F50"/>
    <w:rsid w:val="00872077"/>
    <w:rsid w:val="00872257"/>
    <w:rsid w:val="00872405"/>
    <w:rsid w:val="00872585"/>
    <w:rsid w:val="00872634"/>
    <w:rsid w:val="00872741"/>
    <w:rsid w:val="0087287B"/>
    <w:rsid w:val="0087289E"/>
    <w:rsid w:val="008728F2"/>
    <w:rsid w:val="00872A2D"/>
    <w:rsid w:val="00872E86"/>
    <w:rsid w:val="00872EFC"/>
    <w:rsid w:val="00873049"/>
    <w:rsid w:val="00873111"/>
    <w:rsid w:val="00873201"/>
    <w:rsid w:val="00873323"/>
    <w:rsid w:val="00873499"/>
    <w:rsid w:val="008734F8"/>
    <w:rsid w:val="0087374D"/>
    <w:rsid w:val="00873BFB"/>
    <w:rsid w:val="00873DE4"/>
    <w:rsid w:val="00873DFF"/>
    <w:rsid w:val="00873EDD"/>
    <w:rsid w:val="0087417A"/>
    <w:rsid w:val="00874258"/>
    <w:rsid w:val="00874307"/>
    <w:rsid w:val="0087435B"/>
    <w:rsid w:val="00874395"/>
    <w:rsid w:val="00874424"/>
    <w:rsid w:val="00874470"/>
    <w:rsid w:val="0087459B"/>
    <w:rsid w:val="0087465C"/>
    <w:rsid w:val="0087466B"/>
    <w:rsid w:val="008748D4"/>
    <w:rsid w:val="008748DC"/>
    <w:rsid w:val="008748F1"/>
    <w:rsid w:val="00874D12"/>
    <w:rsid w:val="00874E00"/>
    <w:rsid w:val="00874E61"/>
    <w:rsid w:val="00875348"/>
    <w:rsid w:val="0087537E"/>
    <w:rsid w:val="0087558C"/>
    <w:rsid w:val="008755D2"/>
    <w:rsid w:val="00875721"/>
    <w:rsid w:val="00875725"/>
    <w:rsid w:val="008757AC"/>
    <w:rsid w:val="008757F6"/>
    <w:rsid w:val="00875C17"/>
    <w:rsid w:val="00875DC8"/>
    <w:rsid w:val="00875E5A"/>
    <w:rsid w:val="00876058"/>
    <w:rsid w:val="00876167"/>
    <w:rsid w:val="0087628B"/>
    <w:rsid w:val="008763AA"/>
    <w:rsid w:val="008763AC"/>
    <w:rsid w:val="0087658B"/>
    <w:rsid w:val="00876593"/>
    <w:rsid w:val="00876680"/>
    <w:rsid w:val="008767AE"/>
    <w:rsid w:val="008768B3"/>
    <w:rsid w:val="00876E4F"/>
    <w:rsid w:val="00877129"/>
    <w:rsid w:val="0087741A"/>
    <w:rsid w:val="00877985"/>
    <w:rsid w:val="00877AF4"/>
    <w:rsid w:val="00877BF6"/>
    <w:rsid w:val="00877F25"/>
    <w:rsid w:val="00877F50"/>
    <w:rsid w:val="0088001C"/>
    <w:rsid w:val="00880054"/>
    <w:rsid w:val="0088007C"/>
    <w:rsid w:val="0088054E"/>
    <w:rsid w:val="00880582"/>
    <w:rsid w:val="008807E0"/>
    <w:rsid w:val="00880852"/>
    <w:rsid w:val="00880E36"/>
    <w:rsid w:val="008810E8"/>
    <w:rsid w:val="00881118"/>
    <w:rsid w:val="0088112D"/>
    <w:rsid w:val="00881227"/>
    <w:rsid w:val="008814C7"/>
    <w:rsid w:val="0088158F"/>
    <w:rsid w:val="008815E6"/>
    <w:rsid w:val="008816E7"/>
    <w:rsid w:val="00881762"/>
    <w:rsid w:val="008819CF"/>
    <w:rsid w:val="00881AB9"/>
    <w:rsid w:val="00881B72"/>
    <w:rsid w:val="00881C39"/>
    <w:rsid w:val="008821D9"/>
    <w:rsid w:val="008822CF"/>
    <w:rsid w:val="0088237A"/>
    <w:rsid w:val="00882395"/>
    <w:rsid w:val="008825E0"/>
    <w:rsid w:val="008826EB"/>
    <w:rsid w:val="0088274D"/>
    <w:rsid w:val="00882751"/>
    <w:rsid w:val="0088277A"/>
    <w:rsid w:val="008828E2"/>
    <w:rsid w:val="0088290E"/>
    <w:rsid w:val="008829A3"/>
    <w:rsid w:val="00882B21"/>
    <w:rsid w:val="00882B92"/>
    <w:rsid w:val="00882F35"/>
    <w:rsid w:val="008830F7"/>
    <w:rsid w:val="00883141"/>
    <w:rsid w:val="00883168"/>
    <w:rsid w:val="008831AB"/>
    <w:rsid w:val="0088324F"/>
    <w:rsid w:val="008832A6"/>
    <w:rsid w:val="008834CF"/>
    <w:rsid w:val="008836BC"/>
    <w:rsid w:val="0088374C"/>
    <w:rsid w:val="00883AB8"/>
    <w:rsid w:val="00883BC8"/>
    <w:rsid w:val="00883C4A"/>
    <w:rsid w:val="00883E72"/>
    <w:rsid w:val="00883EBE"/>
    <w:rsid w:val="00883F00"/>
    <w:rsid w:val="00884116"/>
    <w:rsid w:val="0088427A"/>
    <w:rsid w:val="0088443A"/>
    <w:rsid w:val="00884453"/>
    <w:rsid w:val="00884505"/>
    <w:rsid w:val="0088451C"/>
    <w:rsid w:val="00884656"/>
    <w:rsid w:val="00884820"/>
    <w:rsid w:val="00884ABB"/>
    <w:rsid w:val="00884B2B"/>
    <w:rsid w:val="00884BAA"/>
    <w:rsid w:val="00884CDB"/>
    <w:rsid w:val="00884F2B"/>
    <w:rsid w:val="00884F44"/>
    <w:rsid w:val="00884F6F"/>
    <w:rsid w:val="00885097"/>
    <w:rsid w:val="0088516B"/>
    <w:rsid w:val="008851AA"/>
    <w:rsid w:val="008853C6"/>
    <w:rsid w:val="008853E2"/>
    <w:rsid w:val="00885482"/>
    <w:rsid w:val="00885517"/>
    <w:rsid w:val="0088553D"/>
    <w:rsid w:val="008857D6"/>
    <w:rsid w:val="008857FF"/>
    <w:rsid w:val="0088583A"/>
    <w:rsid w:val="008858D6"/>
    <w:rsid w:val="008859D1"/>
    <w:rsid w:val="00885A6B"/>
    <w:rsid w:val="00885BBB"/>
    <w:rsid w:val="00885D36"/>
    <w:rsid w:val="00885F20"/>
    <w:rsid w:val="00886330"/>
    <w:rsid w:val="00886345"/>
    <w:rsid w:val="00886428"/>
    <w:rsid w:val="0088654D"/>
    <w:rsid w:val="00886628"/>
    <w:rsid w:val="008866E2"/>
    <w:rsid w:val="008867BE"/>
    <w:rsid w:val="008867E5"/>
    <w:rsid w:val="00886884"/>
    <w:rsid w:val="00886A99"/>
    <w:rsid w:val="00886B17"/>
    <w:rsid w:val="00886C15"/>
    <w:rsid w:val="00886D85"/>
    <w:rsid w:val="00886E49"/>
    <w:rsid w:val="00886EC6"/>
    <w:rsid w:val="00886EE5"/>
    <w:rsid w:val="00886EFF"/>
    <w:rsid w:val="00886F3A"/>
    <w:rsid w:val="00887033"/>
    <w:rsid w:val="0088705B"/>
    <w:rsid w:val="008870B5"/>
    <w:rsid w:val="0088741B"/>
    <w:rsid w:val="0088749A"/>
    <w:rsid w:val="00887550"/>
    <w:rsid w:val="00887569"/>
    <w:rsid w:val="00887872"/>
    <w:rsid w:val="00887DC4"/>
    <w:rsid w:val="00887E81"/>
    <w:rsid w:val="00890043"/>
    <w:rsid w:val="00890151"/>
    <w:rsid w:val="0089019E"/>
    <w:rsid w:val="008902C9"/>
    <w:rsid w:val="00890498"/>
    <w:rsid w:val="00890AE8"/>
    <w:rsid w:val="00890B29"/>
    <w:rsid w:val="00890BEA"/>
    <w:rsid w:val="00890C8F"/>
    <w:rsid w:val="00890C9D"/>
    <w:rsid w:val="00890D3B"/>
    <w:rsid w:val="00890DF4"/>
    <w:rsid w:val="00890E1C"/>
    <w:rsid w:val="00890F6E"/>
    <w:rsid w:val="00891083"/>
    <w:rsid w:val="008910C1"/>
    <w:rsid w:val="0089124F"/>
    <w:rsid w:val="00891251"/>
    <w:rsid w:val="00891329"/>
    <w:rsid w:val="0089141C"/>
    <w:rsid w:val="0089141F"/>
    <w:rsid w:val="0089149D"/>
    <w:rsid w:val="00891512"/>
    <w:rsid w:val="00891523"/>
    <w:rsid w:val="00891625"/>
    <w:rsid w:val="008916FE"/>
    <w:rsid w:val="0089175D"/>
    <w:rsid w:val="00891862"/>
    <w:rsid w:val="00891888"/>
    <w:rsid w:val="00891B38"/>
    <w:rsid w:val="00891B3A"/>
    <w:rsid w:val="00891BB2"/>
    <w:rsid w:val="00891C07"/>
    <w:rsid w:val="00891D60"/>
    <w:rsid w:val="00891D87"/>
    <w:rsid w:val="00891EB9"/>
    <w:rsid w:val="00891F1A"/>
    <w:rsid w:val="00891FD5"/>
    <w:rsid w:val="008923F5"/>
    <w:rsid w:val="00892407"/>
    <w:rsid w:val="008926EC"/>
    <w:rsid w:val="00892733"/>
    <w:rsid w:val="0089282E"/>
    <w:rsid w:val="008928E7"/>
    <w:rsid w:val="00892A72"/>
    <w:rsid w:val="00892B7C"/>
    <w:rsid w:val="00892DE5"/>
    <w:rsid w:val="00892E4F"/>
    <w:rsid w:val="00892EC8"/>
    <w:rsid w:val="00892F54"/>
    <w:rsid w:val="00892F9A"/>
    <w:rsid w:val="0089313A"/>
    <w:rsid w:val="00893262"/>
    <w:rsid w:val="0089328B"/>
    <w:rsid w:val="00893297"/>
    <w:rsid w:val="008933F2"/>
    <w:rsid w:val="00893535"/>
    <w:rsid w:val="00893561"/>
    <w:rsid w:val="0089362B"/>
    <w:rsid w:val="00893640"/>
    <w:rsid w:val="008937B5"/>
    <w:rsid w:val="008938D8"/>
    <w:rsid w:val="0089390B"/>
    <w:rsid w:val="00893A41"/>
    <w:rsid w:val="00893B40"/>
    <w:rsid w:val="00893DC4"/>
    <w:rsid w:val="00893FDE"/>
    <w:rsid w:val="00894391"/>
    <w:rsid w:val="008943C2"/>
    <w:rsid w:val="0089454D"/>
    <w:rsid w:val="008945FC"/>
    <w:rsid w:val="00894842"/>
    <w:rsid w:val="00894880"/>
    <w:rsid w:val="008948E7"/>
    <w:rsid w:val="00894A01"/>
    <w:rsid w:val="00894A82"/>
    <w:rsid w:val="00894B59"/>
    <w:rsid w:val="00894CAC"/>
    <w:rsid w:val="00894D11"/>
    <w:rsid w:val="00894E22"/>
    <w:rsid w:val="00894E55"/>
    <w:rsid w:val="00894EF7"/>
    <w:rsid w:val="00895044"/>
    <w:rsid w:val="00895183"/>
    <w:rsid w:val="00895252"/>
    <w:rsid w:val="008953B5"/>
    <w:rsid w:val="008953BB"/>
    <w:rsid w:val="00895409"/>
    <w:rsid w:val="00895412"/>
    <w:rsid w:val="008954B7"/>
    <w:rsid w:val="008955B3"/>
    <w:rsid w:val="0089586B"/>
    <w:rsid w:val="008959CD"/>
    <w:rsid w:val="00895B66"/>
    <w:rsid w:val="00895BED"/>
    <w:rsid w:val="00895D1F"/>
    <w:rsid w:val="00895D56"/>
    <w:rsid w:val="00895E76"/>
    <w:rsid w:val="00895EA1"/>
    <w:rsid w:val="00896174"/>
    <w:rsid w:val="00896192"/>
    <w:rsid w:val="0089619F"/>
    <w:rsid w:val="0089626E"/>
    <w:rsid w:val="00896273"/>
    <w:rsid w:val="008962DF"/>
    <w:rsid w:val="008962E0"/>
    <w:rsid w:val="0089638F"/>
    <w:rsid w:val="008964F0"/>
    <w:rsid w:val="0089652E"/>
    <w:rsid w:val="0089674D"/>
    <w:rsid w:val="008969D9"/>
    <w:rsid w:val="00896A3A"/>
    <w:rsid w:val="00896ABA"/>
    <w:rsid w:val="00896B83"/>
    <w:rsid w:val="00896C31"/>
    <w:rsid w:val="00896C53"/>
    <w:rsid w:val="00896DC2"/>
    <w:rsid w:val="00896E09"/>
    <w:rsid w:val="00896E74"/>
    <w:rsid w:val="00897054"/>
    <w:rsid w:val="00897090"/>
    <w:rsid w:val="008970B6"/>
    <w:rsid w:val="00897201"/>
    <w:rsid w:val="00897212"/>
    <w:rsid w:val="00897371"/>
    <w:rsid w:val="00897577"/>
    <w:rsid w:val="0089759F"/>
    <w:rsid w:val="0089765D"/>
    <w:rsid w:val="0089772B"/>
    <w:rsid w:val="00897730"/>
    <w:rsid w:val="0089799F"/>
    <w:rsid w:val="00897EB6"/>
    <w:rsid w:val="008A0035"/>
    <w:rsid w:val="008A00A4"/>
    <w:rsid w:val="008A0106"/>
    <w:rsid w:val="008A020F"/>
    <w:rsid w:val="008A026B"/>
    <w:rsid w:val="008A032B"/>
    <w:rsid w:val="008A033C"/>
    <w:rsid w:val="008A033E"/>
    <w:rsid w:val="008A05B7"/>
    <w:rsid w:val="008A05F7"/>
    <w:rsid w:val="008A0606"/>
    <w:rsid w:val="008A07E4"/>
    <w:rsid w:val="008A0865"/>
    <w:rsid w:val="008A08E2"/>
    <w:rsid w:val="008A0941"/>
    <w:rsid w:val="008A0A62"/>
    <w:rsid w:val="008A0B6A"/>
    <w:rsid w:val="008A0BDA"/>
    <w:rsid w:val="008A0C19"/>
    <w:rsid w:val="008A0C51"/>
    <w:rsid w:val="008A0C7E"/>
    <w:rsid w:val="008A0CC6"/>
    <w:rsid w:val="008A0DB6"/>
    <w:rsid w:val="008A0E51"/>
    <w:rsid w:val="008A0E6E"/>
    <w:rsid w:val="008A0FDB"/>
    <w:rsid w:val="008A1033"/>
    <w:rsid w:val="008A1266"/>
    <w:rsid w:val="008A13E4"/>
    <w:rsid w:val="008A145C"/>
    <w:rsid w:val="008A14F3"/>
    <w:rsid w:val="008A184B"/>
    <w:rsid w:val="008A190E"/>
    <w:rsid w:val="008A1A79"/>
    <w:rsid w:val="008A1A7E"/>
    <w:rsid w:val="008A1B00"/>
    <w:rsid w:val="008A1BF0"/>
    <w:rsid w:val="008A1CE5"/>
    <w:rsid w:val="008A1DC5"/>
    <w:rsid w:val="008A1E8F"/>
    <w:rsid w:val="008A1F02"/>
    <w:rsid w:val="008A1F93"/>
    <w:rsid w:val="008A2176"/>
    <w:rsid w:val="008A2297"/>
    <w:rsid w:val="008A2349"/>
    <w:rsid w:val="008A23F2"/>
    <w:rsid w:val="008A2411"/>
    <w:rsid w:val="008A24FA"/>
    <w:rsid w:val="008A256F"/>
    <w:rsid w:val="008A261B"/>
    <w:rsid w:val="008A27C2"/>
    <w:rsid w:val="008A27CF"/>
    <w:rsid w:val="008A2956"/>
    <w:rsid w:val="008A295B"/>
    <w:rsid w:val="008A29EC"/>
    <w:rsid w:val="008A2B02"/>
    <w:rsid w:val="008A2B2A"/>
    <w:rsid w:val="008A2B31"/>
    <w:rsid w:val="008A2CE9"/>
    <w:rsid w:val="008A2D1D"/>
    <w:rsid w:val="008A30AF"/>
    <w:rsid w:val="008A30F9"/>
    <w:rsid w:val="008A30FF"/>
    <w:rsid w:val="008A37B4"/>
    <w:rsid w:val="008A3ABC"/>
    <w:rsid w:val="008A3AC2"/>
    <w:rsid w:val="008A3BFC"/>
    <w:rsid w:val="008A3CA5"/>
    <w:rsid w:val="008A3D3F"/>
    <w:rsid w:val="008A3E49"/>
    <w:rsid w:val="008A3F57"/>
    <w:rsid w:val="008A3F82"/>
    <w:rsid w:val="008A400E"/>
    <w:rsid w:val="008A41AC"/>
    <w:rsid w:val="008A41B3"/>
    <w:rsid w:val="008A43E6"/>
    <w:rsid w:val="008A456C"/>
    <w:rsid w:val="008A4586"/>
    <w:rsid w:val="008A45E8"/>
    <w:rsid w:val="008A476D"/>
    <w:rsid w:val="008A488B"/>
    <w:rsid w:val="008A4C3A"/>
    <w:rsid w:val="008A4E7D"/>
    <w:rsid w:val="008A5368"/>
    <w:rsid w:val="008A53AF"/>
    <w:rsid w:val="008A5460"/>
    <w:rsid w:val="008A55E2"/>
    <w:rsid w:val="008A56FE"/>
    <w:rsid w:val="008A5789"/>
    <w:rsid w:val="008A58C8"/>
    <w:rsid w:val="008A58DD"/>
    <w:rsid w:val="008A593F"/>
    <w:rsid w:val="008A5A23"/>
    <w:rsid w:val="008A5DDD"/>
    <w:rsid w:val="008A5F24"/>
    <w:rsid w:val="008A5FA8"/>
    <w:rsid w:val="008A6001"/>
    <w:rsid w:val="008A612B"/>
    <w:rsid w:val="008A62BE"/>
    <w:rsid w:val="008A63A4"/>
    <w:rsid w:val="008A6550"/>
    <w:rsid w:val="008A66AF"/>
    <w:rsid w:val="008A6806"/>
    <w:rsid w:val="008A68D4"/>
    <w:rsid w:val="008A6A37"/>
    <w:rsid w:val="008A6C07"/>
    <w:rsid w:val="008A6C54"/>
    <w:rsid w:val="008A6D26"/>
    <w:rsid w:val="008A6E33"/>
    <w:rsid w:val="008A6E4E"/>
    <w:rsid w:val="008A6E6D"/>
    <w:rsid w:val="008A6EF7"/>
    <w:rsid w:val="008A70D6"/>
    <w:rsid w:val="008A70F3"/>
    <w:rsid w:val="008A729C"/>
    <w:rsid w:val="008A730C"/>
    <w:rsid w:val="008A740A"/>
    <w:rsid w:val="008A7445"/>
    <w:rsid w:val="008A747E"/>
    <w:rsid w:val="008A7485"/>
    <w:rsid w:val="008A7496"/>
    <w:rsid w:val="008A75C0"/>
    <w:rsid w:val="008A7688"/>
    <w:rsid w:val="008A76D9"/>
    <w:rsid w:val="008A77D1"/>
    <w:rsid w:val="008A77EE"/>
    <w:rsid w:val="008A77FA"/>
    <w:rsid w:val="008A7872"/>
    <w:rsid w:val="008A78CA"/>
    <w:rsid w:val="008A7A35"/>
    <w:rsid w:val="008A7ACF"/>
    <w:rsid w:val="008A7B23"/>
    <w:rsid w:val="008A7C8B"/>
    <w:rsid w:val="008A7D1B"/>
    <w:rsid w:val="008B005C"/>
    <w:rsid w:val="008B024D"/>
    <w:rsid w:val="008B0323"/>
    <w:rsid w:val="008B0434"/>
    <w:rsid w:val="008B04DC"/>
    <w:rsid w:val="008B05B0"/>
    <w:rsid w:val="008B05F9"/>
    <w:rsid w:val="008B0614"/>
    <w:rsid w:val="008B0705"/>
    <w:rsid w:val="008B072C"/>
    <w:rsid w:val="008B07C0"/>
    <w:rsid w:val="008B0953"/>
    <w:rsid w:val="008B0C2D"/>
    <w:rsid w:val="008B0C7B"/>
    <w:rsid w:val="008B0C90"/>
    <w:rsid w:val="008B0FA1"/>
    <w:rsid w:val="008B10DC"/>
    <w:rsid w:val="008B113F"/>
    <w:rsid w:val="008B11B4"/>
    <w:rsid w:val="008B12A0"/>
    <w:rsid w:val="008B1302"/>
    <w:rsid w:val="008B1359"/>
    <w:rsid w:val="008B13DC"/>
    <w:rsid w:val="008B1423"/>
    <w:rsid w:val="008B153A"/>
    <w:rsid w:val="008B1676"/>
    <w:rsid w:val="008B179A"/>
    <w:rsid w:val="008B17BE"/>
    <w:rsid w:val="008B1863"/>
    <w:rsid w:val="008B1927"/>
    <w:rsid w:val="008B19ED"/>
    <w:rsid w:val="008B1C0A"/>
    <w:rsid w:val="008B1D9C"/>
    <w:rsid w:val="008B22E6"/>
    <w:rsid w:val="008B22F0"/>
    <w:rsid w:val="008B2412"/>
    <w:rsid w:val="008B24F2"/>
    <w:rsid w:val="008B2521"/>
    <w:rsid w:val="008B2542"/>
    <w:rsid w:val="008B2A50"/>
    <w:rsid w:val="008B2A94"/>
    <w:rsid w:val="008B2EE5"/>
    <w:rsid w:val="008B2F03"/>
    <w:rsid w:val="008B30B7"/>
    <w:rsid w:val="008B30DC"/>
    <w:rsid w:val="008B30F0"/>
    <w:rsid w:val="008B3208"/>
    <w:rsid w:val="008B3551"/>
    <w:rsid w:val="008B36D1"/>
    <w:rsid w:val="008B36F1"/>
    <w:rsid w:val="008B378A"/>
    <w:rsid w:val="008B38B2"/>
    <w:rsid w:val="008B3AFC"/>
    <w:rsid w:val="008B3D18"/>
    <w:rsid w:val="008B3D35"/>
    <w:rsid w:val="008B3D5C"/>
    <w:rsid w:val="008B3E22"/>
    <w:rsid w:val="008B3E2A"/>
    <w:rsid w:val="008B3F14"/>
    <w:rsid w:val="008B3F98"/>
    <w:rsid w:val="008B3FD4"/>
    <w:rsid w:val="008B40CE"/>
    <w:rsid w:val="008B40F3"/>
    <w:rsid w:val="008B4106"/>
    <w:rsid w:val="008B41CF"/>
    <w:rsid w:val="008B4227"/>
    <w:rsid w:val="008B4238"/>
    <w:rsid w:val="008B43EC"/>
    <w:rsid w:val="008B4555"/>
    <w:rsid w:val="008B4560"/>
    <w:rsid w:val="008B467C"/>
    <w:rsid w:val="008B4701"/>
    <w:rsid w:val="008B4709"/>
    <w:rsid w:val="008B48C6"/>
    <w:rsid w:val="008B48CF"/>
    <w:rsid w:val="008B4AD1"/>
    <w:rsid w:val="008B4B5B"/>
    <w:rsid w:val="008B4BA8"/>
    <w:rsid w:val="008B4DE6"/>
    <w:rsid w:val="008B4F63"/>
    <w:rsid w:val="008B5018"/>
    <w:rsid w:val="008B505D"/>
    <w:rsid w:val="008B5262"/>
    <w:rsid w:val="008B5814"/>
    <w:rsid w:val="008B5997"/>
    <w:rsid w:val="008B599A"/>
    <w:rsid w:val="008B5C1B"/>
    <w:rsid w:val="008B5DF7"/>
    <w:rsid w:val="008B5E1F"/>
    <w:rsid w:val="008B5FF3"/>
    <w:rsid w:val="008B61A9"/>
    <w:rsid w:val="008B6209"/>
    <w:rsid w:val="008B6487"/>
    <w:rsid w:val="008B64C6"/>
    <w:rsid w:val="008B6502"/>
    <w:rsid w:val="008B6551"/>
    <w:rsid w:val="008B6688"/>
    <w:rsid w:val="008B66EF"/>
    <w:rsid w:val="008B6961"/>
    <w:rsid w:val="008B6978"/>
    <w:rsid w:val="008B69F2"/>
    <w:rsid w:val="008B6A0A"/>
    <w:rsid w:val="008B6B4A"/>
    <w:rsid w:val="008B6C81"/>
    <w:rsid w:val="008B6CC5"/>
    <w:rsid w:val="008B6D35"/>
    <w:rsid w:val="008B6D5E"/>
    <w:rsid w:val="008B6ECC"/>
    <w:rsid w:val="008B6FA9"/>
    <w:rsid w:val="008B6FFA"/>
    <w:rsid w:val="008B7164"/>
    <w:rsid w:val="008B7192"/>
    <w:rsid w:val="008B71CC"/>
    <w:rsid w:val="008B7210"/>
    <w:rsid w:val="008B723A"/>
    <w:rsid w:val="008B7344"/>
    <w:rsid w:val="008B73A3"/>
    <w:rsid w:val="008B77F0"/>
    <w:rsid w:val="008B79B9"/>
    <w:rsid w:val="008B7A5B"/>
    <w:rsid w:val="008B7CBD"/>
    <w:rsid w:val="008B7EED"/>
    <w:rsid w:val="008B7EFC"/>
    <w:rsid w:val="008B7FE8"/>
    <w:rsid w:val="008C01E8"/>
    <w:rsid w:val="008C0265"/>
    <w:rsid w:val="008C02A6"/>
    <w:rsid w:val="008C0586"/>
    <w:rsid w:val="008C05ED"/>
    <w:rsid w:val="008C0784"/>
    <w:rsid w:val="008C0855"/>
    <w:rsid w:val="008C0966"/>
    <w:rsid w:val="008C098D"/>
    <w:rsid w:val="008C09A5"/>
    <w:rsid w:val="008C09C2"/>
    <w:rsid w:val="008C0A21"/>
    <w:rsid w:val="008C0C3D"/>
    <w:rsid w:val="008C0C3F"/>
    <w:rsid w:val="008C0CEF"/>
    <w:rsid w:val="008C0D44"/>
    <w:rsid w:val="008C0D5F"/>
    <w:rsid w:val="008C0EE3"/>
    <w:rsid w:val="008C0F72"/>
    <w:rsid w:val="008C1051"/>
    <w:rsid w:val="008C10BA"/>
    <w:rsid w:val="008C1172"/>
    <w:rsid w:val="008C124F"/>
    <w:rsid w:val="008C14F4"/>
    <w:rsid w:val="008C15D1"/>
    <w:rsid w:val="008C1606"/>
    <w:rsid w:val="008C165D"/>
    <w:rsid w:val="008C1762"/>
    <w:rsid w:val="008C1766"/>
    <w:rsid w:val="008C1841"/>
    <w:rsid w:val="008C1873"/>
    <w:rsid w:val="008C18F5"/>
    <w:rsid w:val="008C19B4"/>
    <w:rsid w:val="008C1A99"/>
    <w:rsid w:val="008C1CD8"/>
    <w:rsid w:val="008C1F3C"/>
    <w:rsid w:val="008C1FB4"/>
    <w:rsid w:val="008C2031"/>
    <w:rsid w:val="008C2095"/>
    <w:rsid w:val="008C21A8"/>
    <w:rsid w:val="008C2284"/>
    <w:rsid w:val="008C23BB"/>
    <w:rsid w:val="008C242D"/>
    <w:rsid w:val="008C247F"/>
    <w:rsid w:val="008C2694"/>
    <w:rsid w:val="008C28B9"/>
    <w:rsid w:val="008C2A24"/>
    <w:rsid w:val="008C2AF7"/>
    <w:rsid w:val="008C2B70"/>
    <w:rsid w:val="008C2C58"/>
    <w:rsid w:val="008C2D0D"/>
    <w:rsid w:val="008C2DCC"/>
    <w:rsid w:val="008C2E71"/>
    <w:rsid w:val="008C2F00"/>
    <w:rsid w:val="008C2F10"/>
    <w:rsid w:val="008C30FA"/>
    <w:rsid w:val="008C318C"/>
    <w:rsid w:val="008C3377"/>
    <w:rsid w:val="008C349F"/>
    <w:rsid w:val="008C35EA"/>
    <w:rsid w:val="008C35F8"/>
    <w:rsid w:val="008C373F"/>
    <w:rsid w:val="008C37B5"/>
    <w:rsid w:val="008C3A3D"/>
    <w:rsid w:val="008C3B23"/>
    <w:rsid w:val="008C3B3F"/>
    <w:rsid w:val="008C3B43"/>
    <w:rsid w:val="008C3C19"/>
    <w:rsid w:val="008C3C57"/>
    <w:rsid w:val="008C3C63"/>
    <w:rsid w:val="008C3CD5"/>
    <w:rsid w:val="008C3F5B"/>
    <w:rsid w:val="008C3F66"/>
    <w:rsid w:val="008C3FC5"/>
    <w:rsid w:val="008C3FC8"/>
    <w:rsid w:val="008C4141"/>
    <w:rsid w:val="008C42C1"/>
    <w:rsid w:val="008C4384"/>
    <w:rsid w:val="008C44BF"/>
    <w:rsid w:val="008C4566"/>
    <w:rsid w:val="008C47D3"/>
    <w:rsid w:val="008C47EC"/>
    <w:rsid w:val="008C4849"/>
    <w:rsid w:val="008C489F"/>
    <w:rsid w:val="008C4AD6"/>
    <w:rsid w:val="008C4B10"/>
    <w:rsid w:val="008C4B3E"/>
    <w:rsid w:val="008C4B81"/>
    <w:rsid w:val="008C4B9D"/>
    <w:rsid w:val="008C4E1D"/>
    <w:rsid w:val="008C52EB"/>
    <w:rsid w:val="008C53A1"/>
    <w:rsid w:val="008C53F5"/>
    <w:rsid w:val="008C545B"/>
    <w:rsid w:val="008C5514"/>
    <w:rsid w:val="008C568C"/>
    <w:rsid w:val="008C5770"/>
    <w:rsid w:val="008C58F8"/>
    <w:rsid w:val="008C5983"/>
    <w:rsid w:val="008C5A02"/>
    <w:rsid w:val="008C5A6B"/>
    <w:rsid w:val="008C5C6F"/>
    <w:rsid w:val="008C5E5B"/>
    <w:rsid w:val="008C61E8"/>
    <w:rsid w:val="008C6299"/>
    <w:rsid w:val="008C634D"/>
    <w:rsid w:val="008C63F3"/>
    <w:rsid w:val="008C647D"/>
    <w:rsid w:val="008C64D1"/>
    <w:rsid w:val="008C67B8"/>
    <w:rsid w:val="008C6A07"/>
    <w:rsid w:val="008C6ECC"/>
    <w:rsid w:val="008C6F0D"/>
    <w:rsid w:val="008C6F95"/>
    <w:rsid w:val="008C6FBE"/>
    <w:rsid w:val="008C7262"/>
    <w:rsid w:val="008C7350"/>
    <w:rsid w:val="008C73A7"/>
    <w:rsid w:val="008C743C"/>
    <w:rsid w:val="008C74B4"/>
    <w:rsid w:val="008C7539"/>
    <w:rsid w:val="008C76F9"/>
    <w:rsid w:val="008C772E"/>
    <w:rsid w:val="008C788E"/>
    <w:rsid w:val="008C793D"/>
    <w:rsid w:val="008C799E"/>
    <w:rsid w:val="008C7A1F"/>
    <w:rsid w:val="008C7A2A"/>
    <w:rsid w:val="008C7AE5"/>
    <w:rsid w:val="008C7C83"/>
    <w:rsid w:val="008C7CBC"/>
    <w:rsid w:val="008C7CFE"/>
    <w:rsid w:val="008C7F7C"/>
    <w:rsid w:val="008C7F97"/>
    <w:rsid w:val="008D009D"/>
    <w:rsid w:val="008D0158"/>
    <w:rsid w:val="008D02BA"/>
    <w:rsid w:val="008D02FA"/>
    <w:rsid w:val="008D0355"/>
    <w:rsid w:val="008D044C"/>
    <w:rsid w:val="008D080D"/>
    <w:rsid w:val="008D092A"/>
    <w:rsid w:val="008D09A7"/>
    <w:rsid w:val="008D09A8"/>
    <w:rsid w:val="008D0B13"/>
    <w:rsid w:val="008D0B54"/>
    <w:rsid w:val="008D0BBC"/>
    <w:rsid w:val="008D0C1D"/>
    <w:rsid w:val="008D0C67"/>
    <w:rsid w:val="008D0D6C"/>
    <w:rsid w:val="008D0E5E"/>
    <w:rsid w:val="008D0F0D"/>
    <w:rsid w:val="008D105D"/>
    <w:rsid w:val="008D1289"/>
    <w:rsid w:val="008D1396"/>
    <w:rsid w:val="008D1457"/>
    <w:rsid w:val="008D14C1"/>
    <w:rsid w:val="008D14C3"/>
    <w:rsid w:val="008D1550"/>
    <w:rsid w:val="008D1855"/>
    <w:rsid w:val="008D1926"/>
    <w:rsid w:val="008D1C60"/>
    <w:rsid w:val="008D1D1F"/>
    <w:rsid w:val="008D1DF7"/>
    <w:rsid w:val="008D1E8D"/>
    <w:rsid w:val="008D1F72"/>
    <w:rsid w:val="008D204A"/>
    <w:rsid w:val="008D20E1"/>
    <w:rsid w:val="008D2185"/>
    <w:rsid w:val="008D224D"/>
    <w:rsid w:val="008D225E"/>
    <w:rsid w:val="008D23A0"/>
    <w:rsid w:val="008D245C"/>
    <w:rsid w:val="008D273D"/>
    <w:rsid w:val="008D2886"/>
    <w:rsid w:val="008D289C"/>
    <w:rsid w:val="008D2C0E"/>
    <w:rsid w:val="008D2E25"/>
    <w:rsid w:val="008D2E3B"/>
    <w:rsid w:val="008D30F0"/>
    <w:rsid w:val="008D3156"/>
    <w:rsid w:val="008D3328"/>
    <w:rsid w:val="008D347F"/>
    <w:rsid w:val="008D3486"/>
    <w:rsid w:val="008D352C"/>
    <w:rsid w:val="008D3642"/>
    <w:rsid w:val="008D365E"/>
    <w:rsid w:val="008D3694"/>
    <w:rsid w:val="008D3717"/>
    <w:rsid w:val="008D38F1"/>
    <w:rsid w:val="008D3ABE"/>
    <w:rsid w:val="008D3ACE"/>
    <w:rsid w:val="008D3BD4"/>
    <w:rsid w:val="008D3DBB"/>
    <w:rsid w:val="008D3EB3"/>
    <w:rsid w:val="008D3EE2"/>
    <w:rsid w:val="008D3F68"/>
    <w:rsid w:val="008D3FF2"/>
    <w:rsid w:val="008D4018"/>
    <w:rsid w:val="008D4113"/>
    <w:rsid w:val="008D41E6"/>
    <w:rsid w:val="008D44A5"/>
    <w:rsid w:val="008D459D"/>
    <w:rsid w:val="008D45AB"/>
    <w:rsid w:val="008D4712"/>
    <w:rsid w:val="008D471F"/>
    <w:rsid w:val="008D4723"/>
    <w:rsid w:val="008D47A5"/>
    <w:rsid w:val="008D48B4"/>
    <w:rsid w:val="008D4B21"/>
    <w:rsid w:val="008D4C2B"/>
    <w:rsid w:val="008D4DA1"/>
    <w:rsid w:val="008D4E99"/>
    <w:rsid w:val="008D4FB5"/>
    <w:rsid w:val="008D505C"/>
    <w:rsid w:val="008D5103"/>
    <w:rsid w:val="008D517C"/>
    <w:rsid w:val="008D523D"/>
    <w:rsid w:val="008D53C9"/>
    <w:rsid w:val="008D5426"/>
    <w:rsid w:val="008D543D"/>
    <w:rsid w:val="008D54B0"/>
    <w:rsid w:val="008D5540"/>
    <w:rsid w:val="008D5645"/>
    <w:rsid w:val="008D59BB"/>
    <w:rsid w:val="008D5A0C"/>
    <w:rsid w:val="008D5A6C"/>
    <w:rsid w:val="008D5D42"/>
    <w:rsid w:val="008D60BD"/>
    <w:rsid w:val="008D6104"/>
    <w:rsid w:val="008D62AF"/>
    <w:rsid w:val="008D6358"/>
    <w:rsid w:val="008D6495"/>
    <w:rsid w:val="008D6567"/>
    <w:rsid w:val="008D6667"/>
    <w:rsid w:val="008D6786"/>
    <w:rsid w:val="008D67F6"/>
    <w:rsid w:val="008D6831"/>
    <w:rsid w:val="008D68C7"/>
    <w:rsid w:val="008D6B84"/>
    <w:rsid w:val="008D6BE2"/>
    <w:rsid w:val="008D6C06"/>
    <w:rsid w:val="008D6D0F"/>
    <w:rsid w:val="008D7023"/>
    <w:rsid w:val="008D7076"/>
    <w:rsid w:val="008D710E"/>
    <w:rsid w:val="008D717C"/>
    <w:rsid w:val="008D71FD"/>
    <w:rsid w:val="008D732E"/>
    <w:rsid w:val="008D7381"/>
    <w:rsid w:val="008D7641"/>
    <w:rsid w:val="008D77BF"/>
    <w:rsid w:val="008D7908"/>
    <w:rsid w:val="008D7945"/>
    <w:rsid w:val="008D7AC4"/>
    <w:rsid w:val="008E00C8"/>
    <w:rsid w:val="008E00CE"/>
    <w:rsid w:val="008E01E5"/>
    <w:rsid w:val="008E01F4"/>
    <w:rsid w:val="008E02C1"/>
    <w:rsid w:val="008E046A"/>
    <w:rsid w:val="008E0540"/>
    <w:rsid w:val="008E0683"/>
    <w:rsid w:val="008E068D"/>
    <w:rsid w:val="008E06C0"/>
    <w:rsid w:val="008E06DD"/>
    <w:rsid w:val="008E0751"/>
    <w:rsid w:val="008E0935"/>
    <w:rsid w:val="008E0B11"/>
    <w:rsid w:val="008E0B75"/>
    <w:rsid w:val="008E0BD2"/>
    <w:rsid w:val="008E0BF3"/>
    <w:rsid w:val="008E0CFF"/>
    <w:rsid w:val="008E0D3D"/>
    <w:rsid w:val="008E0DF5"/>
    <w:rsid w:val="008E0E28"/>
    <w:rsid w:val="008E104E"/>
    <w:rsid w:val="008E1257"/>
    <w:rsid w:val="008E162C"/>
    <w:rsid w:val="008E16BA"/>
    <w:rsid w:val="008E1728"/>
    <w:rsid w:val="008E1791"/>
    <w:rsid w:val="008E182F"/>
    <w:rsid w:val="008E1852"/>
    <w:rsid w:val="008E1857"/>
    <w:rsid w:val="008E191E"/>
    <w:rsid w:val="008E1940"/>
    <w:rsid w:val="008E19B9"/>
    <w:rsid w:val="008E1A40"/>
    <w:rsid w:val="008E1A7B"/>
    <w:rsid w:val="008E1B12"/>
    <w:rsid w:val="008E1B1E"/>
    <w:rsid w:val="008E1BFB"/>
    <w:rsid w:val="008E1C2F"/>
    <w:rsid w:val="008E1F2C"/>
    <w:rsid w:val="008E20E9"/>
    <w:rsid w:val="008E2369"/>
    <w:rsid w:val="008E248F"/>
    <w:rsid w:val="008E28E2"/>
    <w:rsid w:val="008E2D47"/>
    <w:rsid w:val="008E31D5"/>
    <w:rsid w:val="008E31ED"/>
    <w:rsid w:val="008E364B"/>
    <w:rsid w:val="008E376A"/>
    <w:rsid w:val="008E3811"/>
    <w:rsid w:val="008E38F3"/>
    <w:rsid w:val="008E3990"/>
    <w:rsid w:val="008E3BEB"/>
    <w:rsid w:val="008E3C58"/>
    <w:rsid w:val="008E3D21"/>
    <w:rsid w:val="008E3D22"/>
    <w:rsid w:val="008E435B"/>
    <w:rsid w:val="008E4458"/>
    <w:rsid w:val="008E452C"/>
    <w:rsid w:val="008E45EE"/>
    <w:rsid w:val="008E4838"/>
    <w:rsid w:val="008E4949"/>
    <w:rsid w:val="008E4A20"/>
    <w:rsid w:val="008E4BF0"/>
    <w:rsid w:val="008E4C94"/>
    <w:rsid w:val="008E4D9C"/>
    <w:rsid w:val="008E4DBC"/>
    <w:rsid w:val="008E4E2F"/>
    <w:rsid w:val="008E4F8E"/>
    <w:rsid w:val="008E5023"/>
    <w:rsid w:val="008E504E"/>
    <w:rsid w:val="008E509C"/>
    <w:rsid w:val="008E5194"/>
    <w:rsid w:val="008E54A4"/>
    <w:rsid w:val="008E54E8"/>
    <w:rsid w:val="008E54EB"/>
    <w:rsid w:val="008E5669"/>
    <w:rsid w:val="008E5728"/>
    <w:rsid w:val="008E575A"/>
    <w:rsid w:val="008E5768"/>
    <w:rsid w:val="008E58E1"/>
    <w:rsid w:val="008E5946"/>
    <w:rsid w:val="008E5999"/>
    <w:rsid w:val="008E5A0A"/>
    <w:rsid w:val="008E5A31"/>
    <w:rsid w:val="008E5A83"/>
    <w:rsid w:val="008E5AAC"/>
    <w:rsid w:val="008E5B83"/>
    <w:rsid w:val="008E5F37"/>
    <w:rsid w:val="008E618B"/>
    <w:rsid w:val="008E6288"/>
    <w:rsid w:val="008E6375"/>
    <w:rsid w:val="008E63CE"/>
    <w:rsid w:val="008E63D8"/>
    <w:rsid w:val="008E64F5"/>
    <w:rsid w:val="008E6565"/>
    <w:rsid w:val="008E6595"/>
    <w:rsid w:val="008E6596"/>
    <w:rsid w:val="008E6713"/>
    <w:rsid w:val="008E6737"/>
    <w:rsid w:val="008E68D3"/>
    <w:rsid w:val="008E69C0"/>
    <w:rsid w:val="008E6A7C"/>
    <w:rsid w:val="008E6B44"/>
    <w:rsid w:val="008E6F21"/>
    <w:rsid w:val="008E7233"/>
    <w:rsid w:val="008E73D3"/>
    <w:rsid w:val="008E74BC"/>
    <w:rsid w:val="008E7B68"/>
    <w:rsid w:val="008E7C8B"/>
    <w:rsid w:val="008E7CE0"/>
    <w:rsid w:val="008E7D0C"/>
    <w:rsid w:val="008E7D4C"/>
    <w:rsid w:val="008E7F2D"/>
    <w:rsid w:val="008E7F8A"/>
    <w:rsid w:val="008E7FF8"/>
    <w:rsid w:val="008F0139"/>
    <w:rsid w:val="008F027E"/>
    <w:rsid w:val="008F0492"/>
    <w:rsid w:val="008F0534"/>
    <w:rsid w:val="008F06F9"/>
    <w:rsid w:val="008F07C2"/>
    <w:rsid w:val="008F0805"/>
    <w:rsid w:val="008F095C"/>
    <w:rsid w:val="008F0A61"/>
    <w:rsid w:val="008F0BC0"/>
    <w:rsid w:val="008F0C4E"/>
    <w:rsid w:val="008F0C74"/>
    <w:rsid w:val="008F0E4E"/>
    <w:rsid w:val="008F0F03"/>
    <w:rsid w:val="008F0F53"/>
    <w:rsid w:val="008F0F6B"/>
    <w:rsid w:val="008F1011"/>
    <w:rsid w:val="008F1050"/>
    <w:rsid w:val="008F1158"/>
    <w:rsid w:val="008F1347"/>
    <w:rsid w:val="008F152F"/>
    <w:rsid w:val="008F186A"/>
    <w:rsid w:val="008F18AA"/>
    <w:rsid w:val="008F18B9"/>
    <w:rsid w:val="008F18EF"/>
    <w:rsid w:val="008F1903"/>
    <w:rsid w:val="008F1AA1"/>
    <w:rsid w:val="008F1CC6"/>
    <w:rsid w:val="008F1D03"/>
    <w:rsid w:val="008F1DD4"/>
    <w:rsid w:val="008F1E65"/>
    <w:rsid w:val="008F24B2"/>
    <w:rsid w:val="008F261E"/>
    <w:rsid w:val="008F262A"/>
    <w:rsid w:val="008F2632"/>
    <w:rsid w:val="008F27D2"/>
    <w:rsid w:val="008F28C0"/>
    <w:rsid w:val="008F293C"/>
    <w:rsid w:val="008F296E"/>
    <w:rsid w:val="008F2996"/>
    <w:rsid w:val="008F2A20"/>
    <w:rsid w:val="008F2A9A"/>
    <w:rsid w:val="008F2B87"/>
    <w:rsid w:val="008F2C14"/>
    <w:rsid w:val="008F2C9A"/>
    <w:rsid w:val="008F2CD9"/>
    <w:rsid w:val="008F2D3D"/>
    <w:rsid w:val="008F2DAE"/>
    <w:rsid w:val="008F2FB6"/>
    <w:rsid w:val="008F2FD7"/>
    <w:rsid w:val="008F303C"/>
    <w:rsid w:val="008F3139"/>
    <w:rsid w:val="008F31FE"/>
    <w:rsid w:val="008F3492"/>
    <w:rsid w:val="008F35B8"/>
    <w:rsid w:val="008F3767"/>
    <w:rsid w:val="008F398A"/>
    <w:rsid w:val="008F3BFD"/>
    <w:rsid w:val="008F3CDD"/>
    <w:rsid w:val="008F3D0D"/>
    <w:rsid w:val="008F3DB0"/>
    <w:rsid w:val="008F3EDE"/>
    <w:rsid w:val="008F4069"/>
    <w:rsid w:val="008F4371"/>
    <w:rsid w:val="008F43A7"/>
    <w:rsid w:val="008F45EE"/>
    <w:rsid w:val="008F462E"/>
    <w:rsid w:val="008F473A"/>
    <w:rsid w:val="008F47E7"/>
    <w:rsid w:val="008F4BA1"/>
    <w:rsid w:val="008F4BD6"/>
    <w:rsid w:val="008F4CD4"/>
    <w:rsid w:val="008F4D46"/>
    <w:rsid w:val="008F4DAB"/>
    <w:rsid w:val="008F4EBB"/>
    <w:rsid w:val="008F4F72"/>
    <w:rsid w:val="008F4F8B"/>
    <w:rsid w:val="008F4FB3"/>
    <w:rsid w:val="008F4FC3"/>
    <w:rsid w:val="008F50A5"/>
    <w:rsid w:val="008F5142"/>
    <w:rsid w:val="008F517C"/>
    <w:rsid w:val="008F51ED"/>
    <w:rsid w:val="008F528D"/>
    <w:rsid w:val="008F54A6"/>
    <w:rsid w:val="008F54E2"/>
    <w:rsid w:val="008F54FD"/>
    <w:rsid w:val="008F5638"/>
    <w:rsid w:val="008F565D"/>
    <w:rsid w:val="008F5677"/>
    <w:rsid w:val="008F5D18"/>
    <w:rsid w:val="008F5DD6"/>
    <w:rsid w:val="008F5F55"/>
    <w:rsid w:val="008F5FE5"/>
    <w:rsid w:val="008F64B3"/>
    <w:rsid w:val="008F65F8"/>
    <w:rsid w:val="008F67BD"/>
    <w:rsid w:val="008F6EC7"/>
    <w:rsid w:val="008F7239"/>
    <w:rsid w:val="008F728C"/>
    <w:rsid w:val="008F72A2"/>
    <w:rsid w:val="008F733C"/>
    <w:rsid w:val="008F7633"/>
    <w:rsid w:val="008F7A0F"/>
    <w:rsid w:val="008F7B02"/>
    <w:rsid w:val="008F7C50"/>
    <w:rsid w:val="008F7F46"/>
    <w:rsid w:val="008F7F5A"/>
    <w:rsid w:val="0090004C"/>
    <w:rsid w:val="00900135"/>
    <w:rsid w:val="00900155"/>
    <w:rsid w:val="0090031F"/>
    <w:rsid w:val="00900350"/>
    <w:rsid w:val="00900377"/>
    <w:rsid w:val="009003AD"/>
    <w:rsid w:val="0090050E"/>
    <w:rsid w:val="00900603"/>
    <w:rsid w:val="009006FD"/>
    <w:rsid w:val="009007AF"/>
    <w:rsid w:val="00900827"/>
    <w:rsid w:val="0090090A"/>
    <w:rsid w:val="0090093E"/>
    <w:rsid w:val="009009F7"/>
    <w:rsid w:val="00900A45"/>
    <w:rsid w:val="00900AF8"/>
    <w:rsid w:val="00900C33"/>
    <w:rsid w:val="00900CAF"/>
    <w:rsid w:val="00900D1F"/>
    <w:rsid w:val="00901037"/>
    <w:rsid w:val="009010F4"/>
    <w:rsid w:val="00901345"/>
    <w:rsid w:val="009013A7"/>
    <w:rsid w:val="009013C9"/>
    <w:rsid w:val="0090165F"/>
    <w:rsid w:val="0090180F"/>
    <w:rsid w:val="009018D2"/>
    <w:rsid w:val="00901AD1"/>
    <w:rsid w:val="00901B0A"/>
    <w:rsid w:val="00901B4B"/>
    <w:rsid w:val="00901BBD"/>
    <w:rsid w:val="00901C84"/>
    <w:rsid w:val="00901D12"/>
    <w:rsid w:val="009020C6"/>
    <w:rsid w:val="00902134"/>
    <w:rsid w:val="00902140"/>
    <w:rsid w:val="0090259E"/>
    <w:rsid w:val="009027DE"/>
    <w:rsid w:val="00902811"/>
    <w:rsid w:val="009029CF"/>
    <w:rsid w:val="00902B83"/>
    <w:rsid w:val="00902BD4"/>
    <w:rsid w:val="00902E2B"/>
    <w:rsid w:val="00902E30"/>
    <w:rsid w:val="00902F49"/>
    <w:rsid w:val="00903042"/>
    <w:rsid w:val="009033BB"/>
    <w:rsid w:val="0090341C"/>
    <w:rsid w:val="009034B5"/>
    <w:rsid w:val="0090373E"/>
    <w:rsid w:val="0090388B"/>
    <w:rsid w:val="00903928"/>
    <w:rsid w:val="009039EE"/>
    <w:rsid w:val="00903A8D"/>
    <w:rsid w:val="00903CA6"/>
    <w:rsid w:val="00903CDF"/>
    <w:rsid w:val="00903CF2"/>
    <w:rsid w:val="00903F33"/>
    <w:rsid w:val="00903FDA"/>
    <w:rsid w:val="00903FDF"/>
    <w:rsid w:val="009040B5"/>
    <w:rsid w:val="009040EA"/>
    <w:rsid w:val="009041B5"/>
    <w:rsid w:val="00904285"/>
    <w:rsid w:val="00904454"/>
    <w:rsid w:val="009047D6"/>
    <w:rsid w:val="0090484B"/>
    <w:rsid w:val="00904865"/>
    <w:rsid w:val="0090490F"/>
    <w:rsid w:val="009049D4"/>
    <w:rsid w:val="00904A7C"/>
    <w:rsid w:val="00904B00"/>
    <w:rsid w:val="00904C22"/>
    <w:rsid w:val="00904D6C"/>
    <w:rsid w:val="00904DD5"/>
    <w:rsid w:val="00904DE7"/>
    <w:rsid w:val="00904DEA"/>
    <w:rsid w:val="00904F66"/>
    <w:rsid w:val="00904FC2"/>
    <w:rsid w:val="0090527F"/>
    <w:rsid w:val="009053F7"/>
    <w:rsid w:val="009055F7"/>
    <w:rsid w:val="009056A5"/>
    <w:rsid w:val="009056F9"/>
    <w:rsid w:val="009058E5"/>
    <w:rsid w:val="00905911"/>
    <w:rsid w:val="0090596A"/>
    <w:rsid w:val="009059BA"/>
    <w:rsid w:val="00905E1C"/>
    <w:rsid w:val="00905F37"/>
    <w:rsid w:val="00906097"/>
    <w:rsid w:val="00906099"/>
    <w:rsid w:val="009060B3"/>
    <w:rsid w:val="009060CF"/>
    <w:rsid w:val="009062A0"/>
    <w:rsid w:val="009064C8"/>
    <w:rsid w:val="009064D5"/>
    <w:rsid w:val="00906518"/>
    <w:rsid w:val="009066D7"/>
    <w:rsid w:val="0090671F"/>
    <w:rsid w:val="009068F9"/>
    <w:rsid w:val="00906A7A"/>
    <w:rsid w:val="00906B3B"/>
    <w:rsid w:val="00906CA1"/>
    <w:rsid w:val="00906DE6"/>
    <w:rsid w:val="00906E22"/>
    <w:rsid w:val="00906EB4"/>
    <w:rsid w:val="00906EFE"/>
    <w:rsid w:val="00906F54"/>
    <w:rsid w:val="00906FB5"/>
    <w:rsid w:val="00906FC3"/>
    <w:rsid w:val="0090703C"/>
    <w:rsid w:val="0090711C"/>
    <w:rsid w:val="00907147"/>
    <w:rsid w:val="00907213"/>
    <w:rsid w:val="00907250"/>
    <w:rsid w:val="00907258"/>
    <w:rsid w:val="0090727E"/>
    <w:rsid w:val="009073BC"/>
    <w:rsid w:val="009073FC"/>
    <w:rsid w:val="009074FE"/>
    <w:rsid w:val="00907681"/>
    <w:rsid w:val="00907807"/>
    <w:rsid w:val="0090780C"/>
    <w:rsid w:val="0090782F"/>
    <w:rsid w:val="009078A4"/>
    <w:rsid w:val="00907969"/>
    <w:rsid w:val="009079B0"/>
    <w:rsid w:val="00907ABF"/>
    <w:rsid w:val="00907B7E"/>
    <w:rsid w:val="00907F64"/>
    <w:rsid w:val="00907FFE"/>
    <w:rsid w:val="00910011"/>
    <w:rsid w:val="00910079"/>
    <w:rsid w:val="0091029D"/>
    <w:rsid w:val="00910335"/>
    <w:rsid w:val="009103E3"/>
    <w:rsid w:val="00910428"/>
    <w:rsid w:val="009104E0"/>
    <w:rsid w:val="009105E2"/>
    <w:rsid w:val="00910636"/>
    <w:rsid w:val="009107C9"/>
    <w:rsid w:val="0091086C"/>
    <w:rsid w:val="00910A24"/>
    <w:rsid w:val="00910AD9"/>
    <w:rsid w:val="00910C98"/>
    <w:rsid w:val="00910D16"/>
    <w:rsid w:val="00910E21"/>
    <w:rsid w:val="00910EBF"/>
    <w:rsid w:val="00911119"/>
    <w:rsid w:val="009113F6"/>
    <w:rsid w:val="009114E3"/>
    <w:rsid w:val="009114FD"/>
    <w:rsid w:val="00911558"/>
    <w:rsid w:val="0091156E"/>
    <w:rsid w:val="009115AF"/>
    <w:rsid w:val="00911674"/>
    <w:rsid w:val="00911848"/>
    <w:rsid w:val="00911A8B"/>
    <w:rsid w:val="00911F45"/>
    <w:rsid w:val="00912250"/>
    <w:rsid w:val="0091230F"/>
    <w:rsid w:val="0091252E"/>
    <w:rsid w:val="00912713"/>
    <w:rsid w:val="0091278A"/>
    <w:rsid w:val="009128C9"/>
    <w:rsid w:val="009129F8"/>
    <w:rsid w:val="00912ACC"/>
    <w:rsid w:val="00912BC3"/>
    <w:rsid w:val="00912C66"/>
    <w:rsid w:val="00912D1E"/>
    <w:rsid w:val="00912DBC"/>
    <w:rsid w:val="00912DF6"/>
    <w:rsid w:val="00912E54"/>
    <w:rsid w:val="00913135"/>
    <w:rsid w:val="00913343"/>
    <w:rsid w:val="009134D5"/>
    <w:rsid w:val="009134E2"/>
    <w:rsid w:val="00913520"/>
    <w:rsid w:val="009136A2"/>
    <w:rsid w:val="00913713"/>
    <w:rsid w:val="009137C3"/>
    <w:rsid w:val="009137D2"/>
    <w:rsid w:val="0091381A"/>
    <w:rsid w:val="00913862"/>
    <w:rsid w:val="00913A53"/>
    <w:rsid w:val="00913B7A"/>
    <w:rsid w:val="0091416F"/>
    <w:rsid w:val="009141FC"/>
    <w:rsid w:val="009144EB"/>
    <w:rsid w:val="00914504"/>
    <w:rsid w:val="009146A1"/>
    <w:rsid w:val="00914787"/>
    <w:rsid w:val="009147E1"/>
    <w:rsid w:val="009147E8"/>
    <w:rsid w:val="00914805"/>
    <w:rsid w:val="00914983"/>
    <w:rsid w:val="00914AB5"/>
    <w:rsid w:val="00914CE1"/>
    <w:rsid w:val="00914F8E"/>
    <w:rsid w:val="00914FD3"/>
    <w:rsid w:val="00915142"/>
    <w:rsid w:val="00915351"/>
    <w:rsid w:val="00915381"/>
    <w:rsid w:val="009153AD"/>
    <w:rsid w:val="009153EE"/>
    <w:rsid w:val="00915746"/>
    <w:rsid w:val="009157E1"/>
    <w:rsid w:val="00915914"/>
    <w:rsid w:val="00915980"/>
    <w:rsid w:val="00915C2B"/>
    <w:rsid w:val="00915CE3"/>
    <w:rsid w:val="00915ED7"/>
    <w:rsid w:val="00915FBB"/>
    <w:rsid w:val="009162EC"/>
    <w:rsid w:val="00916381"/>
    <w:rsid w:val="00916447"/>
    <w:rsid w:val="009167B8"/>
    <w:rsid w:val="009167C0"/>
    <w:rsid w:val="00916B81"/>
    <w:rsid w:val="00916BB5"/>
    <w:rsid w:val="00916C7A"/>
    <w:rsid w:val="00916D1D"/>
    <w:rsid w:val="00916D83"/>
    <w:rsid w:val="00916F64"/>
    <w:rsid w:val="009171DA"/>
    <w:rsid w:val="009171F8"/>
    <w:rsid w:val="0091720D"/>
    <w:rsid w:val="00917358"/>
    <w:rsid w:val="009173F4"/>
    <w:rsid w:val="0091749B"/>
    <w:rsid w:val="009174A9"/>
    <w:rsid w:val="0091760C"/>
    <w:rsid w:val="009177E7"/>
    <w:rsid w:val="00917F49"/>
    <w:rsid w:val="00917FAA"/>
    <w:rsid w:val="009200E3"/>
    <w:rsid w:val="00920428"/>
    <w:rsid w:val="0092049D"/>
    <w:rsid w:val="00920560"/>
    <w:rsid w:val="00920842"/>
    <w:rsid w:val="00920895"/>
    <w:rsid w:val="00920959"/>
    <w:rsid w:val="00920AC3"/>
    <w:rsid w:val="00920B09"/>
    <w:rsid w:val="00920B60"/>
    <w:rsid w:val="00920D89"/>
    <w:rsid w:val="00920EBC"/>
    <w:rsid w:val="00920FDE"/>
    <w:rsid w:val="00921187"/>
    <w:rsid w:val="00921190"/>
    <w:rsid w:val="00921259"/>
    <w:rsid w:val="009216CC"/>
    <w:rsid w:val="009216EC"/>
    <w:rsid w:val="0092176A"/>
    <w:rsid w:val="00921938"/>
    <w:rsid w:val="00921A20"/>
    <w:rsid w:val="00921CC5"/>
    <w:rsid w:val="00921DA9"/>
    <w:rsid w:val="00921ECA"/>
    <w:rsid w:val="00921FFB"/>
    <w:rsid w:val="00922082"/>
    <w:rsid w:val="009220CA"/>
    <w:rsid w:val="0092213A"/>
    <w:rsid w:val="00922159"/>
    <w:rsid w:val="0092225B"/>
    <w:rsid w:val="00922292"/>
    <w:rsid w:val="009222DE"/>
    <w:rsid w:val="009225B7"/>
    <w:rsid w:val="009228B1"/>
    <w:rsid w:val="00922974"/>
    <w:rsid w:val="00922BF1"/>
    <w:rsid w:val="00922CC4"/>
    <w:rsid w:val="00922D08"/>
    <w:rsid w:val="00922D1B"/>
    <w:rsid w:val="00922D34"/>
    <w:rsid w:val="00922E89"/>
    <w:rsid w:val="00922F33"/>
    <w:rsid w:val="00923059"/>
    <w:rsid w:val="0092323C"/>
    <w:rsid w:val="009232FF"/>
    <w:rsid w:val="00923361"/>
    <w:rsid w:val="0092354B"/>
    <w:rsid w:val="009236AF"/>
    <w:rsid w:val="00923775"/>
    <w:rsid w:val="009238FC"/>
    <w:rsid w:val="00923A98"/>
    <w:rsid w:val="00923B67"/>
    <w:rsid w:val="00923C7D"/>
    <w:rsid w:val="00923E12"/>
    <w:rsid w:val="00923E76"/>
    <w:rsid w:val="00923EEC"/>
    <w:rsid w:val="0092419D"/>
    <w:rsid w:val="00924246"/>
    <w:rsid w:val="00924261"/>
    <w:rsid w:val="00924265"/>
    <w:rsid w:val="0092437D"/>
    <w:rsid w:val="009243B4"/>
    <w:rsid w:val="00924427"/>
    <w:rsid w:val="009245E7"/>
    <w:rsid w:val="00924604"/>
    <w:rsid w:val="009246AD"/>
    <w:rsid w:val="00924761"/>
    <w:rsid w:val="00924776"/>
    <w:rsid w:val="009248E8"/>
    <w:rsid w:val="009249EC"/>
    <w:rsid w:val="00924A68"/>
    <w:rsid w:val="00924AC0"/>
    <w:rsid w:val="00924AF3"/>
    <w:rsid w:val="00924B59"/>
    <w:rsid w:val="00924E30"/>
    <w:rsid w:val="00924E6D"/>
    <w:rsid w:val="00924F66"/>
    <w:rsid w:val="00924F7F"/>
    <w:rsid w:val="00924FA2"/>
    <w:rsid w:val="00925063"/>
    <w:rsid w:val="00925187"/>
    <w:rsid w:val="00925298"/>
    <w:rsid w:val="009253A2"/>
    <w:rsid w:val="0092549E"/>
    <w:rsid w:val="00925557"/>
    <w:rsid w:val="0092556E"/>
    <w:rsid w:val="00925589"/>
    <w:rsid w:val="009255B1"/>
    <w:rsid w:val="009255DA"/>
    <w:rsid w:val="009255E5"/>
    <w:rsid w:val="009256A9"/>
    <w:rsid w:val="009256C5"/>
    <w:rsid w:val="00925706"/>
    <w:rsid w:val="009257CF"/>
    <w:rsid w:val="009258BE"/>
    <w:rsid w:val="00925948"/>
    <w:rsid w:val="00925982"/>
    <w:rsid w:val="00925A87"/>
    <w:rsid w:val="00925D1C"/>
    <w:rsid w:val="00925E12"/>
    <w:rsid w:val="009263D3"/>
    <w:rsid w:val="00926428"/>
    <w:rsid w:val="0092666C"/>
    <w:rsid w:val="0092668D"/>
    <w:rsid w:val="009266DE"/>
    <w:rsid w:val="009268A4"/>
    <w:rsid w:val="0092693C"/>
    <w:rsid w:val="00926A60"/>
    <w:rsid w:val="00926C62"/>
    <w:rsid w:val="00926C7C"/>
    <w:rsid w:val="00926E89"/>
    <w:rsid w:val="00926EE4"/>
    <w:rsid w:val="009270B7"/>
    <w:rsid w:val="00927149"/>
    <w:rsid w:val="00927159"/>
    <w:rsid w:val="00927245"/>
    <w:rsid w:val="009272F4"/>
    <w:rsid w:val="00927691"/>
    <w:rsid w:val="009277E8"/>
    <w:rsid w:val="009278EA"/>
    <w:rsid w:val="0092791D"/>
    <w:rsid w:val="00927952"/>
    <w:rsid w:val="00927AFB"/>
    <w:rsid w:val="00927D70"/>
    <w:rsid w:val="00927D77"/>
    <w:rsid w:val="00927DC5"/>
    <w:rsid w:val="00927E0D"/>
    <w:rsid w:val="00927E51"/>
    <w:rsid w:val="00927F1B"/>
    <w:rsid w:val="00930051"/>
    <w:rsid w:val="00930068"/>
    <w:rsid w:val="009301FC"/>
    <w:rsid w:val="009302CB"/>
    <w:rsid w:val="0093035A"/>
    <w:rsid w:val="00930563"/>
    <w:rsid w:val="0093057A"/>
    <w:rsid w:val="009305FF"/>
    <w:rsid w:val="00930702"/>
    <w:rsid w:val="00930A3A"/>
    <w:rsid w:val="00930A5E"/>
    <w:rsid w:val="00930A76"/>
    <w:rsid w:val="00930B79"/>
    <w:rsid w:val="00930BFF"/>
    <w:rsid w:val="00930C89"/>
    <w:rsid w:val="00930CA9"/>
    <w:rsid w:val="00930DF0"/>
    <w:rsid w:val="00930E74"/>
    <w:rsid w:val="00930EB5"/>
    <w:rsid w:val="0093125B"/>
    <w:rsid w:val="009312F1"/>
    <w:rsid w:val="00931384"/>
    <w:rsid w:val="009313E5"/>
    <w:rsid w:val="009314AD"/>
    <w:rsid w:val="00931752"/>
    <w:rsid w:val="009317D6"/>
    <w:rsid w:val="00931816"/>
    <w:rsid w:val="00931875"/>
    <w:rsid w:val="009318FF"/>
    <w:rsid w:val="00931A04"/>
    <w:rsid w:val="00931F0A"/>
    <w:rsid w:val="009321AC"/>
    <w:rsid w:val="00932590"/>
    <w:rsid w:val="0093288E"/>
    <w:rsid w:val="00932E4B"/>
    <w:rsid w:val="00932FBE"/>
    <w:rsid w:val="00932FF8"/>
    <w:rsid w:val="00933158"/>
    <w:rsid w:val="009334B7"/>
    <w:rsid w:val="009335DC"/>
    <w:rsid w:val="0093397E"/>
    <w:rsid w:val="00933A5E"/>
    <w:rsid w:val="00933C59"/>
    <w:rsid w:val="00933DFD"/>
    <w:rsid w:val="00933ECA"/>
    <w:rsid w:val="00933F95"/>
    <w:rsid w:val="00934001"/>
    <w:rsid w:val="009342A9"/>
    <w:rsid w:val="009344ED"/>
    <w:rsid w:val="00934832"/>
    <w:rsid w:val="009348DF"/>
    <w:rsid w:val="009349BB"/>
    <w:rsid w:val="009349E7"/>
    <w:rsid w:val="00934B91"/>
    <w:rsid w:val="00934E7A"/>
    <w:rsid w:val="00934FD8"/>
    <w:rsid w:val="009351D5"/>
    <w:rsid w:val="009352DD"/>
    <w:rsid w:val="0093553C"/>
    <w:rsid w:val="00935664"/>
    <w:rsid w:val="0093586B"/>
    <w:rsid w:val="009358E7"/>
    <w:rsid w:val="00935A2F"/>
    <w:rsid w:val="00935A72"/>
    <w:rsid w:val="00935C53"/>
    <w:rsid w:val="00935CC1"/>
    <w:rsid w:val="00935CE3"/>
    <w:rsid w:val="00935E44"/>
    <w:rsid w:val="00935F08"/>
    <w:rsid w:val="00935F6B"/>
    <w:rsid w:val="00936000"/>
    <w:rsid w:val="009360A5"/>
    <w:rsid w:val="009361B8"/>
    <w:rsid w:val="00936252"/>
    <w:rsid w:val="009362B4"/>
    <w:rsid w:val="009363A0"/>
    <w:rsid w:val="00936422"/>
    <w:rsid w:val="009367D7"/>
    <w:rsid w:val="009368C3"/>
    <w:rsid w:val="009369F4"/>
    <w:rsid w:val="00936B99"/>
    <w:rsid w:val="00936BE2"/>
    <w:rsid w:val="00936C83"/>
    <w:rsid w:val="00936CFE"/>
    <w:rsid w:val="00936D77"/>
    <w:rsid w:val="00936DB0"/>
    <w:rsid w:val="00937302"/>
    <w:rsid w:val="00937310"/>
    <w:rsid w:val="009373D1"/>
    <w:rsid w:val="0093753C"/>
    <w:rsid w:val="00937598"/>
    <w:rsid w:val="009376B5"/>
    <w:rsid w:val="009378E7"/>
    <w:rsid w:val="009379BF"/>
    <w:rsid w:val="00937ABD"/>
    <w:rsid w:val="00937C0E"/>
    <w:rsid w:val="00937C5A"/>
    <w:rsid w:val="00937D38"/>
    <w:rsid w:val="00937DC1"/>
    <w:rsid w:val="00937E19"/>
    <w:rsid w:val="00937EFD"/>
    <w:rsid w:val="00937F0E"/>
    <w:rsid w:val="00940240"/>
    <w:rsid w:val="00940328"/>
    <w:rsid w:val="009403AE"/>
    <w:rsid w:val="00940413"/>
    <w:rsid w:val="009404FE"/>
    <w:rsid w:val="00940535"/>
    <w:rsid w:val="0094062B"/>
    <w:rsid w:val="00940827"/>
    <w:rsid w:val="0094085F"/>
    <w:rsid w:val="00940924"/>
    <w:rsid w:val="009409AD"/>
    <w:rsid w:val="00940A35"/>
    <w:rsid w:val="00940A69"/>
    <w:rsid w:val="00940BD3"/>
    <w:rsid w:val="00940D25"/>
    <w:rsid w:val="00940D4F"/>
    <w:rsid w:val="00940EB2"/>
    <w:rsid w:val="00941011"/>
    <w:rsid w:val="0094139A"/>
    <w:rsid w:val="009415CA"/>
    <w:rsid w:val="00941632"/>
    <w:rsid w:val="009418D5"/>
    <w:rsid w:val="00941932"/>
    <w:rsid w:val="00941B3F"/>
    <w:rsid w:val="00941C9D"/>
    <w:rsid w:val="00941D02"/>
    <w:rsid w:val="00941EAD"/>
    <w:rsid w:val="009420AF"/>
    <w:rsid w:val="009420F9"/>
    <w:rsid w:val="009423E9"/>
    <w:rsid w:val="0094281F"/>
    <w:rsid w:val="00942A2A"/>
    <w:rsid w:val="00942E8B"/>
    <w:rsid w:val="00943002"/>
    <w:rsid w:val="009431B5"/>
    <w:rsid w:val="0094329E"/>
    <w:rsid w:val="0094342A"/>
    <w:rsid w:val="00943458"/>
    <w:rsid w:val="0094345B"/>
    <w:rsid w:val="009434F5"/>
    <w:rsid w:val="009436D6"/>
    <w:rsid w:val="00943776"/>
    <w:rsid w:val="00943820"/>
    <w:rsid w:val="009439E0"/>
    <w:rsid w:val="00943AB7"/>
    <w:rsid w:val="00943F73"/>
    <w:rsid w:val="00943FE0"/>
    <w:rsid w:val="0094406F"/>
    <w:rsid w:val="00944082"/>
    <w:rsid w:val="00944155"/>
    <w:rsid w:val="00944259"/>
    <w:rsid w:val="009443B2"/>
    <w:rsid w:val="0094441C"/>
    <w:rsid w:val="00944618"/>
    <w:rsid w:val="00944666"/>
    <w:rsid w:val="009446E8"/>
    <w:rsid w:val="00944851"/>
    <w:rsid w:val="00944878"/>
    <w:rsid w:val="009448A5"/>
    <w:rsid w:val="00944A08"/>
    <w:rsid w:val="00944AB4"/>
    <w:rsid w:val="00944C27"/>
    <w:rsid w:val="00944C2D"/>
    <w:rsid w:val="00944CA6"/>
    <w:rsid w:val="00944D76"/>
    <w:rsid w:val="00944E9D"/>
    <w:rsid w:val="00945052"/>
    <w:rsid w:val="009450B2"/>
    <w:rsid w:val="009450F5"/>
    <w:rsid w:val="00945224"/>
    <w:rsid w:val="00945239"/>
    <w:rsid w:val="009452BB"/>
    <w:rsid w:val="009455A6"/>
    <w:rsid w:val="00945884"/>
    <w:rsid w:val="0094588F"/>
    <w:rsid w:val="00945911"/>
    <w:rsid w:val="009459C3"/>
    <w:rsid w:val="00945C40"/>
    <w:rsid w:val="00945CCB"/>
    <w:rsid w:val="00945CDF"/>
    <w:rsid w:val="00945DBC"/>
    <w:rsid w:val="00945FB2"/>
    <w:rsid w:val="0094608D"/>
    <w:rsid w:val="00946209"/>
    <w:rsid w:val="0094622A"/>
    <w:rsid w:val="009462B8"/>
    <w:rsid w:val="009462E6"/>
    <w:rsid w:val="009465D2"/>
    <w:rsid w:val="009466F7"/>
    <w:rsid w:val="00946913"/>
    <w:rsid w:val="009469D0"/>
    <w:rsid w:val="00946CE4"/>
    <w:rsid w:val="00946E73"/>
    <w:rsid w:val="00946F4E"/>
    <w:rsid w:val="00947024"/>
    <w:rsid w:val="00947075"/>
    <w:rsid w:val="00947160"/>
    <w:rsid w:val="00947388"/>
    <w:rsid w:val="0094744B"/>
    <w:rsid w:val="009475FC"/>
    <w:rsid w:val="009476BA"/>
    <w:rsid w:val="00947753"/>
    <w:rsid w:val="00947764"/>
    <w:rsid w:val="009477C1"/>
    <w:rsid w:val="009477CD"/>
    <w:rsid w:val="00947817"/>
    <w:rsid w:val="00947879"/>
    <w:rsid w:val="00947944"/>
    <w:rsid w:val="00947B54"/>
    <w:rsid w:val="00947DD5"/>
    <w:rsid w:val="00950216"/>
    <w:rsid w:val="00950230"/>
    <w:rsid w:val="009502F3"/>
    <w:rsid w:val="00950878"/>
    <w:rsid w:val="00950A65"/>
    <w:rsid w:val="00950B7D"/>
    <w:rsid w:val="00950C49"/>
    <w:rsid w:val="00950C62"/>
    <w:rsid w:val="00950CFB"/>
    <w:rsid w:val="00950D77"/>
    <w:rsid w:val="00950E3B"/>
    <w:rsid w:val="00950EEE"/>
    <w:rsid w:val="00950F71"/>
    <w:rsid w:val="0095116A"/>
    <w:rsid w:val="00951233"/>
    <w:rsid w:val="00951251"/>
    <w:rsid w:val="0095140C"/>
    <w:rsid w:val="0095183C"/>
    <w:rsid w:val="00951925"/>
    <w:rsid w:val="009519D1"/>
    <w:rsid w:val="00951B26"/>
    <w:rsid w:val="00951B5F"/>
    <w:rsid w:val="00951C25"/>
    <w:rsid w:val="00951C64"/>
    <w:rsid w:val="00951CAD"/>
    <w:rsid w:val="00951CEB"/>
    <w:rsid w:val="00951D21"/>
    <w:rsid w:val="00951DE9"/>
    <w:rsid w:val="00951E32"/>
    <w:rsid w:val="00952023"/>
    <w:rsid w:val="009520F0"/>
    <w:rsid w:val="009522E9"/>
    <w:rsid w:val="00952306"/>
    <w:rsid w:val="009523EC"/>
    <w:rsid w:val="00952518"/>
    <w:rsid w:val="00952633"/>
    <w:rsid w:val="00952801"/>
    <w:rsid w:val="00952871"/>
    <w:rsid w:val="009528B4"/>
    <w:rsid w:val="00952AE2"/>
    <w:rsid w:val="00952BA7"/>
    <w:rsid w:val="00952C36"/>
    <w:rsid w:val="00952CA3"/>
    <w:rsid w:val="00952E9C"/>
    <w:rsid w:val="00952F16"/>
    <w:rsid w:val="00953057"/>
    <w:rsid w:val="00953058"/>
    <w:rsid w:val="00953171"/>
    <w:rsid w:val="00953176"/>
    <w:rsid w:val="0095319B"/>
    <w:rsid w:val="009531F8"/>
    <w:rsid w:val="00953332"/>
    <w:rsid w:val="0095357F"/>
    <w:rsid w:val="009535ED"/>
    <w:rsid w:val="00953678"/>
    <w:rsid w:val="0095389B"/>
    <w:rsid w:val="009538CD"/>
    <w:rsid w:val="009538FC"/>
    <w:rsid w:val="009539B5"/>
    <w:rsid w:val="00953B20"/>
    <w:rsid w:val="00953EAB"/>
    <w:rsid w:val="00953EB9"/>
    <w:rsid w:val="00953FCC"/>
    <w:rsid w:val="009541C0"/>
    <w:rsid w:val="009541D0"/>
    <w:rsid w:val="00954421"/>
    <w:rsid w:val="00954586"/>
    <w:rsid w:val="0095472C"/>
    <w:rsid w:val="00954746"/>
    <w:rsid w:val="009547AD"/>
    <w:rsid w:val="009547B2"/>
    <w:rsid w:val="009547E5"/>
    <w:rsid w:val="00954C15"/>
    <w:rsid w:val="00954D60"/>
    <w:rsid w:val="00954DA1"/>
    <w:rsid w:val="00954EBE"/>
    <w:rsid w:val="0095509A"/>
    <w:rsid w:val="0095526E"/>
    <w:rsid w:val="00955284"/>
    <w:rsid w:val="009553B3"/>
    <w:rsid w:val="009553D6"/>
    <w:rsid w:val="0095546C"/>
    <w:rsid w:val="009554A0"/>
    <w:rsid w:val="00955520"/>
    <w:rsid w:val="009555D6"/>
    <w:rsid w:val="009557DE"/>
    <w:rsid w:val="00955A5F"/>
    <w:rsid w:val="00955A6C"/>
    <w:rsid w:val="00955AE6"/>
    <w:rsid w:val="00955AF6"/>
    <w:rsid w:val="00955D8B"/>
    <w:rsid w:val="00955E4F"/>
    <w:rsid w:val="00955ED5"/>
    <w:rsid w:val="00956081"/>
    <w:rsid w:val="00956096"/>
    <w:rsid w:val="00956182"/>
    <w:rsid w:val="0095640E"/>
    <w:rsid w:val="00956581"/>
    <w:rsid w:val="0095659B"/>
    <w:rsid w:val="009566B6"/>
    <w:rsid w:val="0095699C"/>
    <w:rsid w:val="00956CC7"/>
    <w:rsid w:val="00956D1F"/>
    <w:rsid w:val="009572DD"/>
    <w:rsid w:val="009574F4"/>
    <w:rsid w:val="009575AF"/>
    <w:rsid w:val="0095788C"/>
    <w:rsid w:val="009578E6"/>
    <w:rsid w:val="00957940"/>
    <w:rsid w:val="00957978"/>
    <w:rsid w:val="0095797C"/>
    <w:rsid w:val="00957B45"/>
    <w:rsid w:val="00957D43"/>
    <w:rsid w:val="00957D69"/>
    <w:rsid w:val="00957EAE"/>
    <w:rsid w:val="00957F12"/>
    <w:rsid w:val="00957FB3"/>
    <w:rsid w:val="009600F1"/>
    <w:rsid w:val="009601B1"/>
    <w:rsid w:val="009601CD"/>
    <w:rsid w:val="00960219"/>
    <w:rsid w:val="0096031F"/>
    <w:rsid w:val="00960668"/>
    <w:rsid w:val="0096067F"/>
    <w:rsid w:val="00960756"/>
    <w:rsid w:val="00960993"/>
    <w:rsid w:val="00960ADB"/>
    <w:rsid w:val="00960AEE"/>
    <w:rsid w:val="00960BD8"/>
    <w:rsid w:val="00960C57"/>
    <w:rsid w:val="00960DAB"/>
    <w:rsid w:val="00960E83"/>
    <w:rsid w:val="00960EBD"/>
    <w:rsid w:val="00960EEA"/>
    <w:rsid w:val="00960F07"/>
    <w:rsid w:val="00960F11"/>
    <w:rsid w:val="00960FD9"/>
    <w:rsid w:val="00960FE9"/>
    <w:rsid w:val="009610F0"/>
    <w:rsid w:val="0096116C"/>
    <w:rsid w:val="009611B3"/>
    <w:rsid w:val="00961274"/>
    <w:rsid w:val="009614D0"/>
    <w:rsid w:val="0096154E"/>
    <w:rsid w:val="00961722"/>
    <w:rsid w:val="00961811"/>
    <w:rsid w:val="00961813"/>
    <w:rsid w:val="0096191F"/>
    <w:rsid w:val="00961A90"/>
    <w:rsid w:val="00961B1C"/>
    <w:rsid w:val="00961B1F"/>
    <w:rsid w:val="00961B81"/>
    <w:rsid w:val="00961C20"/>
    <w:rsid w:val="00961C48"/>
    <w:rsid w:val="00961C4A"/>
    <w:rsid w:val="00961D6F"/>
    <w:rsid w:val="00961E80"/>
    <w:rsid w:val="00961EBF"/>
    <w:rsid w:val="0096200D"/>
    <w:rsid w:val="0096201A"/>
    <w:rsid w:val="00962087"/>
    <w:rsid w:val="00962148"/>
    <w:rsid w:val="009621AC"/>
    <w:rsid w:val="0096231F"/>
    <w:rsid w:val="0096235D"/>
    <w:rsid w:val="00962364"/>
    <w:rsid w:val="009623EE"/>
    <w:rsid w:val="009624EE"/>
    <w:rsid w:val="0096250E"/>
    <w:rsid w:val="009626E2"/>
    <w:rsid w:val="00962786"/>
    <w:rsid w:val="00962A90"/>
    <w:rsid w:val="00962B59"/>
    <w:rsid w:val="00962D42"/>
    <w:rsid w:val="00962E44"/>
    <w:rsid w:val="00962E4C"/>
    <w:rsid w:val="00963018"/>
    <w:rsid w:val="0096303E"/>
    <w:rsid w:val="009632E8"/>
    <w:rsid w:val="0096335A"/>
    <w:rsid w:val="0096336D"/>
    <w:rsid w:val="00963493"/>
    <w:rsid w:val="00963562"/>
    <w:rsid w:val="00963576"/>
    <w:rsid w:val="0096374B"/>
    <w:rsid w:val="0096390D"/>
    <w:rsid w:val="00963A12"/>
    <w:rsid w:val="00963A27"/>
    <w:rsid w:val="00963A69"/>
    <w:rsid w:val="00963B75"/>
    <w:rsid w:val="00963BB1"/>
    <w:rsid w:val="00963BCE"/>
    <w:rsid w:val="00963D00"/>
    <w:rsid w:val="00963F62"/>
    <w:rsid w:val="00963FD4"/>
    <w:rsid w:val="0096418A"/>
    <w:rsid w:val="009641BB"/>
    <w:rsid w:val="0096448E"/>
    <w:rsid w:val="0096452E"/>
    <w:rsid w:val="00964550"/>
    <w:rsid w:val="009645B2"/>
    <w:rsid w:val="009645FD"/>
    <w:rsid w:val="009646EB"/>
    <w:rsid w:val="0096479A"/>
    <w:rsid w:val="00964829"/>
    <w:rsid w:val="0096483B"/>
    <w:rsid w:val="00964880"/>
    <w:rsid w:val="009648EC"/>
    <w:rsid w:val="00964903"/>
    <w:rsid w:val="00964ABD"/>
    <w:rsid w:val="00964D7F"/>
    <w:rsid w:val="00964DB8"/>
    <w:rsid w:val="00964DCA"/>
    <w:rsid w:val="00964DD6"/>
    <w:rsid w:val="00964F46"/>
    <w:rsid w:val="00965214"/>
    <w:rsid w:val="0096522A"/>
    <w:rsid w:val="0096529E"/>
    <w:rsid w:val="00965494"/>
    <w:rsid w:val="009656A6"/>
    <w:rsid w:val="00965720"/>
    <w:rsid w:val="00965784"/>
    <w:rsid w:val="009657F6"/>
    <w:rsid w:val="00965944"/>
    <w:rsid w:val="00965967"/>
    <w:rsid w:val="00965A46"/>
    <w:rsid w:val="00965A65"/>
    <w:rsid w:val="00965ADC"/>
    <w:rsid w:val="00965BE3"/>
    <w:rsid w:val="00965C2A"/>
    <w:rsid w:val="00965C55"/>
    <w:rsid w:val="00965C83"/>
    <w:rsid w:val="00965E3A"/>
    <w:rsid w:val="00965EE2"/>
    <w:rsid w:val="009660C2"/>
    <w:rsid w:val="00966117"/>
    <w:rsid w:val="00966300"/>
    <w:rsid w:val="00966455"/>
    <w:rsid w:val="00966493"/>
    <w:rsid w:val="00966601"/>
    <w:rsid w:val="009666DC"/>
    <w:rsid w:val="0096671D"/>
    <w:rsid w:val="009667BE"/>
    <w:rsid w:val="00966837"/>
    <w:rsid w:val="00966AC9"/>
    <w:rsid w:val="00966B8C"/>
    <w:rsid w:val="00966E01"/>
    <w:rsid w:val="0096733A"/>
    <w:rsid w:val="0096743A"/>
    <w:rsid w:val="009675CD"/>
    <w:rsid w:val="0096769E"/>
    <w:rsid w:val="00967712"/>
    <w:rsid w:val="0096787C"/>
    <w:rsid w:val="00967A64"/>
    <w:rsid w:val="00967BB0"/>
    <w:rsid w:val="00967C5B"/>
    <w:rsid w:val="00967CD1"/>
    <w:rsid w:val="00967D01"/>
    <w:rsid w:val="00967D3D"/>
    <w:rsid w:val="00967D45"/>
    <w:rsid w:val="0097003B"/>
    <w:rsid w:val="00970296"/>
    <w:rsid w:val="0097044D"/>
    <w:rsid w:val="009704E6"/>
    <w:rsid w:val="00970536"/>
    <w:rsid w:val="00970578"/>
    <w:rsid w:val="0097059F"/>
    <w:rsid w:val="009706CF"/>
    <w:rsid w:val="009706F9"/>
    <w:rsid w:val="00970A07"/>
    <w:rsid w:val="00970C28"/>
    <w:rsid w:val="00970C50"/>
    <w:rsid w:val="00970C5E"/>
    <w:rsid w:val="00970D87"/>
    <w:rsid w:val="009718C9"/>
    <w:rsid w:val="00971900"/>
    <w:rsid w:val="00971B31"/>
    <w:rsid w:val="00971B43"/>
    <w:rsid w:val="00971B72"/>
    <w:rsid w:val="00971E99"/>
    <w:rsid w:val="00971F14"/>
    <w:rsid w:val="00971FA4"/>
    <w:rsid w:val="00972004"/>
    <w:rsid w:val="00972099"/>
    <w:rsid w:val="009720CF"/>
    <w:rsid w:val="009720DB"/>
    <w:rsid w:val="00972353"/>
    <w:rsid w:val="00972483"/>
    <w:rsid w:val="00972625"/>
    <w:rsid w:val="0097267A"/>
    <w:rsid w:val="0097275C"/>
    <w:rsid w:val="00972997"/>
    <w:rsid w:val="009729BB"/>
    <w:rsid w:val="00972C06"/>
    <w:rsid w:val="00972C26"/>
    <w:rsid w:val="00972D86"/>
    <w:rsid w:val="009730E6"/>
    <w:rsid w:val="0097318F"/>
    <w:rsid w:val="0097321D"/>
    <w:rsid w:val="0097327F"/>
    <w:rsid w:val="0097345E"/>
    <w:rsid w:val="00973503"/>
    <w:rsid w:val="00973590"/>
    <w:rsid w:val="00973720"/>
    <w:rsid w:val="009737D3"/>
    <w:rsid w:val="009737E2"/>
    <w:rsid w:val="00973A41"/>
    <w:rsid w:val="00973BF5"/>
    <w:rsid w:val="00973D61"/>
    <w:rsid w:val="00973E47"/>
    <w:rsid w:val="00974000"/>
    <w:rsid w:val="00974063"/>
    <w:rsid w:val="00974245"/>
    <w:rsid w:val="0097432C"/>
    <w:rsid w:val="00974513"/>
    <w:rsid w:val="00974518"/>
    <w:rsid w:val="00974775"/>
    <w:rsid w:val="009748D7"/>
    <w:rsid w:val="0097498F"/>
    <w:rsid w:val="009749F2"/>
    <w:rsid w:val="00974A74"/>
    <w:rsid w:val="00974D47"/>
    <w:rsid w:val="00974D7B"/>
    <w:rsid w:val="00974D97"/>
    <w:rsid w:val="00974E17"/>
    <w:rsid w:val="00974EF1"/>
    <w:rsid w:val="00974F36"/>
    <w:rsid w:val="00975182"/>
    <w:rsid w:val="00975261"/>
    <w:rsid w:val="009752E2"/>
    <w:rsid w:val="00975417"/>
    <w:rsid w:val="00975523"/>
    <w:rsid w:val="00975722"/>
    <w:rsid w:val="00975884"/>
    <w:rsid w:val="00975A8A"/>
    <w:rsid w:val="00975BA3"/>
    <w:rsid w:val="00975BCC"/>
    <w:rsid w:val="00975C31"/>
    <w:rsid w:val="00975D0D"/>
    <w:rsid w:val="00975D2B"/>
    <w:rsid w:val="00975DBC"/>
    <w:rsid w:val="00975E72"/>
    <w:rsid w:val="00975F3F"/>
    <w:rsid w:val="00975FB1"/>
    <w:rsid w:val="00976062"/>
    <w:rsid w:val="00976071"/>
    <w:rsid w:val="009761A9"/>
    <w:rsid w:val="009761BE"/>
    <w:rsid w:val="00976362"/>
    <w:rsid w:val="0097646B"/>
    <w:rsid w:val="00976611"/>
    <w:rsid w:val="00976700"/>
    <w:rsid w:val="00976787"/>
    <w:rsid w:val="00976885"/>
    <w:rsid w:val="009768D7"/>
    <w:rsid w:val="009769A1"/>
    <w:rsid w:val="00976BED"/>
    <w:rsid w:val="00976C0D"/>
    <w:rsid w:val="00976CA6"/>
    <w:rsid w:val="00976D36"/>
    <w:rsid w:val="00976E99"/>
    <w:rsid w:val="00976FA5"/>
    <w:rsid w:val="009770C9"/>
    <w:rsid w:val="009773EC"/>
    <w:rsid w:val="0097746C"/>
    <w:rsid w:val="00977507"/>
    <w:rsid w:val="00977626"/>
    <w:rsid w:val="009776F9"/>
    <w:rsid w:val="00977818"/>
    <w:rsid w:val="00977A01"/>
    <w:rsid w:val="00977A68"/>
    <w:rsid w:val="00977A99"/>
    <w:rsid w:val="00977AEE"/>
    <w:rsid w:val="00977BA9"/>
    <w:rsid w:val="00977BEC"/>
    <w:rsid w:val="00977CAA"/>
    <w:rsid w:val="00977D4B"/>
    <w:rsid w:val="00977D70"/>
    <w:rsid w:val="00977D8A"/>
    <w:rsid w:val="00977DC2"/>
    <w:rsid w:val="00977DD2"/>
    <w:rsid w:val="00977DFD"/>
    <w:rsid w:val="00977F8D"/>
    <w:rsid w:val="00980035"/>
    <w:rsid w:val="009800AB"/>
    <w:rsid w:val="009800CE"/>
    <w:rsid w:val="009800E8"/>
    <w:rsid w:val="00980121"/>
    <w:rsid w:val="009801A8"/>
    <w:rsid w:val="00980387"/>
    <w:rsid w:val="00980565"/>
    <w:rsid w:val="009805BC"/>
    <w:rsid w:val="00980669"/>
    <w:rsid w:val="009806D8"/>
    <w:rsid w:val="0098077E"/>
    <w:rsid w:val="0098079D"/>
    <w:rsid w:val="00980AAF"/>
    <w:rsid w:val="00980EE5"/>
    <w:rsid w:val="0098105C"/>
    <w:rsid w:val="009811FA"/>
    <w:rsid w:val="0098125F"/>
    <w:rsid w:val="009813DB"/>
    <w:rsid w:val="009813F1"/>
    <w:rsid w:val="0098147A"/>
    <w:rsid w:val="0098177F"/>
    <w:rsid w:val="0098195F"/>
    <w:rsid w:val="0098196B"/>
    <w:rsid w:val="009819E5"/>
    <w:rsid w:val="009819F8"/>
    <w:rsid w:val="00981ADE"/>
    <w:rsid w:val="00981B4A"/>
    <w:rsid w:val="00981B55"/>
    <w:rsid w:val="00981C8C"/>
    <w:rsid w:val="00981DD3"/>
    <w:rsid w:val="00981DEB"/>
    <w:rsid w:val="00981E2B"/>
    <w:rsid w:val="0098203A"/>
    <w:rsid w:val="00982041"/>
    <w:rsid w:val="0098232E"/>
    <w:rsid w:val="009823C4"/>
    <w:rsid w:val="00982406"/>
    <w:rsid w:val="00982412"/>
    <w:rsid w:val="0098259C"/>
    <w:rsid w:val="00982770"/>
    <w:rsid w:val="0098285A"/>
    <w:rsid w:val="0098297A"/>
    <w:rsid w:val="009829BF"/>
    <w:rsid w:val="00982AB5"/>
    <w:rsid w:val="00982B2B"/>
    <w:rsid w:val="00982C03"/>
    <w:rsid w:val="00982C08"/>
    <w:rsid w:val="00982E08"/>
    <w:rsid w:val="00982E60"/>
    <w:rsid w:val="00982EE9"/>
    <w:rsid w:val="00982F0D"/>
    <w:rsid w:val="009830B2"/>
    <w:rsid w:val="009830EC"/>
    <w:rsid w:val="00983105"/>
    <w:rsid w:val="0098325E"/>
    <w:rsid w:val="0098333E"/>
    <w:rsid w:val="009833F7"/>
    <w:rsid w:val="0098352E"/>
    <w:rsid w:val="009839B6"/>
    <w:rsid w:val="00983BA5"/>
    <w:rsid w:val="00983C7F"/>
    <w:rsid w:val="00983D68"/>
    <w:rsid w:val="00984089"/>
    <w:rsid w:val="00984246"/>
    <w:rsid w:val="0098445F"/>
    <w:rsid w:val="009847AA"/>
    <w:rsid w:val="009849B8"/>
    <w:rsid w:val="009849DC"/>
    <w:rsid w:val="00984A7A"/>
    <w:rsid w:val="00984B41"/>
    <w:rsid w:val="00984BA6"/>
    <w:rsid w:val="00984BC0"/>
    <w:rsid w:val="00984BC6"/>
    <w:rsid w:val="00984C3E"/>
    <w:rsid w:val="00984C55"/>
    <w:rsid w:val="00984C89"/>
    <w:rsid w:val="00984F47"/>
    <w:rsid w:val="00984FD2"/>
    <w:rsid w:val="00985049"/>
    <w:rsid w:val="00985332"/>
    <w:rsid w:val="0098540F"/>
    <w:rsid w:val="009857CC"/>
    <w:rsid w:val="009859AF"/>
    <w:rsid w:val="00985A72"/>
    <w:rsid w:val="00985A8E"/>
    <w:rsid w:val="00985BA9"/>
    <w:rsid w:val="00985C8B"/>
    <w:rsid w:val="00985D1B"/>
    <w:rsid w:val="00985DC6"/>
    <w:rsid w:val="00985E48"/>
    <w:rsid w:val="00985E80"/>
    <w:rsid w:val="0098612E"/>
    <w:rsid w:val="009863C2"/>
    <w:rsid w:val="009865F0"/>
    <w:rsid w:val="009866E6"/>
    <w:rsid w:val="0098696C"/>
    <w:rsid w:val="0098699D"/>
    <w:rsid w:val="009869E8"/>
    <w:rsid w:val="00986AA1"/>
    <w:rsid w:val="00986B4B"/>
    <w:rsid w:val="00986C3A"/>
    <w:rsid w:val="00986CB3"/>
    <w:rsid w:val="00986D2C"/>
    <w:rsid w:val="00986EAB"/>
    <w:rsid w:val="00987058"/>
    <w:rsid w:val="0098714D"/>
    <w:rsid w:val="00987159"/>
    <w:rsid w:val="0098724B"/>
    <w:rsid w:val="0098731D"/>
    <w:rsid w:val="00987383"/>
    <w:rsid w:val="009873D1"/>
    <w:rsid w:val="009873D9"/>
    <w:rsid w:val="009875AF"/>
    <w:rsid w:val="00987690"/>
    <w:rsid w:val="009876DD"/>
    <w:rsid w:val="00987924"/>
    <w:rsid w:val="00987A1C"/>
    <w:rsid w:val="00987A90"/>
    <w:rsid w:val="00987B1A"/>
    <w:rsid w:val="00987B3C"/>
    <w:rsid w:val="00987D18"/>
    <w:rsid w:val="00987D7B"/>
    <w:rsid w:val="00987EBD"/>
    <w:rsid w:val="00987EEE"/>
    <w:rsid w:val="009900EB"/>
    <w:rsid w:val="00990128"/>
    <w:rsid w:val="0099020E"/>
    <w:rsid w:val="009903DB"/>
    <w:rsid w:val="0099074D"/>
    <w:rsid w:val="00990796"/>
    <w:rsid w:val="0099080D"/>
    <w:rsid w:val="00990923"/>
    <w:rsid w:val="00990A6F"/>
    <w:rsid w:val="00990B55"/>
    <w:rsid w:val="00990BE3"/>
    <w:rsid w:val="00990CDE"/>
    <w:rsid w:val="00990D47"/>
    <w:rsid w:val="00990EB8"/>
    <w:rsid w:val="00990FCB"/>
    <w:rsid w:val="00991235"/>
    <w:rsid w:val="00991671"/>
    <w:rsid w:val="009916A6"/>
    <w:rsid w:val="009916FA"/>
    <w:rsid w:val="009919E4"/>
    <w:rsid w:val="00991AFA"/>
    <w:rsid w:val="00991C23"/>
    <w:rsid w:val="00991C71"/>
    <w:rsid w:val="00991CE0"/>
    <w:rsid w:val="00991CE5"/>
    <w:rsid w:val="00991D2F"/>
    <w:rsid w:val="00991D47"/>
    <w:rsid w:val="00991DE9"/>
    <w:rsid w:val="00991EB3"/>
    <w:rsid w:val="00991FDE"/>
    <w:rsid w:val="00992032"/>
    <w:rsid w:val="009920BA"/>
    <w:rsid w:val="009921F3"/>
    <w:rsid w:val="009921FB"/>
    <w:rsid w:val="009923EF"/>
    <w:rsid w:val="00992744"/>
    <w:rsid w:val="00992777"/>
    <w:rsid w:val="009927A7"/>
    <w:rsid w:val="009927C2"/>
    <w:rsid w:val="00992935"/>
    <w:rsid w:val="0099295E"/>
    <w:rsid w:val="009929AC"/>
    <w:rsid w:val="009929CB"/>
    <w:rsid w:val="00992B47"/>
    <w:rsid w:val="00992B82"/>
    <w:rsid w:val="00992BA0"/>
    <w:rsid w:val="00992C41"/>
    <w:rsid w:val="00992D82"/>
    <w:rsid w:val="00992E0D"/>
    <w:rsid w:val="009932C0"/>
    <w:rsid w:val="00993375"/>
    <w:rsid w:val="009933A8"/>
    <w:rsid w:val="00993400"/>
    <w:rsid w:val="0099343C"/>
    <w:rsid w:val="00993507"/>
    <w:rsid w:val="0099361A"/>
    <w:rsid w:val="00993650"/>
    <w:rsid w:val="0099368D"/>
    <w:rsid w:val="00993757"/>
    <w:rsid w:val="009938B1"/>
    <w:rsid w:val="00993A62"/>
    <w:rsid w:val="00993C33"/>
    <w:rsid w:val="00993CB6"/>
    <w:rsid w:val="00993D35"/>
    <w:rsid w:val="00993E44"/>
    <w:rsid w:val="00993FA3"/>
    <w:rsid w:val="00994265"/>
    <w:rsid w:val="009943FE"/>
    <w:rsid w:val="009944CB"/>
    <w:rsid w:val="00994507"/>
    <w:rsid w:val="00994515"/>
    <w:rsid w:val="00994719"/>
    <w:rsid w:val="0099487A"/>
    <w:rsid w:val="00994B0D"/>
    <w:rsid w:val="00994CBA"/>
    <w:rsid w:val="00994CD5"/>
    <w:rsid w:val="00994CFD"/>
    <w:rsid w:val="00994D17"/>
    <w:rsid w:val="00994D24"/>
    <w:rsid w:val="00994E04"/>
    <w:rsid w:val="00994FF7"/>
    <w:rsid w:val="00995061"/>
    <w:rsid w:val="009950EE"/>
    <w:rsid w:val="009951D4"/>
    <w:rsid w:val="00995230"/>
    <w:rsid w:val="009952A9"/>
    <w:rsid w:val="0099550B"/>
    <w:rsid w:val="0099553D"/>
    <w:rsid w:val="009959E7"/>
    <w:rsid w:val="00995B26"/>
    <w:rsid w:val="00995BB9"/>
    <w:rsid w:val="00995BCF"/>
    <w:rsid w:val="00995C04"/>
    <w:rsid w:val="00995CA9"/>
    <w:rsid w:val="00995CAA"/>
    <w:rsid w:val="00995D80"/>
    <w:rsid w:val="00995DB4"/>
    <w:rsid w:val="00995DB9"/>
    <w:rsid w:val="00995EF9"/>
    <w:rsid w:val="00995FCD"/>
    <w:rsid w:val="00996002"/>
    <w:rsid w:val="00996030"/>
    <w:rsid w:val="00996089"/>
    <w:rsid w:val="0099609E"/>
    <w:rsid w:val="0099644F"/>
    <w:rsid w:val="0099651E"/>
    <w:rsid w:val="009966A1"/>
    <w:rsid w:val="009966B8"/>
    <w:rsid w:val="0099670C"/>
    <w:rsid w:val="0099680E"/>
    <w:rsid w:val="00996824"/>
    <w:rsid w:val="009969B1"/>
    <w:rsid w:val="009969CC"/>
    <w:rsid w:val="00996A28"/>
    <w:rsid w:val="00996B93"/>
    <w:rsid w:val="00996C2F"/>
    <w:rsid w:val="00996C9F"/>
    <w:rsid w:val="00996CB9"/>
    <w:rsid w:val="00996DCD"/>
    <w:rsid w:val="00996FAA"/>
    <w:rsid w:val="00996FC1"/>
    <w:rsid w:val="009970D3"/>
    <w:rsid w:val="00997253"/>
    <w:rsid w:val="00997294"/>
    <w:rsid w:val="009974F0"/>
    <w:rsid w:val="009975FA"/>
    <w:rsid w:val="00997619"/>
    <w:rsid w:val="009976F8"/>
    <w:rsid w:val="009977C8"/>
    <w:rsid w:val="009977EF"/>
    <w:rsid w:val="00997BD9"/>
    <w:rsid w:val="00997CCB"/>
    <w:rsid w:val="00997CED"/>
    <w:rsid w:val="00997E4A"/>
    <w:rsid w:val="00997F11"/>
    <w:rsid w:val="00997F77"/>
    <w:rsid w:val="009A01C4"/>
    <w:rsid w:val="009A02AB"/>
    <w:rsid w:val="009A02B7"/>
    <w:rsid w:val="009A052E"/>
    <w:rsid w:val="009A0760"/>
    <w:rsid w:val="009A0786"/>
    <w:rsid w:val="009A07C7"/>
    <w:rsid w:val="009A095E"/>
    <w:rsid w:val="009A0970"/>
    <w:rsid w:val="009A0A24"/>
    <w:rsid w:val="009A0BA5"/>
    <w:rsid w:val="009A0BCC"/>
    <w:rsid w:val="009A0CC7"/>
    <w:rsid w:val="009A0E97"/>
    <w:rsid w:val="009A0F75"/>
    <w:rsid w:val="009A100D"/>
    <w:rsid w:val="009A105E"/>
    <w:rsid w:val="009A12DA"/>
    <w:rsid w:val="009A12F6"/>
    <w:rsid w:val="009A135B"/>
    <w:rsid w:val="009A1636"/>
    <w:rsid w:val="009A16E2"/>
    <w:rsid w:val="009A1746"/>
    <w:rsid w:val="009A1960"/>
    <w:rsid w:val="009A19D1"/>
    <w:rsid w:val="009A1A5A"/>
    <w:rsid w:val="009A1B26"/>
    <w:rsid w:val="009A1EEC"/>
    <w:rsid w:val="009A1FF9"/>
    <w:rsid w:val="009A2466"/>
    <w:rsid w:val="009A2486"/>
    <w:rsid w:val="009A24A0"/>
    <w:rsid w:val="009A25AA"/>
    <w:rsid w:val="009A266B"/>
    <w:rsid w:val="009A26BA"/>
    <w:rsid w:val="009A27C7"/>
    <w:rsid w:val="009A2902"/>
    <w:rsid w:val="009A2920"/>
    <w:rsid w:val="009A2B69"/>
    <w:rsid w:val="009A2BE2"/>
    <w:rsid w:val="009A2C00"/>
    <w:rsid w:val="009A2C60"/>
    <w:rsid w:val="009A2EB5"/>
    <w:rsid w:val="009A2EFF"/>
    <w:rsid w:val="009A2FC6"/>
    <w:rsid w:val="009A3308"/>
    <w:rsid w:val="009A338E"/>
    <w:rsid w:val="009A3441"/>
    <w:rsid w:val="009A3476"/>
    <w:rsid w:val="009A35FE"/>
    <w:rsid w:val="009A376C"/>
    <w:rsid w:val="009A3E81"/>
    <w:rsid w:val="009A3E84"/>
    <w:rsid w:val="009A3F9F"/>
    <w:rsid w:val="009A3FB4"/>
    <w:rsid w:val="009A40B0"/>
    <w:rsid w:val="009A40B9"/>
    <w:rsid w:val="009A4156"/>
    <w:rsid w:val="009A41EB"/>
    <w:rsid w:val="009A4252"/>
    <w:rsid w:val="009A4309"/>
    <w:rsid w:val="009A4311"/>
    <w:rsid w:val="009A4528"/>
    <w:rsid w:val="009A468B"/>
    <w:rsid w:val="009A471B"/>
    <w:rsid w:val="009A4743"/>
    <w:rsid w:val="009A474F"/>
    <w:rsid w:val="009A487A"/>
    <w:rsid w:val="009A4AFF"/>
    <w:rsid w:val="009A4B0A"/>
    <w:rsid w:val="009A4B77"/>
    <w:rsid w:val="009A4C20"/>
    <w:rsid w:val="009A4CF8"/>
    <w:rsid w:val="009A4EFD"/>
    <w:rsid w:val="009A4FE7"/>
    <w:rsid w:val="009A50F8"/>
    <w:rsid w:val="009A525E"/>
    <w:rsid w:val="009A5351"/>
    <w:rsid w:val="009A5422"/>
    <w:rsid w:val="009A5673"/>
    <w:rsid w:val="009A588B"/>
    <w:rsid w:val="009A5A9F"/>
    <w:rsid w:val="009A5BBB"/>
    <w:rsid w:val="009A5C32"/>
    <w:rsid w:val="009A5C53"/>
    <w:rsid w:val="009A5C5D"/>
    <w:rsid w:val="009A6287"/>
    <w:rsid w:val="009A632E"/>
    <w:rsid w:val="009A63AD"/>
    <w:rsid w:val="009A65E1"/>
    <w:rsid w:val="009A662B"/>
    <w:rsid w:val="009A6997"/>
    <w:rsid w:val="009A6A0D"/>
    <w:rsid w:val="009A6A27"/>
    <w:rsid w:val="009A6A5F"/>
    <w:rsid w:val="009A6AA7"/>
    <w:rsid w:val="009A6CC2"/>
    <w:rsid w:val="009A6D89"/>
    <w:rsid w:val="009A6F82"/>
    <w:rsid w:val="009A710B"/>
    <w:rsid w:val="009A716A"/>
    <w:rsid w:val="009A7264"/>
    <w:rsid w:val="009A72EA"/>
    <w:rsid w:val="009A7425"/>
    <w:rsid w:val="009A747F"/>
    <w:rsid w:val="009A7758"/>
    <w:rsid w:val="009A77A1"/>
    <w:rsid w:val="009A7861"/>
    <w:rsid w:val="009A791B"/>
    <w:rsid w:val="009A7980"/>
    <w:rsid w:val="009A7981"/>
    <w:rsid w:val="009A79DE"/>
    <w:rsid w:val="009A7A2B"/>
    <w:rsid w:val="009A7A6A"/>
    <w:rsid w:val="009A7C54"/>
    <w:rsid w:val="009A7D67"/>
    <w:rsid w:val="009A7DF5"/>
    <w:rsid w:val="009A7E34"/>
    <w:rsid w:val="009A7F0D"/>
    <w:rsid w:val="009B0000"/>
    <w:rsid w:val="009B003B"/>
    <w:rsid w:val="009B00BB"/>
    <w:rsid w:val="009B00EE"/>
    <w:rsid w:val="009B01F0"/>
    <w:rsid w:val="009B0250"/>
    <w:rsid w:val="009B031F"/>
    <w:rsid w:val="009B0341"/>
    <w:rsid w:val="009B03E4"/>
    <w:rsid w:val="009B0451"/>
    <w:rsid w:val="009B072C"/>
    <w:rsid w:val="009B08DE"/>
    <w:rsid w:val="009B0928"/>
    <w:rsid w:val="009B0B41"/>
    <w:rsid w:val="009B0CF2"/>
    <w:rsid w:val="009B0D38"/>
    <w:rsid w:val="009B0E15"/>
    <w:rsid w:val="009B0E31"/>
    <w:rsid w:val="009B0E44"/>
    <w:rsid w:val="009B0EB0"/>
    <w:rsid w:val="009B0F1E"/>
    <w:rsid w:val="009B0F54"/>
    <w:rsid w:val="009B11B6"/>
    <w:rsid w:val="009B180E"/>
    <w:rsid w:val="009B1A75"/>
    <w:rsid w:val="009B1C39"/>
    <w:rsid w:val="009B1C49"/>
    <w:rsid w:val="009B1DEF"/>
    <w:rsid w:val="009B1EFB"/>
    <w:rsid w:val="009B21D3"/>
    <w:rsid w:val="009B21ED"/>
    <w:rsid w:val="009B23E7"/>
    <w:rsid w:val="009B25B5"/>
    <w:rsid w:val="009B2670"/>
    <w:rsid w:val="009B27E2"/>
    <w:rsid w:val="009B27FC"/>
    <w:rsid w:val="009B280F"/>
    <w:rsid w:val="009B2AE5"/>
    <w:rsid w:val="009B2E0C"/>
    <w:rsid w:val="009B30DA"/>
    <w:rsid w:val="009B31EC"/>
    <w:rsid w:val="009B3289"/>
    <w:rsid w:val="009B32F0"/>
    <w:rsid w:val="009B333E"/>
    <w:rsid w:val="009B3430"/>
    <w:rsid w:val="009B3433"/>
    <w:rsid w:val="009B34A8"/>
    <w:rsid w:val="009B34AE"/>
    <w:rsid w:val="009B3553"/>
    <w:rsid w:val="009B37E9"/>
    <w:rsid w:val="009B39C9"/>
    <w:rsid w:val="009B3B62"/>
    <w:rsid w:val="009B3C45"/>
    <w:rsid w:val="009B3CA6"/>
    <w:rsid w:val="009B3CE5"/>
    <w:rsid w:val="009B3DE7"/>
    <w:rsid w:val="009B3DF6"/>
    <w:rsid w:val="009B4144"/>
    <w:rsid w:val="009B4292"/>
    <w:rsid w:val="009B4506"/>
    <w:rsid w:val="009B4828"/>
    <w:rsid w:val="009B4E0B"/>
    <w:rsid w:val="009B4E57"/>
    <w:rsid w:val="009B4EE5"/>
    <w:rsid w:val="009B525A"/>
    <w:rsid w:val="009B529B"/>
    <w:rsid w:val="009B53A7"/>
    <w:rsid w:val="009B5542"/>
    <w:rsid w:val="009B55D4"/>
    <w:rsid w:val="009B5620"/>
    <w:rsid w:val="009B5753"/>
    <w:rsid w:val="009B5812"/>
    <w:rsid w:val="009B5927"/>
    <w:rsid w:val="009B5A77"/>
    <w:rsid w:val="009B5A8D"/>
    <w:rsid w:val="009B5AAD"/>
    <w:rsid w:val="009B5AD3"/>
    <w:rsid w:val="009B5C19"/>
    <w:rsid w:val="009B5C95"/>
    <w:rsid w:val="009B5E71"/>
    <w:rsid w:val="009B5F15"/>
    <w:rsid w:val="009B5F8D"/>
    <w:rsid w:val="009B624E"/>
    <w:rsid w:val="009B633A"/>
    <w:rsid w:val="009B643B"/>
    <w:rsid w:val="009B64DF"/>
    <w:rsid w:val="009B666E"/>
    <w:rsid w:val="009B66E7"/>
    <w:rsid w:val="009B6756"/>
    <w:rsid w:val="009B69A7"/>
    <w:rsid w:val="009B69EA"/>
    <w:rsid w:val="009B6A49"/>
    <w:rsid w:val="009B6A67"/>
    <w:rsid w:val="009B6C93"/>
    <w:rsid w:val="009B6D42"/>
    <w:rsid w:val="009B6E46"/>
    <w:rsid w:val="009B6EBD"/>
    <w:rsid w:val="009B70A0"/>
    <w:rsid w:val="009B723F"/>
    <w:rsid w:val="009B7373"/>
    <w:rsid w:val="009B73B2"/>
    <w:rsid w:val="009B7450"/>
    <w:rsid w:val="009B745C"/>
    <w:rsid w:val="009B74C9"/>
    <w:rsid w:val="009B7506"/>
    <w:rsid w:val="009B75A8"/>
    <w:rsid w:val="009B75D3"/>
    <w:rsid w:val="009B769C"/>
    <w:rsid w:val="009B76D5"/>
    <w:rsid w:val="009B7A04"/>
    <w:rsid w:val="009B7A21"/>
    <w:rsid w:val="009B7A92"/>
    <w:rsid w:val="009B7B02"/>
    <w:rsid w:val="009B7B46"/>
    <w:rsid w:val="009B7B9E"/>
    <w:rsid w:val="009B7BE3"/>
    <w:rsid w:val="009B7C1F"/>
    <w:rsid w:val="009B7D49"/>
    <w:rsid w:val="009B7F7C"/>
    <w:rsid w:val="009C02E8"/>
    <w:rsid w:val="009C0473"/>
    <w:rsid w:val="009C0567"/>
    <w:rsid w:val="009C0577"/>
    <w:rsid w:val="009C0673"/>
    <w:rsid w:val="009C06E8"/>
    <w:rsid w:val="009C06FA"/>
    <w:rsid w:val="009C08CA"/>
    <w:rsid w:val="009C0A77"/>
    <w:rsid w:val="009C0A81"/>
    <w:rsid w:val="009C0A8F"/>
    <w:rsid w:val="009C0D00"/>
    <w:rsid w:val="009C0F46"/>
    <w:rsid w:val="009C0F58"/>
    <w:rsid w:val="009C0FEC"/>
    <w:rsid w:val="009C1010"/>
    <w:rsid w:val="009C101F"/>
    <w:rsid w:val="009C118A"/>
    <w:rsid w:val="009C1222"/>
    <w:rsid w:val="009C124B"/>
    <w:rsid w:val="009C13E1"/>
    <w:rsid w:val="009C1516"/>
    <w:rsid w:val="009C15C8"/>
    <w:rsid w:val="009C15DE"/>
    <w:rsid w:val="009C1649"/>
    <w:rsid w:val="009C1824"/>
    <w:rsid w:val="009C195F"/>
    <w:rsid w:val="009C1AC0"/>
    <w:rsid w:val="009C1CD2"/>
    <w:rsid w:val="009C21FE"/>
    <w:rsid w:val="009C238A"/>
    <w:rsid w:val="009C23B6"/>
    <w:rsid w:val="009C25C1"/>
    <w:rsid w:val="009C2657"/>
    <w:rsid w:val="009C2685"/>
    <w:rsid w:val="009C2960"/>
    <w:rsid w:val="009C2988"/>
    <w:rsid w:val="009C29D9"/>
    <w:rsid w:val="009C2E5D"/>
    <w:rsid w:val="009C30B5"/>
    <w:rsid w:val="009C31FD"/>
    <w:rsid w:val="009C33B4"/>
    <w:rsid w:val="009C33D2"/>
    <w:rsid w:val="009C3416"/>
    <w:rsid w:val="009C3435"/>
    <w:rsid w:val="009C360A"/>
    <w:rsid w:val="009C36F2"/>
    <w:rsid w:val="009C375E"/>
    <w:rsid w:val="009C3913"/>
    <w:rsid w:val="009C3ABD"/>
    <w:rsid w:val="009C3BDF"/>
    <w:rsid w:val="009C3C13"/>
    <w:rsid w:val="009C3D1D"/>
    <w:rsid w:val="009C3DF7"/>
    <w:rsid w:val="009C3F42"/>
    <w:rsid w:val="009C3F7F"/>
    <w:rsid w:val="009C40CF"/>
    <w:rsid w:val="009C41CA"/>
    <w:rsid w:val="009C43B0"/>
    <w:rsid w:val="009C442D"/>
    <w:rsid w:val="009C4728"/>
    <w:rsid w:val="009C4785"/>
    <w:rsid w:val="009C47BD"/>
    <w:rsid w:val="009C47E9"/>
    <w:rsid w:val="009C4910"/>
    <w:rsid w:val="009C492D"/>
    <w:rsid w:val="009C4B7B"/>
    <w:rsid w:val="009C4C11"/>
    <w:rsid w:val="009C4E37"/>
    <w:rsid w:val="009C4E75"/>
    <w:rsid w:val="009C4EE7"/>
    <w:rsid w:val="009C501D"/>
    <w:rsid w:val="009C522E"/>
    <w:rsid w:val="009C5233"/>
    <w:rsid w:val="009C52E0"/>
    <w:rsid w:val="009C5357"/>
    <w:rsid w:val="009C5443"/>
    <w:rsid w:val="009C5483"/>
    <w:rsid w:val="009C54D1"/>
    <w:rsid w:val="009C56F1"/>
    <w:rsid w:val="009C5759"/>
    <w:rsid w:val="009C59D9"/>
    <w:rsid w:val="009C59F8"/>
    <w:rsid w:val="009C5A69"/>
    <w:rsid w:val="009C5AF7"/>
    <w:rsid w:val="009C5B51"/>
    <w:rsid w:val="009C5BA6"/>
    <w:rsid w:val="009C5BBC"/>
    <w:rsid w:val="009C61F5"/>
    <w:rsid w:val="009C64FA"/>
    <w:rsid w:val="009C6859"/>
    <w:rsid w:val="009C6980"/>
    <w:rsid w:val="009C6984"/>
    <w:rsid w:val="009C698D"/>
    <w:rsid w:val="009C6A74"/>
    <w:rsid w:val="009C6B73"/>
    <w:rsid w:val="009C6CA9"/>
    <w:rsid w:val="009C6D14"/>
    <w:rsid w:val="009C6E8F"/>
    <w:rsid w:val="009C72D7"/>
    <w:rsid w:val="009C7344"/>
    <w:rsid w:val="009C7437"/>
    <w:rsid w:val="009C754A"/>
    <w:rsid w:val="009C7663"/>
    <w:rsid w:val="009C768E"/>
    <w:rsid w:val="009C7B79"/>
    <w:rsid w:val="009C7B93"/>
    <w:rsid w:val="009C7BD9"/>
    <w:rsid w:val="009C7D5F"/>
    <w:rsid w:val="009C7DA1"/>
    <w:rsid w:val="009C7DB1"/>
    <w:rsid w:val="009D02D1"/>
    <w:rsid w:val="009D0317"/>
    <w:rsid w:val="009D033E"/>
    <w:rsid w:val="009D03C2"/>
    <w:rsid w:val="009D04F5"/>
    <w:rsid w:val="009D06A8"/>
    <w:rsid w:val="009D0809"/>
    <w:rsid w:val="009D08C7"/>
    <w:rsid w:val="009D0915"/>
    <w:rsid w:val="009D0A34"/>
    <w:rsid w:val="009D0C54"/>
    <w:rsid w:val="009D0F02"/>
    <w:rsid w:val="009D0FBF"/>
    <w:rsid w:val="009D1109"/>
    <w:rsid w:val="009D11FF"/>
    <w:rsid w:val="009D1353"/>
    <w:rsid w:val="009D13CB"/>
    <w:rsid w:val="009D1581"/>
    <w:rsid w:val="009D16D5"/>
    <w:rsid w:val="009D179C"/>
    <w:rsid w:val="009D18E7"/>
    <w:rsid w:val="009D1979"/>
    <w:rsid w:val="009D1AC9"/>
    <w:rsid w:val="009D1AE8"/>
    <w:rsid w:val="009D1CFB"/>
    <w:rsid w:val="009D1D05"/>
    <w:rsid w:val="009D1E5B"/>
    <w:rsid w:val="009D1F6B"/>
    <w:rsid w:val="009D1FD4"/>
    <w:rsid w:val="009D1FF5"/>
    <w:rsid w:val="009D227B"/>
    <w:rsid w:val="009D2368"/>
    <w:rsid w:val="009D25F3"/>
    <w:rsid w:val="009D2601"/>
    <w:rsid w:val="009D2674"/>
    <w:rsid w:val="009D2711"/>
    <w:rsid w:val="009D27D1"/>
    <w:rsid w:val="009D28B3"/>
    <w:rsid w:val="009D2A28"/>
    <w:rsid w:val="009D2C53"/>
    <w:rsid w:val="009D2E47"/>
    <w:rsid w:val="009D3073"/>
    <w:rsid w:val="009D3104"/>
    <w:rsid w:val="009D31BF"/>
    <w:rsid w:val="009D3235"/>
    <w:rsid w:val="009D3332"/>
    <w:rsid w:val="009D33C9"/>
    <w:rsid w:val="009D33E8"/>
    <w:rsid w:val="009D381A"/>
    <w:rsid w:val="009D3BA7"/>
    <w:rsid w:val="009D3C3C"/>
    <w:rsid w:val="009D3C65"/>
    <w:rsid w:val="009D3C6D"/>
    <w:rsid w:val="009D3CF3"/>
    <w:rsid w:val="009D3D97"/>
    <w:rsid w:val="009D3DFA"/>
    <w:rsid w:val="009D3F99"/>
    <w:rsid w:val="009D41AE"/>
    <w:rsid w:val="009D41D3"/>
    <w:rsid w:val="009D4328"/>
    <w:rsid w:val="009D442B"/>
    <w:rsid w:val="009D44A3"/>
    <w:rsid w:val="009D4656"/>
    <w:rsid w:val="009D46DA"/>
    <w:rsid w:val="009D4A5F"/>
    <w:rsid w:val="009D4A73"/>
    <w:rsid w:val="009D4B16"/>
    <w:rsid w:val="009D4C0F"/>
    <w:rsid w:val="009D4CC6"/>
    <w:rsid w:val="009D4DD7"/>
    <w:rsid w:val="009D4E46"/>
    <w:rsid w:val="009D4F9E"/>
    <w:rsid w:val="009D5068"/>
    <w:rsid w:val="009D508C"/>
    <w:rsid w:val="009D5205"/>
    <w:rsid w:val="009D5407"/>
    <w:rsid w:val="009D5518"/>
    <w:rsid w:val="009D567F"/>
    <w:rsid w:val="009D56C9"/>
    <w:rsid w:val="009D5874"/>
    <w:rsid w:val="009D5982"/>
    <w:rsid w:val="009D5B9B"/>
    <w:rsid w:val="009D5E96"/>
    <w:rsid w:val="009D5FA2"/>
    <w:rsid w:val="009D6117"/>
    <w:rsid w:val="009D636B"/>
    <w:rsid w:val="009D642F"/>
    <w:rsid w:val="009D66F4"/>
    <w:rsid w:val="009D6933"/>
    <w:rsid w:val="009D6AEE"/>
    <w:rsid w:val="009D6BA3"/>
    <w:rsid w:val="009D6C3B"/>
    <w:rsid w:val="009D6D75"/>
    <w:rsid w:val="009D6E35"/>
    <w:rsid w:val="009D6E97"/>
    <w:rsid w:val="009D6EA8"/>
    <w:rsid w:val="009D6F34"/>
    <w:rsid w:val="009D6F76"/>
    <w:rsid w:val="009D6FE9"/>
    <w:rsid w:val="009D7011"/>
    <w:rsid w:val="009D7040"/>
    <w:rsid w:val="009D70D7"/>
    <w:rsid w:val="009D71F4"/>
    <w:rsid w:val="009D7344"/>
    <w:rsid w:val="009D7368"/>
    <w:rsid w:val="009D76A0"/>
    <w:rsid w:val="009D76AD"/>
    <w:rsid w:val="009D76E1"/>
    <w:rsid w:val="009D77AF"/>
    <w:rsid w:val="009D7820"/>
    <w:rsid w:val="009D7943"/>
    <w:rsid w:val="009D7B0F"/>
    <w:rsid w:val="009D7BE9"/>
    <w:rsid w:val="009D7BF9"/>
    <w:rsid w:val="009D7D2C"/>
    <w:rsid w:val="009E0003"/>
    <w:rsid w:val="009E00D3"/>
    <w:rsid w:val="009E0154"/>
    <w:rsid w:val="009E01E0"/>
    <w:rsid w:val="009E0205"/>
    <w:rsid w:val="009E042E"/>
    <w:rsid w:val="009E05EC"/>
    <w:rsid w:val="009E0623"/>
    <w:rsid w:val="009E070E"/>
    <w:rsid w:val="009E07BB"/>
    <w:rsid w:val="009E09F8"/>
    <w:rsid w:val="009E0B46"/>
    <w:rsid w:val="009E0C48"/>
    <w:rsid w:val="009E0D40"/>
    <w:rsid w:val="009E0DDF"/>
    <w:rsid w:val="009E0E94"/>
    <w:rsid w:val="009E0EFF"/>
    <w:rsid w:val="009E0F9A"/>
    <w:rsid w:val="009E1292"/>
    <w:rsid w:val="009E12A8"/>
    <w:rsid w:val="009E1309"/>
    <w:rsid w:val="009E1511"/>
    <w:rsid w:val="009E172F"/>
    <w:rsid w:val="009E1754"/>
    <w:rsid w:val="009E198C"/>
    <w:rsid w:val="009E19C2"/>
    <w:rsid w:val="009E1BA4"/>
    <w:rsid w:val="009E1DE1"/>
    <w:rsid w:val="009E1F1F"/>
    <w:rsid w:val="009E1F34"/>
    <w:rsid w:val="009E2209"/>
    <w:rsid w:val="009E22FA"/>
    <w:rsid w:val="009E23CE"/>
    <w:rsid w:val="009E28E6"/>
    <w:rsid w:val="009E2915"/>
    <w:rsid w:val="009E2AA5"/>
    <w:rsid w:val="009E2B95"/>
    <w:rsid w:val="009E2C22"/>
    <w:rsid w:val="009E2C4D"/>
    <w:rsid w:val="009E2CCC"/>
    <w:rsid w:val="009E2CD6"/>
    <w:rsid w:val="009E2CE7"/>
    <w:rsid w:val="009E300F"/>
    <w:rsid w:val="009E3158"/>
    <w:rsid w:val="009E318C"/>
    <w:rsid w:val="009E34AD"/>
    <w:rsid w:val="009E3538"/>
    <w:rsid w:val="009E36D2"/>
    <w:rsid w:val="009E38AD"/>
    <w:rsid w:val="009E38EF"/>
    <w:rsid w:val="009E3951"/>
    <w:rsid w:val="009E3A9E"/>
    <w:rsid w:val="009E3CFF"/>
    <w:rsid w:val="009E3E27"/>
    <w:rsid w:val="009E3E7B"/>
    <w:rsid w:val="009E3ED5"/>
    <w:rsid w:val="009E3EE0"/>
    <w:rsid w:val="009E3EF0"/>
    <w:rsid w:val="009E40FB"/>
    <w:rsid w:val="009E42E6"/>
    <w:rsid w:val="009E4539"/>
    <w:rsid w:val="009E458B"/>
    <w:rsid w:val="009E472E"/>
    <w:rsid w:val="009E4A14"/>
    <w:rsid w:val="009E4B05"/>
    <w:rsid w:val="009E4C32"/>
    <w:rsid w:val="009E4DBA"/>
    <w:rsid w:val="009E4E03"/>
    <w:rsid w:val="009E4E7E"/>
    <w:rsid w:val="009E5065"/>
    <w:rsid w:val="009E50B1"/>
    <w:rsid w:val="009E51D9"/>
    <w:rsid w:val="009E5290"/>
    <w:rsid w:val="009E530B"/>
    <w:rsid w:val="009E53E5"/>
    <w:rsid w:val="009E54FB"/>
    <w:rsid w:val="009E5521"/>
    <w:rsid w:val="009E5687"/>
    <w:rsid w:val="009E5753"/>
    <w:rsid w:val="009E5951"/>
    <w:rsid w:val="009E5AF8"/>
    <w:rsid w:val="009E5B33"/>
    <w:rsid w:val="009E5E1D"/>
    <w:rsid w:val="009E5E92"/>
    <w:rsid w:val="009E5E93"/>
    <w:rsid w:val="009E5F00"/>
    <w:rsid w:val="009E603A"/>
    <w:rsid w:val="009E6223"/>
    <w:rsid w:val="009E6250"/>
    <w:rsid w:val="009E6467"/>
    <w:rsid w:val="009E653A"/>
    <w:rsid w:val="009E65AB"/>
    <w:rsid w:val="009E65FD"/>
    <w:rsid w:val="009E6865"/>
    <w:rsid w:val="009E6868"/>
    <w:rsid w:val="009E68A7"/>
    <w:rsid w:val="009E6934"/>
    <w:rsid w:val="009E6981"/>
    <w:rsid w:val="009E6B3E"/>
    <w:rsid w:val="009E6E1A"/>
    <w:rsid w:val="009E6EAA"/>
    <w:rsid w:val="009E7446"/>
    <w:rsid w:val="009E755D"/>
    <w:rsid w:val="009E756C"/>
    <w:rsid w:val="009E763E"/>
    <w:rsid w:val="009E764D"/>
    <w:rsid w:val="009E7700"/>
    <w:rsid w:val="009E7CDB"/>
    <w:rsid w:val="009E7FF2"/>
    <w:rsid w:val="009F0017"/>
    <w:rsid w:val="009F0035"/>
    <w:rsid w:val="009F0085"/>
    <w:rsid w:val="009F01BB"/>
    <w:rsid w:val="009F01FC"/>
    <w:rsid w:val="009F020E"/>
    <w:rsid w:val="009F0220"/>
    <w:rsid w:val="009F039F"/>
    <w:rsid w:val="009F0519"/>
    <w:rsid w:val="009F05B9"/>
    <w:rsid w:val="009F0880"/>
    <w:rsid w:val="009F0896"/>
    <w:rsid w:val="009F0953"/>
    <w:rsid w:val="009F09CE"/>
    <w:rsid w:val="009F0A59"/>
    <w:rsid w:val="009F0A80"/>
    <w:rsid w:val="009F0ACB"/>
    <w:rsid w:val="009F0C27"/>
    <w:rsid w:val="009F0E19"/>
    <w:rsid w:val="009F0E84"/>
    <w:rsid w:val="009F0EE3"/>
    <w:rsid w:val="009F1057"/>
    <w:rsid w:val="009F10A2"/>
    <w:rsid w:val="009F12C2"/>
    <w:rsid w:val="009F1402"/>
    <w:rsid w:val="009F1502"/>
    <w:rsid w:val="009F157C"/>
    <w:rsid w:val="009F178E"/>
    <w:rsid w:val="009F179C"/>
    <w:rsid w:val="009F17BE"/>
    <w:rsid w:val="009F189B"/>
    <w:rsid w:val="009F18AC"/>
    <w:rsid w:val="009F1A09"/>
    <w:rsid w:val="009F1A72"/>
    <w:rsid w:val="009F1B64"/>
    <w:rsid w:val="009F1B7B"/>
    <w:rsid w:val="009F1D8D"/>
    <w:rsid w:val="009F1DA0"/>
    <w:rsid w:val="009F1F27"/>
    <w:rsid w:val="009F1F87"/>
    <w:rsid w:val="009F1FF8"/>
    <w:rsid w:val="009F201F"/>
    <w:rsid w:val="009F203C"/>
    <w:rsid w:val="009F20B1"/>
    <w:rsid w:val="009F219C"/>
    <w:rsid w:val="009F21D3"/>
    <w:rsid w:val="009F2251"/>
    <w:rsid w:val="009F241A"/>
    <w:rsid w:val="009F24C8"/>
    <w:rsid w:val="009F24EF"/>
    <w:rsid w:val="009F251D"/>
    <w:rsid w:val="009F2562"/>
    <w:rsid w:val="009F2604"/>
    <w:rsid w:val="009F266C"/>
    <w:rsid w:val="009F27A6"/>
    <w:rsid w:val="009F2B13"/>
    <w:rsid w:val="009F2BCC"/>
    <w:rsid w:val="009F2C83"/>
    <w:rsid w:val="009F2D37"/>
    <w:rsid w:val="009F2EA5"/>
    <w:rsid w:val="009F3049"/>
    <w:rsid w:val="009F3101"/>
    <w:rsid w:val="009F311E"/>
    <w:rsid w:val="009F32C0"/>
    <w:rsid w:val="009F33C5"/>
    <w:rsid w:val="009F33E1"/>
    <w:rsid w:val="009F34FA"/>
    <w:rsid w:val="009F37B9"/>
    <w:rsid w:val="009F397A"/>
    <w:rsid w:val="009F3BE7"/>
    <w:rsid w:val="009F3BED"/>
    <w:rsid w:val="009F3CF8"/>
    <w:rsid w:val="009F3E0F"/>
    <w:rsid w:val="009F3E23"/>
    <w:rsid w:val="009F4080"/>
    <w:rsid w:val="009F412B"/>
    <w:rsid w:val="009F4316"/>
    <w:rsid w:val="009F4357"/>
    <w:rsid w:val="009F4372"/>
    <w:rsid w:val="009F4380"/>
    <w:rsid w:val="009F43C2"/>
    <w:rsid w:val="009F4641"/>
    <w:rsid w:val="009F46A8"/>
    <w:rsid w:val="009F4752"/>
    <w:rsid w:val="009F47C6"/>
    <w:rsid w:val="009F4828"/>
    <w:rsid w:val="009F48DC"/>
    <w:rsid w:val="009F4B27"/>
    <w:rsid w:val="009F4C9A"/>
    <w:rsid w:val="009F4D40"/>
    <w:rsid w:val="009F4E35"/>
    <w:rsid w:val="009F4EE1"/>
    <w:rsid w:val="009F51C2"/>
    <w:rsid w:val="009F51D2"/>
    <w:rsid w:val="009F5694"/>
    <w:rsid w:val="009F572E"/>
    <w:rsid w:val="009F57DA"/>
    <w:rsid w:val="009F5840"/>
    <w:rsid w:val="009F592C"/>
    <w:rsid w:val="009F5B22"/>
    <w:rsid w:val="009F5C11"/>
    <w:rsid w:val="009F5C34"/>
    <w:rsid w:val="009F5CAC"/>
    <w:rsid w:val="009F5F72"/>
    <w:rsid w:val="009F5FCB"/>
    <w:rsid w:val="009F6124"/>
    <w:rsid w:val="009F62CE"/>
    <w:rsid w:val="009F6317"/>
    <w:rsid w:val="009F650A"/>
    <w:rsid w:val="009F65A4"/>
    <w:rsid w:val="009F66CC"/>
    <w:rsid w:val="009F6820"/>
    <w:rsid w:val="009F6857"/>
    <w:rsid w:val="009F688B"/>
    <w:rsid w:val="009F69FA"/>
    <w:rsid w:val="009F6B33"/>
    <w:rsid w:val="009F6CBA"/>
    <w:rsid w:val="009F6CFF"/>
    <w:rsid w:val="009F6E8C"/>
    <w:rsid w:val="009F6F32"/>
    <w:rsid w:val="009F70EB"/>
    <w:rsid w:val="009F7177"/>
    <w:rsid w:val="009F72DA"/>
    <w:rsid w:val="009F73DB"/>
    <w:rsid w:val="009F770F"/>
    <w:rsid w:val="009F7780"/>
    <w:rsid w:val="009F7800"/>
    <w:rsid w:val="009F7A45"/>
    <w:rsid w:val="009F7AF3"/>
    <w:rsid w:val="009F7C45"/>
    <w:rsid w:val="009F7CBB"/>
    <w:rsid w:val="009F7D05"/>
    <w:rsid w:val="009F7D26"/>
    <w:rsid w:val="009F7D48"/>
    <w:rsid w:val="009F7F13"/>
    <w:rsid w:val="009F7F87"/>
    <w:rsid w:val="009F7FD9"/>
    <w:rsid w:val="00A00071"/>
    <w:rsid w:val="00A0046F"/>
    <w:rsid w:val="00A004BA"/>
    <w:rsid w:val="00A005A4"/>
    <w:rsid w:val="00A005C7"/>
    <w:rsid w:val="00A0062E"/>
    <w:rsid w:val="00A00746"/>
    <w:rsid w:val="00A007EE"/>
    <w:rsid w:val="00A0089B"/>
    <w:rsid w:val="00A008B6"/>
    <w:rsid w:val="00A00904"/>
    <w:rsid w:val="00A00D4F"/>
    <w:rsid w:val="00A00DF6"/>
    <w:rsid w:val="00A00ED8"/>
    <w:rsid w:val="00A00F0D"/>
    <w:rsid w:val="00A00FE2"/>
    <w:rsid w:val="00A011F6"/>
    <w:rsid w:val="00A01332"/>
    <w:rsid w:val="00A015DC"/>
    <w:rsid w:val="00A01714"/>
    <w:rsid w:val="00A01768"/>
    <w:rsid w:val="00A01856"/>
    <w:rsid w:val="00A01942"/>
    <w:rsid w:val="00A01B37"/>
    <w:rsid w:val="00A01C50"/>
    <w:rsid w:val="00A01C96"/>
    <w:rsid w:val="00A01D96"/>
    <w:rsid w:val="00A01E4E"/>
    <w:rsid w:val="00A01F56"/>
    <w:rsid w:val="00A01F8C"/>
    <w:rsid w:val="00A02104"/>
    <w:rsid w:val="00A02213"/>
    <w:rsid w:val="00A022B2"/>
    <w:rsid w:val="00A023D8"/>
    <w:rsid w:val="00A02473"/>
    <w:rsid w:val="00A02477"/>
    <w:rsid w:val="00A0248F"/>
    <w:rsid w:val="00A026FC"/>
    <w:rsid w:val="00A028BE"/>
    <w:rsid w:val="00A02B9D"/>
    <w:rsid w:val="00A02CBD"/>
    <w:rsid w:val="00A02E1D"/>
    <w:rsid w:val="00A02EDD"/>
    <w:rsid w:val="00A02FFF"/>
    <w:rsid w:val="00A03014"/>
    <w:rsid w:val="00A032E6"/>
    <w:rsid w:val="00A033EC"/>
    <w:rsid w:val="00A0341E"/>
    <w:rsid w:val="00A0342C"/>
    <w:rsid w:val="00A0344F"/>
    <w:rsid w:val="00A0349E"/>
    <w:rsid w:val="00A034F5"/>
    <w:rsid w:val="00A035D1"/>
    <w:rsid w:val="00A0365E"/>
    <w:rsid w:val="00A03829"/>
    <w:rsid w:val="00A03B64"/>
    <w:rsid w:val="00A04089"/>
    <w:rsid w:val="00A0411F"/>
    <w:rsid w:val="00A04447"/>
    <w:rsid w:val="00A044F8"/>
    <w:rsid w:val="00A04833"/>
    <w:rsid w:val="00A04943"/>
    <w:rsid w:val="00A04969"/>
    <w:rsid w:val="00A04BDF"/>
    <w:rsid w:val="00A04C87"/>
    <w:rsid w:val="00A04D59"/>
    <w:rsid w:val="00A04EF3"/>
    <w:rsid w:val="00A04FD2"/>
    <w:rsid w:val="00A050F0"/>
    <w:rsid w:val="00A051E8"/>
    <w:rsid w:val="00A0520E"/>
    <w:rsid w:val="00A052DC"/>
    <w:rsid w:val="00A05448"/>
    <w:rsid w:val="00A058BB"/>
    <w:rsid w:val="00A0591A"/>
    <w:rsid w:val="00A05999"/>
    <w:rsid w:val="00A05A42"/>
    <w:rsid w:val="00A05D3E"/>
    <w:rsid w:val="00A05DD6"/>
    <w:rsid w:val="00A05E2C"/>
    <w:rsid w:val="00A05EA5"/>
    <w:rsid w:val="00A05FA9"/>
    <w:rsid w:val="00A0609A"/>
    <w:rsid w:val="00A060E5"/>
    <w:rsid w:val="00A061B8"/>
    <w:rsid w:val="00A06413"/>
    <w:rsid w:val="00A06577"/>
    <w:rsid w:val="00A06962"/>
    <w:rsid w:val="00A069B1"/>
    <w:rsid w:val="00A06B4E"/>
    <w:rsid w:val="00A06C12"/>
    <w:rsid w:val="00A06D35"/>
    <w:rsid w:val="00A07068"/>
    <w:rsid w:val="00A07098"/>
    <w:rsid w:val="00A07405"/>
    <w:rsid w:val="00A076EA"/>
    <w:rsid w:val="00A0770C"/>
    <w:rsid w:val="00A07768"/>
    <w:rsid w:val="00A077D9"/>
    <w:rsid w:val="00A077F9"/>
    <w:rsid w:val="00A078E4"/>
    <w:rsid w:val="00A07A0C"/>
    <w:rsid w:val="00A07BD4"/>
    <w:rsid w:val="00A07E92"/>
    <w:rsid w:val="00A07F70"/>
    <w:rsid w:val="00A07F7F"/>
    <w:rsid w:val="00A10041"/>
    <w:rsid w:val="00A100E7"/>
    <w:rsid w:val="00A10168"/>
    <w:rsid w:val="00A101C1"/>
    <w:rsid w:val="00A10224"/>
    <w:rsid w:val="00A102E2"/>
    <w:rsid w:val="00A10404"/>
    <w:rsid w:val="00A1066D"/>
    <w:rsid w:val="00A10680"/>
    <w:rsid w:val="00A10949"/>
    <w:rsid w:val="00A10EF5"/>
    <w:rsid w:val="00A10F36"/>
    <w:rsid w:val="00A10F62"/>
    <w:rsid w:val="00A1104C"/>
    <w:rsid w:val="00A113AE"/>
    <w:rsid w:val="00A1142A"/>
    <w:rsid w:val="00A114F4"/>
    <w:rsid w:val="00A1165C"/>
    <w:rsid w:val="00A116D7"/>
    <w:rsid w:val="00A11703"/>
    <w:rsid w:val="00A11832"/>
    <w:rsid w:val="00A118A6"/>
    <w:rsid w:val="00A119C3"/>
    <w:rsid w:val="00A11A55"/>
    <w:rsid w:val="00A11B66"/>
    <w:rsid w:val="00A11B67"/>
    <w:rsid w:val="00A11BC3"/>
    <w:rsid w:val="00A11C2C"/>
    <w:rsid w:val="00A11C39"/>
    <w:rsid w:val="00A11D8E"/>
    <w:rsid w:val="00A11ECA"/>
    <w:rsid w:val="00A11EFF"/>
    <w:rsid w:val="00A11FF1"/>
    <w:rsid w:val="00A1210E"/>
    <w:rsid w:val="00A12216"/>
    <w:rsid w:val="00A12327"/>
    <w:rsid w:val="00A12463"/>
    <w:rsid w:val="00A125B5"/>
    <w:rsid w:val="00A127F3"/>
    <w:rsid w:val="00A128DF"/>
    <w:rsid w:val="00A129BB"/>
    <w:rsid w:val="00A12A28"/>
    <w:rsid w:val="00A12B57"/>
    <w:rsid w:val="00A12BF6"/>
    <w:rsid w:val="00A12E51"/>
    <w:rsid w:val="00A12F23"/>
    <w:rsid w:val="00A12F3F"/>
    <w:rsid w:val="00A13033"/>
    <w:rsid w:val="00A131A4"/>
    <w:rsid w:val="00A13213"/>
    <w:rsid w:val="00A13407"/>
    <w:rsid w:val="00A13457"/>
    <w:rsid w:val="00A13583"/>
    <w:rsid w:val="00A137DA"/>
    <w:rsid w:val="00A139DB"/>
    <w:rsid w:val="00A13A19"/>
    <w:rsid w:val="00A13B59"/>
    <w:rsid w:val="00A13BE2"/>
    <w:rsid w:val="00A13DA1"/>
    <w:rsid w:val="00A13FE0"/>
    <w:rsid w:val="00A14112"/>
    <w:rsid w:val="00A14157"/>
    <w:rsid w:val="00A14314"/>
    <w:rsid w:val="00A143E3"/>
    <w:rsid w:val="00A14456"/>
    <w:rsid w:val="00A14570"/>
    <w:rsid w:val="00A145B2"/>
    <w:rsid w:val="00A14724"/>
    <w:rsid w:val="00A14833"/>
    <w:rsid w:val="00A148B0"/>
    <w:rsid w:val="00A14966"/>
    <w:rsid w:val="00A14A65"/>
    <w:rsid w:val="00A14BED"/>
    <w:rsid w:val="00A14C66"/>
    <w:rsid w:val="00A14D92"/>
    <w:rsid w:val="00A14E69"/>
    <w:rsid w:val="00A14E6C"/>
    <w:rsid w:val="00A14EA6"/>
    <w:rsid w:val="00A14F2F"/>
    <w:rsid w:val="00A14F33"/>
    <w:rsid w:val="00A14F58"/>
    <w:rsid w:val="00A14F9B"/>
    <w:rsid w:val="00A154AA"/>
    <w:rsid w:val="00A154C4"/>
    <w:rsid w:val="00A156DE"/>
    <w:rsid w:val="00A15724"/>
    <w:rsid w:val="00A15838"/>
    <w:rsid w:val="00A15863"/>
    <w:rsid w:val="00A15994"/>
    <w:rsid w:val="00A15B07"/>
    <w:rsid w:val="00A15C48"/>
    <w:rsid w:val="00A15C5F"/>
    <w:rsid w:val="00A15CE4"/>
    <w:rsid w:val="00A15D59"/>
    <w:rsid w:val="00A15D5E"/>
    <w:rsid w:val="00A15E51"/>
    <w:rsid w:val="00A15E62"/>
    <w:rsid w:val="00A162A4"/>
    <w:rsid w:val="00A163E7"/>
    <w:rsid w:val="00A1644B"/>
    <w:rsid w:val="00A166FF"/>
    <w:rsid w:val="00A168A9"/>
    <w:rsid w:val="00A168AE"/>
    <w:rsid w:val="00A16B95"/>
    <w:rsid w:val="00A16BA9"/>
    <w:rsid w:val="00A16C03"/>
    <w:rsid w:val="00A16D13"/>
    <w:rsid w:val="00A16DB6"/>
    <w:rsid w:val="00A17048"/>
    <w:rsid w:val="00A17059"/>
    <w:rsid w:val="00A172DD"/>
    <w:rsid w:val="00A17308"/>
    <w:rsid w:val="00A1736C"/>
    <w:rsid w:val="00A176A2"/>
    <w:rsid w:val="00A1791E"/>
    <w:rsid w:val="00A17BFA"/>
    <w:rsid w:val="00A17C11"/>
    <w:rsid w:val="00A17CE2"/>
    <w:rsid w:val="00A17D84"/>
    <w:rsid w:val="00A17E63"/>
    <w:rsid w:val="00A17EA4"/>
    <w:rsid w:val="00A17F23"/>
    <w:rsid w:val="00A17F35"/>
    <w:rsid w:val="00A17F4B"/>
    <w:rsid w:val="00A17F78"/>
    <w:rsid w:val="00A17F79"/>
    <w:rsid w:val="00A201EE"/>
    <w:rsid w:val="00A20215"/>
    <w:rsid w:val="00A20231"/>
    <w:rsid w:val="00A2032B"/>
    <w:rsid w:val="00A20343"/>
    <w:rsid w:val="00A20477"/>
    <w:rsid w:val="00A20585"/>
    <w:rsid w:val="00A205C6"/>
    <w:rsid w:val="00A2071B"/>
    <w:rsid w:val="00A2078D"/>
    <w:rsid w:val="00A20858"/>
    <w:rsid w:val="00A20908"/>
    <w:rsid w:val="00A20C0C"/>
    <w:rsid w:val="00A20E37"/>
    <w:rsid w:val="00A212C3"/>
    <w:rsid w:val="00A212F8"/>
    <w:rsid w:val="00A2131B"/>
    <w:rsid w:val="00A2143C"/>
    <w:rsid w:val="00A2153A"/>
    <w:rsid w:val="00A21577"/>
    <w:rsid w:val="00A2163E"/>
    <w:rsid w:val="00A2171E"/>
    <w:rsid w:val="00A21813"/>
    <w:rsid w:val="00A2191F"/>
    <w:rsid w:val="00A21998"/>
    <w:rsid w:val="00A21A93"/>
    <w:rsid w:val="00A21B78"/>
    <w:rsid w:val="00A21C55"/>
    <w:rsid w:val="00A21CDF"/>
    <w:rsid w:val="00A21D13"/>
    <w:rsid w:val="00A21E1F"/>
    <w:rsid w:val="00A21EE9"/>
    <w:rsid w:val="00A21F0D"/>
    <w:rsid w:val="00A21FBF"/>
    <w:rsid w:val="00A220A2"/>
    <w:rsid w:val="00A223C8"/>
    <w:rsid w:val="00A22551"/>
    <w:rsid w:val="00A2272E"/>
    <w:rsid w:val="00A229A3"/>
    <w:rsid w:val="00A22A3C"/>
    <w:rsid w:val="00A22B48"/>
    <w:rsid w:val="00A22C64"/>
    <w:rsid w:val="00A22E28"/>
    <w:rsid w:val="00A22E58"/>
    <w:rsid w:val="00A22ED1"/>
    <w:rsid w:val="00A22F60"/>
    <w:rsid w:val="00A235A6"/>
    <w:rsid w:val="00A23676"/>
    <w:rsid w:val="00A236FE"/>
    <w:rsid w:val="00A2378C"/>
    <w:rsid w:val="00A238B5"/>
    <w:rsid w:val="00A238EB"/>
    <w:rsid w:val="00A23ABC"/>
    <w:rsid w:val="00A23AFF"/>
    <w:rsid w:val="00A23C48"/>
    <w:rsid w:val="00A23C89"/>
    <w:rsid w:val="00A23CC6"/>
    <w:rsid w:val="00A23CD3"/>
    <w:rsid w:val="00A23DF0"/>
    <w:rsid w:val="00A2402B"/>
    <w:rsid w:val="00A24229"/>
    <w:rsid w:val="00A2426E"/>
    <w:rsid w:val="00A244D7"/>
    <w:rsid w:val="00A2473E"/>
    <w:rsid w:val="00A2479C"/>
    <w:rsid w:val="00A2488E"/>
    <w:rsid w:val="00A24980"/>
    <w:rsid w:val="00A24A23"/>
    <w:rsid w:val="00A24A8E"/>
    <w:rsid w:val="00A24B10"/>
    <w:rsid w:val="00A24BAD"/>
    <w:rsid w:val="00A24D01"/>
    <w:rsid w:val="00A24D09"/>
    <w:rsid w:val="00A250AF"/>
    <w:rsid w:val="00A250DA"/>
    <w:rsid w:val="00A251C7"/>
    <w:rsid w:val="00A2534B"/>
    <w:rsid w:val="00A25378"/>
    <w:rsid w:val="00A255FA"/>
    <w:rsid w:val="00A2575A"/>
    <w:rsid w:val="00A2577B"/>
    <w:rsid w:val="00A25816"/>
    <w:rsid w:val="00A258F5"/>
    <w:rsid w:val="00A25A05"/>
    <w:rsid w:val="00A25A98"/>
    <w:rsid w:val="00A25BED"/>
    <w:rsid w:val="00A25BF9"/>
    <w:rsid w:val="00A25D05"/>
    <w:rsid w:val="00A25E63"/>
    <w:rsid w:val="00A26004"/>
    <w:rsid w:val="00A2601F"/>
    <w:rsid w:val="00A26175"/>
    <w:rsid w:val="00A26178"/>
    <w:rsid w:val="00A261B4"/>
    <w:rsid w:val="00A26237"/>
    <w:rsid w:val="00A26324"/>
    <w:rsid w:val="00A2686D"/>
    <w:rsid w:val="00A26973"/>
    <w:rsid w:val="00A269E4"/>
    <w:rsid w:val="00A26ABA"/>
    <w:rsid w:val="00A26B28"/>
    <w:rsid w:val="00A26B36"/>
    <w:rsid w:val="00A26CC7"/>
    <w:rsid w:val="00A26CD0"/>
    <w:rsid w:val="00A26D22"/>
    <w:rsid w:val="00A26F9A"/>
    <w:rsid w:val="00A27186"/>
    <w:rsid w:val="00A271BE"/>
    <w:rsid w:val="00A27203"/>
    <w:rsid w:val="00A273B9"/>
    <w:rsid w:val="00A274FC"/>
    <w:rsid w:val="00A27540"/>
    <w:rsid w:val="00A275F6"/>
    <w:rsid w:val="00A27717"/>
    <w:rsid w:val="00A2795A"/>
    <w:rsid w:val="00A279D1"/>
    <w:rsid w:val="00A27BED"/>
    <w:rsid w:val="00A27D79"/>
    <w:rsid w:val="00A27DB4"/>
    <w:rsid w:val="00A3026D"/>
    <w:rsid w:val="00A30328"/>
    <w:rsid w:val="00A3047D"/>
    <w:rsid w:val="00A304FB"/>
    <w:rsid w:val="00A3076B"/>
    <w:rsid w:val="00A3080D"/>
    <w:rsid w:val="00A309F0"/>
    <w:rsid w:val="00A30A6B"/>
    <w:rsid w:val="00A30C97"/>
    <w:rsid w:val="00A30CF6"/>
    <w:rsid w:val="00A30E5A"/>
    <w:rsid w:val="00A30E8F"/>
    <w:rsid w:val="00A30FEE"/>
    <w:rsid w:val="00A3103E"/>
    <w:rsid w:val="00A310E8"/>
    <w:rsid w:val="00A312E1"/>
    <w:rsid w:val="00A312F4"/>
    <w:rsid w:val="00A31340"/>
    <w:rsid w:val="00A31422"/>
    <w:rsid w:val="00A314F6"/>
    <w:rsid w:val="00A315AE"/>
    <w:rsid w:val="00A318FE"/>
    <w:rsid w:val="00A31955"/>
    <w:rsid w:val="00A31A2A"/>
    <w:rsid w:val="00A31AD3"/>
    <w:rsid w:val="00A31B90"/>
    <w:rsid w:val="00A31E5B"/>
    <w:rsid w:val="00A31F15"/>
    <w:rsid w:val="00A31F76"/>
    <w:rsid w:val="00A31FA2"/>
    <w:rsid w:val="00A3202C"/>
    <w:rsid w:val="00A32142"/>
    <w:rsid w:val="00A3216D"/>
    <w:rsid w:val="00A3217C"/>
    <w:rsid w:val="00A32225"/>
    <w:rsid w:val="00A3225D"/>
    <w:rsid w:val="00A322D8"/>
    <w:rsid w:val="00A323DB"/>
    <w:rsid w:val="00A325DC"/>
    <w:rsid w:val="00A326B3"/>
    <w:rsid w:val="00A32750"/>
    <w:rsid w:val="00A328E4"/>
    <w:rsid w:val="00A32BA5"/>
    <w:rsid w:val="00A32E42"/>
    <w:rsid w:val="00A32F3D"/>
    <w:rsid w:val="00A32FB9"/>
    <w:rsid w:val="00A33218"/>
    <w:rsid w:val="00A332E5"/>
    <w:rsid w:val="00A333FF"/>
    <w:rsid w:val="00A33452"/>
    <w:rsid w:val="00A335BB"/>
    <w:rsid w:val="00A335FC"/>
    <w:rsid w:val="00A3367E"/>
    <w:rsid w:val="00A336FF"/>
    <w:rsid w:val="00A33708"/>
    <w:rsid w:val="00A338BA"/>
    <w:rsid w:val="00A338E3"/>
    <w:rsid w:val="00A33947"/>
    <w:rsid w:val="00A33950"/>
    <w:rsid w:val="00A33A2B"/>
    <w:rsid w:val="00A33D14"/>
    <w:rsid w:val="00A33FB7"/>
    <w:rsid w:val="00A33FEF"/>
    <w:rsid w:val="00A34000"/>
    <w:rsid w:val="00A34275"/>
    <w:rsid w:val="00A342CD"/>
    <w:rsid w:val="00A343D6"/>
    <w:rsid w:val="00A34424"/>
    <w:rsid w:val="00A3446E"/>
    <w:rsid w:val="00A3451D"/>
    <w:rsid w:val="00A34571"/>
    <w:rsid w:val="00A345D3"/>
    <w:rsid w:val="00A346E2"/>
    <w:rsid w:val="00A34AB2"/>
    <w:rsid w:val="00A34B5F"/>
    <w:rsid w:val="00A34C14"/>
    <w:rsid w:val="00A34C36"/>
    <w:rsid w:val="00A354EB"/>
    <w:rsid w:val="00A35523"/>
    <w:rsid w:val="00A35648"/>
    <w:rsid w:val="00A356AB"/>
    <w:rsid w:val="00A35724"/>
    <w:rsid w:val="00A35755"/>
    <w:rsid w:val="00A3595C"/>
    <w:rsid w:val="00A35A0B"/>
    <w:rsid w:val="00A35AF1"/>
    <w:rsid w:val="00A35D60"/>
    <w:rsid w:val="00A35D89"/>
    <w:rsid w:val="00A35DF1"/>
    <w:rsid w:val="00A35E33"/>
    <w:rsid w:val="00A35EA7"/>
    <w:rsid w:val="00A35EF5"/>
    <w:rsid w:val="00A35FD0"/>
    <w:rsid w:val="00A36042"/>
    <w:rsid w:val="00A362ED"/>
    <w:rsid w:val="00A362FB"/>
    <w:rsid w:val="00A36647"/>
    <w:rsid w:val="00A36674"/>
    <w:rsid w:val="00A36703"/>
    <w:rsid w:val="00A36894"/>
    <w:rsid w:val="00A368C9"/>
    <w:rsid w:val="00A36978"/>
    <w:rsid w:val="00A36FBF"/>
    <w:rsid w:val="00A3704F"/>
    <w:rsid w:val="00A3716F"/>
    <w:rsid w:val="00A37184"/>
    <w:rsid w:val="00A373BF"/>
    <w:rsid w:val="00A37403"/>
    <w:rsid w:val="00A374DE"/>
    <w:rsid w:val="00A374EC"/>
    <w:rsid w:val="00A3752F"/>
    <w:rsid w:val="00A375C8"/>
    <w:rsid w:val="00A37739"/>
    <w:rsid w:val="00A37775"/>
    <w:rsid w:val="00A3793A"/>
    <w:rsid w:val="00A37A0C"/>
    <w:rsid w:val="00A37ADE"/>
    <w:rsid w:val="00A37C0A"/>
    <w:rsid w:val="00A37C92"/>
    <w:rsid w:val="00A37CA1"/>
    <w:rsid w:val="00A37D74"/>
    <w:rsid w:val="00A37DFA"/>
    <w:rsid w:val="00A37EEE"/>
    <w:rsid w:val="00A37F54"/>
    <w:rsid w:val="00A37FBE"/>
    <w:rsid w:val="00A403E1"/>
    <w:rsid w:val="00A40409"/>
    <w:rsid w:val="00A4045C"/>
    <w:rsid w:val="00A4049C"/>
    <w:rsid w:val="00A40658"/>
    <w:rsid w:val="00A407BD"/>
    <w:rsid w:val="00A40932"/>
    <w:rsid w:val="00A40A08"/>
    <w:rsid w:val="00A40AA6"/>
    <w:rsid w:val="00A40AAD"/>
    <w:rsid w:val="00A40C16"/>
    <w:rsid w:val="00A40DDD"/>
    <w:rsid w:val="00A40E2D"/>
    <w:rsid w:val="00A40E50"/>
    <w:rsid w:val="00A40ED1"/>
    <w:rsid w:val="00A40F20"/>
    <w:rsid w:val="00A411E4"/>
    <w:rsid w:val="00A41543"/>
    <w:rsid w:val="00A416A8"/>
    <w:rsid w:val="00A41784"/>
    <w:rsid w:val="00A417AE"/>
    <w:rsid w:val="00A4180B"/>
    <w:rsid w:val="00A419C0"/>
    <w:rsid w:val="00A41A62"/>
    <w:rsid w:val="00A41A7C"/>
    <w:rsid w:val="00A41B07"/>
    <w:rsid w:val="00A41B3A"/>
    <w:rsid w:val="00A41CAD"/>
    <w:rsid w:val="00A41D87"/>
    <w:rsid w:val="00A41E74"/>
    <w:rsid w:val="00A41ECB"/>
    <w:rsid w:val="00A42012"/>
    <w:rsid w:val="00A42060"/>
    <w:rsid w:val="00A420EB"/>
    <w:rsid w:val="00A421B4"/>
    <w:rsid w:val="00A422CE"/>
    <w:rsid w:val="00A422F3"/>
    <w:rsid w:val="00A4235C"/>
    <w:rsid w:val="00A423B4"/>
    <w:rsid w:val="00A4242F"/>
    <w:rsid w:val="00A42584"/>
    <w:rsid w:val="00A425C5"/>
    <w:rsid w:val="00A42742"/>
    <w:rsid w:val="00A4278E"/>
    <w:rsid w:val="00A4284A"/>
    <w:rsid w:val="00A42896"/>
    <w:rsid w:val="00A42CE8"/>
    <w:rsid w:val="00A42EC4"/>
    <w:rsid w:val="00A42F02"/>
    <w:rsid w:val="00A42FB8"/>
    <w:rsid w:val="00A4319E"/>
    <w:rsid w:val="00A431A0"/>
    <w:rsid w:val="00A431B5"/>
    <w:rsid w:val="00A431E1"/>
    <w:rsid w:val="00A43268"/>
    <w:rsid w:val="00A4337F"/>
    <w:rsid w:val="00A433C2"/>
    <w:rsid w:val="00A433CA"/>
    <w:rsid w:val="00A433DA"/>
    <w:rsid w:val="00A43691"/>
    <w:rsid w:val="00A437FA"/>
    <w:rsid w:val="00A4396A"/>
    <w:rsid w:val="00A43976"/>
    <w:rsid w:val="00A439CF"/>
    <w:rsid w:val="00A43A39"/>
    <w:rsid w:val="00A4423C"/>
    <w:rsid w:val="00A442E8"/>
    <w:rsid w:val="00A4430B"/>
    <w:rsid w:val="00A444A3"/>
    <w:rsid w:val="00A4455E"/>
    <w:rsid w:val="00A44583"/>
    <w:rsid w:val="00A445C2"/>
    <w:rsid w:val="00A445D8"/>
    <w:rsid w:val="00A44899"/>
    <w:rsid w:val="00A44A07"/>
    <w:rsid w:val="00A44A75"/>
    <w:rsid w:val="00A44B46"/>
    <w:rsid w:val="00A44CC3"/>
    <w:rsid w:val="00A44EA8"/>
    <w:rsid w:val="00A44ED8"/>
    <w:rsid w:val="00A44F33"/>
    <w:rsid w:val="00A45156"/>
    <w:rsid w:val="00A451E6"/>
    <w:rsid w:val="00A451FA"/>
    <w:rsid w:val="00A4522B"/>
    <w:rsid w:val="00A45303"/>
    <w:rsid w:val="00A45443"/>
    <w:rsid w:val="00A4546B"/>
    <w:rsid w:val="00A45668"/>
    <w:rsid w:val="00A4567F"/>
    <w:rsid w:val="00A456CC"/>
    <w:rsid w:val="00A4574F"/>
    <w:rsid w:val="00A45983"/>
    <w:rsid w:val="00A459AD"/>
    <w:rsid w:val="00A45B9F"/>
    <w:rsid w:val="00A45BB5"/>
    <w:rsid w:val="00A45D37"/>
    <w:rsid w:val="00A45DAE"/>
    <w:rsid w:val="00A45FC6"/>
    <w:rsid w:val="00A46138"/>
    <w:rsid w:val="00A461CF"/>
    <w:rsid w:val="00A462A2"/>
    <w:rsid w:val="00A463A9"/>
    <w:rsid w:val="00A466B1"/>
    <w:rsid w:val="00A466CD"/>
    <w:rsid w:val="00A467EE"/>
    <w:rsid w:val="00A4680A"/>
    <w:rsid w:val="00A46938"/>
    <w:rsid w:val="00A46988"/>
    <w:rsid w:val="00A46B1A"/>
    <w:rsid w:val="00A46BF0"/>
    <w:rsid w:val="00A46D7F"/>
    <w:rsid w:val="00A46DD5"/>
    <w:rsid w:val="00A46E0C"/>
    <w:rsid w:val="00A46F62"/>
    <w:rsid w:val="00A46FC5"/>
    <w:rsid w:val="00A46FE5"/>
    <w:rsid w:val="00A47053"/>
    <w:rsid w:val="00A471FC"/>
    <w:rsid w:val="00A4741A"/>
    <w:rsid w:val="00A4755D"/>
    <w:rsid w:val="00A4756D"/>
    <w:rsid w:val="00A4765B"/>
    <w:rsid w:val="00A47883"/>
    <w:rsid w:val="00A47967"/>
    <w:rsid w:val="00A47A8C"/>
    <w:rsid w:val="00A47CCC"/>
    <w:rsid w:val="00A47DBF"/>
    <w:rsid w:val="00A47DD5"/>
    <w:rsid w:val="00A47E49"/>
    <w:rsid w:val="00A47E74"/>
    <w:rsid w:val="00A47F06"/>
    <w:rsid w:val="00A50252"/>
    <w:rsid w:val="00A503CC"/>
    <w:rsid w:val="00A5040B"/>
    <w:rsid w:val="00A5044F"/>
    <w:rsid w:val="00A50462"/>
    <w:rsid w:val="00A504B2"/>
    <w:rsid w:val="00A504DC"/>
    <w:rsid w:val="00A50598"/>
    <w:rsid w:val="00A505D4"/>
    <w:rsid w:val="00A50678"/>
    <w:rsid w:val="00A5069D"/>
    <w:rsid w:val="00A506F6"/>
    <w:rsid w:val="00A50737"/>
    <w:rsid w:val="00A50784"/>
    <w:rsid w:val="00A50852"/>
    <w:rsid w:val="00A5085E"/>
    <w:rsid w:val="00A50AA6"/>
    <w:rsid w:val="00A50B50"/>
    <w:rsid w:val="00A50CB3"/>
    <w:rsid w:val="00A50CFD"/>
    <w:rsid w:val="00A50CFF"/>
    <w:rsid w:val="00A50FE9"/>
    <w:rsid w:val="00A50FF6"/>
    <w:rsid w:val="00A5103B"/>
    <w:rsid w:val="00A51109"/>
    <w:rsid w:val="00A511B9"/>
    <w:rsid w:val="00A511E3"/>
    <w:rsid w:val="00A51256"/>
    <w:rsid w:val="00A5135E"/>
    <w:rsid w:val="00A51551"/>
    <w:rsid w:val="00A51726"/>
    <w:rsid w:val="00A51861"/>
    <w:rsid w:val="00A518AB"/>
    <w:rsid w:val="00A518B1"/>
    <w:rsid w:val="00A51980"/>
    <w:rsid w:val="00A519AB"/>
    <w:rsid w:val="00A519AD"/>
    <w:rsid w:val="00A51CA6"/>
    <w:rsid w:val="00A51D2C"/>
    <w:rsid w:val="00A51E43"/>
    <w:rsid w:val="00A51EB8"/>
    <w:rsid w:val="00A52217"/>
    <w:rsid w:val="00A52232"/>
    <w:rsid w:val="00A522FE"/>
    <w:rsid w:val="00A523D8"/>
    <w:rsid w:val="00A52536"/>
    <w:rsid w:val="00A52540"/>
    <w:rsid w:val="00A525F3"/>
    <w:rsid w:val="00A525FC"/>
    <w:rsid w:val="00A5268A"/>
    <w:rsid w:val="00A5274D"/>
    <w:rsid w:val="00A52818"/>
    <w:rsid w:val="00A5283E"/>
    <w:rsid w:val="00A52A0A"/>
    <w:rsid w:val="00A52A3C"/>
    <w:rsid w:val="00A52B93"/>
    <w:rsid w:val="00A52D4D"/>
    <w:rsid w:val="00A52E0D"/>
    <w:rsid w:val="00A52E1C"/>
    <w:rsid w:val="00A52EEB"/>
    <w:rsid w:val="00A52F4D"/>
    <w:rsid w:val="00A53276"/>
    <w:rsid w:val="00A532E0"/>
    <w:rsid w:val="00A53310"/>
    <w:rsid w:val="00A53422"/>
    <w:rsid w:val="00A5345A"/>
    <w:rsid w:val="00A534F9"/>
    <w:rsid w:val="00A53509"/>
    <w:rsid w:val="00A53694"/>
    <w:rsid w:val="00A5396D"/>
    <w:rsid w:val="00A53B51"/>
    <w:rsid w:val="00A53B84"/>
    <w:rsid w:val="00A53CCB"/>
    <w:rsid w:val="00A53DC9"/>
    <w:rsid w:val="00A54097"/>
    <w:rsid w:val="00A540C8"/>
    <w:rsid w:val="00A540D0"/>
    <w:rsid w:val="00A54146"/>
    <w:rsid w:val="00A54206"/>
    <w:rsid w:val="00A542AD"/>
    <w:rsid w:val="00A542ED"/>
    <w:rsid w:val="00A546C9"/>
    <w:rsid w:val="00A547D3"/>
    <w:rsid w:val="00A54855"/>
    <w:rsid w:val="00A54909"/>
    <w:rsid w:val="00A549C7"/>
    <w:rsid w:val="00A549E7"/>
    <w:rsid w:val="00A54A41"/>
    <w:rsid w:val="00A54B95"/>
    <w:rsid w:val="00A54C3F"/>
    <w:rsid w:val="00A54D9B"/>
    <w:rsid w:val="00A54E4D"/>
    <w:rsid w:val="00A54FA6"/>
    <w:rsid w:val="00A55017"/>
    <w:rsid w:val="00A55144"/>
    <w:rsid w:val="00A55288"/>
    <w:rsid w:val="00A55291"/>
    <w:rsid w:val="00A55303"/>
    <w:rsid w:val="00A555AE"/>
    <w:rsid w:val="00A55777"/>
    <w:rsid w:val="00A557AE"/>
    <w:rsid w:val="00A557E4"/>
    <w:rsid w:val="00A55884"/>
    <w:rsid w:val="00A5590A"/>
    <w:rsid w:val="00A55A05"/>
    <w:rsid w:val="00A55C21"/>
    <w:rsid w:val="00A55D7F"/>
    <w:rsid w:val="00A55E16"/>
    <w:rsid w:val="00A55E53"/>
    <w:rsid w:val="00A55E71"/>
    <w:rsid w:val="00A55F20"/>
    <w:rsid w:val="00A5605E"/>
    <w:rsid w:val="00A560B9"/>
    <w:rsid w:val="00A560CD"/>
    <w:rsid w:val="00A565C1"/>
    <w:rsid w:val="00A567C6"/>
    <w:rsid w:val="00A569BC"/>
    <w:rsid w:val="00A569DD"/>
    <w:rsid w:val="00A569E8"/>
    <w:rsid w:val="00A56A12"/>
    <w:rsid w:val="00A56A20"/>
    <w:rsid w:val="00A56A7B"/>
    <w:rsid w:val="00A56B32"/>
    <w:rsid w:val="00A56BC0"/>
    <w:rsid w:val="00A56C16"/>
    <w:rsid w:val="00A56C81"/>
    <w:rsid w:val="00A56CB8"/>
    <w:rsid w:val="00A56CC5"/>
    <w:rsid w:val="00A56D0C"/>
    <w:rsid w:val="00A56F74"/>
    <w:rsid w:val="00A56FB7"/>
    <w:rsid w:val="00A57036"/>
    <w:rsid w:val="00A570E7"/>
    <w:rsid w:val="00A5723D"/>
    <w:rsid w:val="00A574F9"/>
    <w:rsid w:val="00A57644"/>
    <w:rsid w:val="00A579CF"/>
    <w:rsid w:val="00A57BB6"/>
    <w:rsid w:val="00A57F8D"/>
    <w:rsid w:val="00A6009F"/>
    <w:rsid w:val="00A60228"/>
    <w:rsid w:val="00A60287"/>
    <w:rsid w:val="00A6041B"/>
    <w:rsid w:val="00A60551"/>
    <w:rsid w:val="00A606D9"/>
    <w:rsid w:val="00A6071D"/>
    <w:rsid w:val="00A60824"/>
    <w:rsid w:val="00A6098E"/>
    <w:rsid w:val="00A60A70"/>
    <w:rsid w:val="00A60A95"/>
    <w:rsid w:val="00A60AD7"/>
    <w:rsid w:val="00A60DCD"/>
    <w:rsid w:val="00A60EA7"/>
    <w:rsid w:val="00A60FB2"/>
    <w:rsid w:val="00A61120"/>
    <w:rsid w:val="00A612F2"/>
    <w:rsid w:val="00A61576"/>
    <w:rsid w:val="00A61768"/>
    <w:rsid w:val="00A61790"/>
    <w:rsid w:val="00A617A1"/>
    <w:rsid w:val="00A61840"/>
    <w:rsid w:val="00A61860"/>
    <w:rsid w:val="00A618EA"/>
    <w:rsid w:val="00A61A7B"/>
    <w:rsid w:val="00A61B5C"/>
    <w:rsid w:val="00A61BDC"/>
    <w:rsid w:val="00A623BE"/>
    <w:rsid w:val="00A62452"/>
    <w:rsid w:val="00A625FD"/>
    <w:rsid w:val="00A626AB"/>
    <w:rsid w:val="00A62766"/>
    <w:rsid w:val="00A62A44"/>
    <w:rsid w:val="00A62C81"/>
    <w:rsid w:val="00A62D0C"/>
    <w:rsid w:val="00A62DC1"/>
    <w:rsid w:val="00A62DF0"/>
    <w:rsid w:val="00A62E38"/>
    <w:rsid w:val="00A62EED"/>
    <w:rsid w:val="00A62F66"/>
    <w:rsid w:val="00A634E0"/>
    <w:rsid w:val="00A635E6"/>
    <w:rsid w:val="00A63C90"/>
    <w:rsid w:val="00A63CFD"/>
    <w:rsid w:val="00A63DA7"/>
    <w:rsid w:val="00A63E46"/>
    <w:rsid w:val="00A63E94"/>
    <w:rsid w:val="00A63EBC"/>
    <w:rsid w:val="00A63FE6"/>
    <w:rsid w:val="00A640FF"/>
    <w:rsid w:val="00A64138"/>
    <w:rsid w:val="00A643C0"/>
    <w:rsid w:val="00A644B2"/>
    <w:rsid w:val="00A644CF"/>
    <w:rsid w:val="00A646A2"/>
    <w:rsid w:val="00A6476C"/>
    <w:rsid w:val="00A64892"/>
    <w:rsid w:val="00A64B91"/>
    <w:rsid w:val="00A64BA3"/>
    <w:rsid w:val="00A64C6E"/>
    <w:rsid w:val="00A64CB7"/>
    <w:rsid w:val="00A64E78"/>
    <w:rsid w:val="00A64FA7"/>
    <w:rsid w:val="00A65000"/>
    <w:rsid w:val="00A651EA"/>
    <w:rsid w:val="00A651EF"/>
    <w:rsid w:val="00A65228"/>
    <w:rsid w:val="00A653AB"/>
    <w:rsid w:val="00A6545A"/>
    <w:rsid w:val="00A6545E"/>
    <w:rsid w:val="00A656A6"/>
    <w:rsid w:val="00A659D3"/>
    <w:rsid w:val="00A65A58"/>
    <w:rsid w:val="00A65B7C"/>
    <w:rsid w:val="00A65BBE"/>
    <w:rsid w:val="00A65E5D"/>
    <w:rsid w:val="00A66142"/>
    <w:rsid w:val="00A661A5"/>
    <w:rsid w:val="00A6648A"/>
    <w:rsid w:val="00A6659D"/>
    <w:rsid w:val="00A6664C"/>
    <w:rsid w:val="00A666DA"/>
    <w:rsid w:val="00A668D4"/>
    <w:rsid w:val="00A66B22"/>
    <w:rsid w:val="00A66B61"/>
    <w:rsid w:val="00A66B82"/>
    <w:rsid w:val="00A66BD3"/>
    <w:rsid w:val="00A66C58"/>
    <w:rsid w:val="00A67006"/>
    <w:rsid w:val="00A67107"/>
    <w:rsid w:val="00A6718E"/>
    <w:rsid w:val="00A6727D"/>
    <w:rsid w:val="00A6749D"/>
    <w:rsid w:val="00A674C2"/>
    <w:rsid w:val="00A675CA"/>
    <w:rsid w:val="00A67796"/>
    <w:rsid w:val="00A67812"/>
    <w:rsid w:val="00A6788B"/>
    <w:rsid w:val="00A678EC"/>
    <w:rsid w:val="00A67C27"/>
    <w:rsid w:val="00A67C87"/>
    <w:rsid w:val="00A67D37"/>
    <w:rsid w:val="00A67D79"/>
    <w:rsid w:val="00A67E03"/>
    <w:rsid w:val="00A70037"/>
    <w:rsid w:val="00A70244"/>
    <w:rsid w:val="00A70647"/>
    <w:rsid w:val="00A70748"/>
    <w:rsid w:val="00A707AB"/>
    <w:rsid w:val="00A709BE"/>
    <w:rsid w:val="00A70C51"/>
    <w:rsid w:val="00A70D49"/>
    <w:rsid w:val="00A70F84"/>
    <w:rsid w:val="00A7117B"/>
    <w:rsid w:val="00A71203"/>
    <w:rsid w:val="00A712B9"/>
    <w:rsid w:val="00A71391"/>
    <w:rsid w:val="00A714F0"/>
    <w:rsid w:val="00A715A4"/>
    <w:rsid w:val="00A715CD"/>
    <w:rsid w:val="00A71770"/>
    <w:rsid w:val="00A71773"/>
    <w:rsid w:val="00A718FF"/>
    <w:rsid w:val="00A71ADB"/>
    <w:rsid w:val="00A71E72"/>
    <w:rsid w:val="00A71F9F"/>
    <w:rsid w:val="00A72170"/>
    <w:rsid w:val="00A722BD"/>
    <w:rsid w:val="00A722DC"/>
    <w:rsid w:val="00A72708"/>
    <w:rsid w:val="00A727B5"/>
    <w:rsid w:val="00A728AD"/>
    <w:rsid w:val="00A728E8"/>
    <w:rsid w:val="00A72AEE"/>
    <w:rsid w:val="00A72B0E"/>
    <w:rsid w:val="00A72B71"/>
    <w:rsid w:val="00A72E36"/>
    <w:rsid w:val="00A72FBC"/>
    <w:rsid w:val="00A73017"/>
    <w:rsid w:val="00A73131"/>
    <w:rsid w:val="00A731DC"/>
    <w:rsid w:val="00A735FA"/>
    <w:rsid w:val="00A73742"/>
    <w:rsid w:val="00A7382E"/>
    <w:rsid w:val="00A738D9"/>
    <w:rsid w:val="00A73983"/>
    <w:rsid w:val="00A73A0A"/>
    <w:rsid w:val="00A73A41"/>
    <w:rsid w:val="00A73A8B"/>
    <w:rsid w:val="00A73BAE"/>
    <w:rsid w:val="00A74025"/>
    <w:rsid w:val="00A7403F"/>
    <w:rsid w:val="00A741E3"/>
    <w:rsid w:val="00A7455A"/>
    <w:rsid w:val="00A74575"/>
    <w:rsid w:val="00A745AC"/>
    <w:rsid w:val="00A745F5"/>
    <w:rsid w:val="00A74AEA"/>
    <w:rsid w:val="00A74BA2"/>
    <w:rsid w:val="00A74BB8"/>
    <w:rsid w:val="00A74CBF"/>
    <w:rsid w:val="00A74D0F"/>
    <w:rsid w:val="00A74DD2"/>
    <w:rsid w:val="00A74F7B"/>
    <w:rsid w:val="00A7504C"/>
    <w:rsid w:val="00A750BD"/>
    <w:rsid w:val="00A75272"/>
    <w:rsid w:val="00A752C1"/>
    <w:rsid w:val="00A752F9"/>
    <w:rsid w:val="00A7538B"/>
    <w:rsid w:val="00A75507"/>
    <w:rsid w:val="00A75594"/>
    <w:rsid w:val="00A756B1"/>
    <w:rsid w:val="00A75838"/>
    <w:rsid w:val="00A7584D"/>
    <w:rsid w:val="00A758BE"/>
    <w:rsid w:val="00A759BB"/>
    <w:rsid w:val="00A75AB3"/>
    <w:rsid w:val="00A75D0F"/>
    <w:rsid w:val="00A75E58"/>
    <w:rsid w:val="00A75E8F"/>
    <w:rsid w:val="00A75EA0"/>
    <w:rsid w:val="00A75ECB"/>
    <w:rsid w:val="00A75F60"/>
    <w:rsid w:val="00A76014"/>
    <w:rsid w:val="00A76021"/>
    <w:rsid w:val="00A761C4"/>
    <w:rsid w:val="00A76221"/>
    <w:rsid w:val="00A762F4"/>
    <w:rsid w:val="00A76435"/>
    <w:rsid w:val="00A7644E"/>
    <w:rsid w:val="00A7647C"/>
    <w:rsid w:val="00A764C2"/>
    <w:rsid w:val="00A764EC"/>
    <w:rsid w:val="00A76653"/>
    <w:rsid w:val="00A7668A"/>
    <w:rsid w:val="00A766AF"/>
    <w:rsid w:val="00A766FB"/>
    <w:rsid w:val="00A76753"/>
    <w:rsid w:val="00A76764"/>
    <w:rsid w:val="00A76B0E"/>
    <w:rsid w:val="00A76C56"/>
    <w:rsid w:val="00A76C83"/>
    <w:rsid w:val="00A76C93"/>
    <w:rsid w:val="00A76D40"/>
    <w:rsid w:val="00A76DE1"/>
    <w:rsid w:val="00A770CA"/>
    <w:rsid w:val="00A770DA"/>
    <w:rsid w:val="00A77252"/>
    <w:rsid w:val="00A772EE"/>
    <w:rsid w:val="00A7733D"/>
    <w:rsid w:val="00A7735F"/>
    <w:rsid w:val="00A7752A"/>
    <w:rsid w:val="00A77614"/>
    <w:rsid w:val="00A77954"/>
    <w:rsid w:val="00A77990"/>
    <w:rsid w:val="00A77CA7"/>
    <w:rsid w:val="00A77D7B"/>
    <w:rsid w:val="00A80081"/>
    <w:rsid w:val="00A8014F"/>
    <w:rsid w:val="00A8019E"/>
    <w:rsid w:val="00A80219"/>
    <w:rsid w:val="00A8034F"/>
    <w:rsid w:val="00A80376"/>
    <w:rsid w:val="00A803DF"/>
    <w:rsid w:val="00A8044C"/>
    <w:rsid w:val="00A804FA"/>
    <w:rsid w:val="00A80511"/>
    <w:rsid w:val="00A80514"/>
    <w:rsid w:val="00A8052D"/>
    <w:rsid w:val="00A80653"/>
    <w:rsid w:val="00A806D6"/>
    <w:rsid w:val="00A806EB"/>
    <w:rsid w:val="00A806F9"/>
    <w:rsid w:val="00A8075E"/>
    <w:rsid w:val="00A8076C"/>
    <w:rsid w:val="00A809E6"/>
    <w:rsid w:val="00A80BB7"/>
    <w:rsid w:val="00A80C2A"/>
    <w:rsid w:val="00A80C6B"/>
    <w:rsid w:val="00A810A0"/>
    <w:rsid w:val="00A81168"/>
    <w:rsid w:val="00A81172"/>
    <w:rsid w:val="00A811A7"/>
    <w:rsid w:val="00A81250"/>
    <w:rsid w:val="00A81264"/>
    <w:rsid w:val="00A81275"/>
    <w:rsid w:val="00A8139E"/>
    <w:rsid w:val="00A81526"/>
    <w:rsid w:val="00A81561"/>
    <w:rsid w:val="00A817DE"/>
    <w:rsid w:val="00A81B9E"/>
    <w:rsid w:val="00A81CCC"/>
    <w:rsid w:val="00A81CD7"/>
    <w:rsid w:val="00A81CE5"/>
    <w:rsid w:val="00A81E67"/>
    <w:rsid w:val="00A81FB0"/>
    <w:rsid w:val="00A81FD6"/>
    <w:rsid w:val="00A82143"/>
    <w:rsid w:val="00A82236"/>
    <w:rsid w:val="00A822BD"/>
    <w:rsid w:val="00A82415"/>
    <w:rsid w:val="00A8245F"/>
    <w:rsid w:val="00A824B2"/>
    <w:rsid w:val="00A825F4"/>
    <w:rsid w:val="00A82673"/>
    <w:rsid w:val="00A826BD"/>
    <w:rsid w:val="00A82909"/>
    <w:rsid w:val="00A82930"/>
    <w:rsid w:val="00A82969"/>
    <w:rsid w:val="00A82E36"/>
    <w:rsid w:val="00A830B7"/>
    <w:rsid w:val="00A831CD"/>
    <w:rsid w:val="00A833D5"/>
    <w:rsid w:val="00A8358C"/>
    <w:rsid w:val="00A838EF"/>
    <w:rsid w:val="00A83974"/>
    <w:rsid w:val="00A83997"/>
    <w:rsid w:val="00A83A6E"/>
    <w:rsid w:val="00A83CC6"/>
    <w:rsid w:val="00A83D57"/>
    <w:rsid w:val="00A84008"/>
    <w:rsid w:val="00A8418C"/>
    <w:rsid w:val="00A8430D"/>
    <w:rsid w:val="00A845C6"/>
    <w:rsid w:val="00A8468D"/>
    <w:rsid w:val="00A8469D"/>
    <w:rsid w:val="00A8491D"/>
    <w:rsid w:val="00A84972"/>
    <w:rsid w:val="00A84A1F"/>
    <w:rsid w:val="00A84A89"/>
    <w:rsid w:val="00A84B29"/>
    <w:rsid w:val="00A84CBE"/>
    <w:rsid w:val="00A84EA7"/>
    <w:rsid w:val="00A84F51"/>
    <w:rsid w:val="00A84F94"/>
    <w:rsid w:val="00A84FE6"/>
    <w:rsid w:val="00A8500C"/>
    <w:rsid w:val="00A85031"/>
    <w:rsid w:val="00A8518C"/>
    <w:rsid w:val="00A851EE"/>
    <w:rsid w:val="00A852F8"/>
    <w:rsid w:val="00A8563E"/>
    <w:rsid w:val="00A859E9"/>
    <w:rsid w:val="00A85ADB"/>
    <w:rsid w:val="00A85EAF"/>
    <w:rsid w:val="00A85F54"/>
    <w:rsid w:val="00A86304"/>
    <w:rsid w:val="00A8633A"/>
    <w:rsid w:val="00A86441"/>
    <w:rsid w:val="00A8664B"/>
    <w:rsid w:val="00A8673E"/>
    <w:rsid w:val="00A867AC"/>
    <w:rsid w:val="00A867B2"/>
    <w:rsid w:val="00A8699E"/>
    <w:rsid w:val="00A86B4E"/>
    <w:rsid w:val="00A86D16"/>
    <w:rsid w:val="00A86D1E"/>
    <w:rsid w:val="00A86EE9"/>
    <w:rsid w:val="00A86FE0"/>
    <w:rsid w:val="00A87082"/>
    <w:rsid w:val="00A870CD"/>
    <w:rsid w:val="00A871DA"/>
    <w:rsid w:val="00A87274"/>
    <w:rsid w:val="00A872E5"/>
    <w:rsid w:val="00A873A6"/>
    <w:rsid w:val="00A873F0"/>
    <w:rsid w:val="00A8744E"/>
    <w:rsid w:val="00A8751A"/>
    <w:rsid w:val="00A8765A"/>
    <w:rsid w:val="00A877A9"/>
    <w:rsid w:val="00A877D0"/>
    <w:rsid w:val="00A877E6"/>
    <w:rsid w:val="00A877F8"/>
    <w:rsid w:val="00A879E1"/>
    <w:rsid w:val="00A87A4B"/>
    <w:rsid w:val="00A87A9F"/>
    <w:rsid w:val="00A87C49"/>
    <w:rsid w:val="00A87D06"/>
    <w:rsid w:val="00A87E09"/>
    <w:rsid w:val="00A87E6A"/>
    <w:rsid w:val="00A90191"/>
    <w:rsid w:val="00A901D7"/>
    <w:rsid w:val="00A902CF"/>
    <w:rsid w:val="00A903C2"/>
    <w:rsid w:val="00A903C5"/>
    <w:rsid w:val="00A904C7"/>
    <w:rsid w:val="00A9053F"/>
    <w:rsid w:val="00A905C9"/>
    <w:rsid w:val="00A909F7"/>
    <w:rsid w:val="00A90A7C"/>
    <w:rsid w:val="00A90B3A"/>
    <w:rsid w:val="00A91065"/>
    <w:rsid w:val="00A91103"/>
    <w:rsid w:val="00A91108"/>
    <w:rsid w:val="00A9117D"/>
    <w:rsid w:val="00A911D6"/>
    <w:rsid w:val="00A91328"/>
    <w:rsid w:val="00A913C6"/>
    <w:rsid w:val="00A913EA"/>
    <w:rsid w:val="00A914DD"/>
    <w:rsid w:val="00A9164E"/>
    <w:rsid w:val="00A916A1"/>
    <w:rsid w:val="00A917BE"/>
    <w:rsid w:val="00A917E2"/>
    <w:rsid w:val="00A918A6"/>
    <w:rsid w:val="00A91A79"/>
    <w:rsid w:val="00A91B67"/>
    <w:rsid w:val="00A91C1F"/>
    <w:rsid w:val="00A91EB3"/>
    <w:rsid w:val="00A92040"/>
    <w:rsid w:val="00A920A7"/>
    <w:rsid w:val="00A92481"/>
    <w:rsid w:val="00A92553"/>
    <w:rsid w:val="00A925D7"/>
    <w:rsid w:val="00A92716"/>
    <w:rsid w:val="00A92766"/>
    <w:rsid w:val="00A92799"/>
    <w:rsid w:val="00A9286C"/>
    <w:rsid w:val="00A92875"/>
    <w:rsid w:val="00A9290F"/>
    <w:rsid w:val="00A92A7B"/>
    <w:rsid w:val="00A92B8F"/>
    <w:rsid w:val="00A92CB7"/>
    <w:rsid w:val="00A92DED"/>
    <w:rsid w:val="00A93032"/>
    <w:rsid w:val="00A9344A"/>
    <w:rsid w:val="00A93676"/>
    <w:rsid w:val="00A93695"/>
    <w:rsid w:val="00A937E3"/>
    <w:rsid w:val="00A93801"/>
    <w:rsid w:val="00A938BF"/>
    <w:rsid w:val="00A93930"/>
    <w:rsid w:val="00A93B0C"/>
    <w:rsid w:val="00A93B53"/>
    <w:rsid w:val="00A93B86"/>
    <w:rsid w:val="00A93DD6"/>
    <w:rsid w:val="00A93DDD"/>
    <w:rsid w:val="00A93E28"/>
    <w:rsid w:val="00A93E76"/>
    <w:rsid w:val="00A93EDA"/>
    <w:rsid w:val="00A93F16"/>
    <w:rsid w:val="00A93F6B"/>
    <w:rsid w:val="00A94062"/>
    <w:rsid w:val="00A940BE"/>
    <w:rsid w:val="00A940FE"/>
    <w:rsid w:val="00A941ED"/>
    <w:rsid w:val="00A94279"/>
    <w:rsid w:val="00A9429D"/>
    <w:rsid w:val="00A9438D"/>
    <w:rsid w:val="00A943B9"/>
    <w:rsid w:val="00A9456E"/>
    <w:rsid w:val="00A946DE"/>
    <w:rsid w:val="00A94AA4"/>
    <w:rsid w:val="00A94B40"/>
    <w:rsid w:val="00A94C7A"/>
    <w:rsid w:val="00A94DC5"/>
    <w:rsid w:val="00A94EF3"/>
    <w:rsid w:val="00A94F84"/>
    <w:rsid w:val="00A9508B"/>
    <w:rsid w:val="00A9513E"/>
    <w:rsid w:val="00A95143"/>
    <w:rsid w:val="00A951D1"/>
    <w:rsid w:val="00A95341"/>
    <w:rsid w:val="00A9544F"/>
    <w:rsid w:val="00A95497"/>
    <w:rsid w:val="00A956F6"/>
    <w:rsid w:val="00A95719"/>
    <w:rsid w:val="00A9583B"/>
    <w:rsid w:val="00A959F9"/>
    <w:rsid w:val="00A95DF4"/>
    <w:rsid w:val="00A95E11"/>
    <w:rsid w:val="00A96035"/>
    <w:rsid w:val="00A9605B"/>
    <w:rsid w:val="00A961AD"/>
    <w:rsid w:val="00A96366"/>
    <w:rsid w:val="00A9646B"/>
    <w:rsid w:val="00A96604"/>
    <w:rsid w:val="00A966FB"/>
    <w:rsid w:val="00A968F3"/>
    <w:rsid w:val="00A96B03"/>
    <w:rsid w:val="00A96B5C"/>
    <w:rsid w:val="00A96BA8"/>
    <w:rsid w:val="00A96D03"/>
    <w:rsid w:val="00A96EA3"/>
    <w:rsid w:val="00A96F40"/>
    <w:rsid w:val="00A97011"/>
    <w:rsid w:val="00A97047"/>
    <w:rsid w:val="00A971DF"/>
    <w:rsid w:val="00A9725B"/>
    <w:rsid w:val="00A97377"/>
    <w:rsid w:val="00A97391"/>
    <w:rsid w:val="00A9751A"/>
    <w:rsid w:val="00A97767"/>
    <w:rsid w:val="00A977D9"/>
    <w:rsid w:val="00A9788E"/>
    <w:rsid w:val="00A978A8"/>
    <w:rsid w:val="00A97B0E"/>
    <w:rsid w:val="00A97B2C"/>
    <w:rsid w:val="00A97CB6"/>
    <w:rsid w:val="00A97D98"/>
    <w:rsid w:val="00A97DE6"/>
    <w:rsid w:val="00A97EF5"/>
    <w:rsid w:val="00A97FBD"/>
    <w:rsid w:val="00AA0075"/>
    <w:rsid w:val="00AA0083"/>
    <w:rsid w:val="00AA0108"/>
    <w:rsid w:val="00AA0129"/>
    <w:rsid w:val="00AA01DA"/>
    <w:rsid w:val="00AA0264"/>
    <w:rsid w:val="00AA0311"/>
    <w:rsid w:val="00AA05D2"/>
    <w:rsid w:val="00AA079E"/>
    <w:rsid w:val="00AA085C"/>
    <w:rsid w:val="00AA08C3"/>
    <w:rsid w:val="00AA09F2"/>
    <w:rsid w:val="00AA0A56"/>
    <w:rsid w:val="00AA0AA0"/>
    <w:rsid w:val="00AA0D2D"/>
    <w:rsid w:val="00AA0DC3"/>
    <w:rsid w:val="00AA0DE2"/>
    <w:rsid w:val="00AA1081"/>
    <w:rsid w:val="00AA1095"/>
    <w:rsid w:val="00AA111B"/>
    <w:rsid w:val="00AA1245"/>
    <w:rsid w:val="00AA12A7"/>
    <w:rsid w:val="00AA134A"/>
    <w:rsid w:val="00AA1470"/>
    <w:rsid w:val="00AA148B"/>
    <w:rsid w:val="00AA163E"/>
    <w:rsid w:val="00AA1649"/>
    <w:rsid w:val="00AA17C1"/>
    <w:rsid w:val="00AA1C93"/>
    <w:rsid w:val="00AA1FA0"/>
    <w:rsid w:val="00AA2010"/>
    <w:rsid w:val="00AA206A"/>
    <w:rsid w:val="00AA24CE"/>
    <w:rsid w:val="00AA25F1"/>
    <w:rsid w:val="00AA2648"/>
    <w:rsid w:val="00AA2661"/>
    <w:rsid w:val="00AA2682"/>
    <w:rsid w:val="00AA2693"/>
    <w:rsid w:val="00AA28A8"/>
    <w:rsid w:val="00AA291E"/>
    <w:rsid w:val="00AA2A33"/>
    <w:rsid w:val="00AA2A4B"/>
    <w:rsid w:val="00AA2B5F"/>
    <w:rsid w:val="00AA2BC0"/>
    <w:rsid w:val="00AA2CC1"/>
    <w:rsid w:val="00AA2D97"/>
    <w:rsid w:val="00AA2DC6"/>
    <w:rsid w:val="00AA2E00"/>
    <w:rsid w:val="00AA2FCC"/>
    <w:rsid w:val="00AA317F"/>
    <w:rsid w:val="00AA3507"/>
    <w:rsid w:val="00AA3515"/>
    <w:rsid w:val="00AA3648"/>
    <w:rsid w:val="00AA36C7"/>
    <w:rsid w:val="00AA3939"/>
    <w:rsid w:val="00AA39EA"/>
    <w:rsid w:val="00AA3B67"/>
    <w:rsid w:val="00AA3D5B"/>
    <w:rsid w:val="00AA3DA2"/>
    <w:rsid w:val="00AA3E60"/>
    <w:rsid w:val="00AA3F6C"/>
    <w:rsid w:val="00AA3FCA"/>
    <w:rsid w:val="00AA3FDE"/>
    <w:rsid w:val="00AA3FFC"/>
    <w:rsid w:val="00AA402E"/>
    <w:rsid w:val="00AA40AB"/>
    <w:rsid w:val="00AA40BD"/>
    <w:rsid w:val="00AA412C"/>
    <w:rsid w:val="00AA42D4"/>
    <w:rsid w:val="00AA43AF"/>
    <w:rsid w:val="00AA43EC"/>
    <w:rsid w:val="00AA46C3"/>
    <w:rsid w:val="00AA46EF"/>
    <w:rsid w:val="00AA481F"/>
    <w:rsid w:val="00AA48F4"/>
    <w:rsid w:val="00AA4980"/>
    <w:rsid w:val="00AA4B3D"/>
    <w:rsid w:val="00AA4BD6"/>
    <w:rsid w:val="00AA4BFC"/>
    <w:rsid w:val="00AA4D3E"/>
    <w:rsid w:val="00AA4EF7"/>
    <w:rsid w:val="00AA4F7D"/>
    <w:rsid w:val="00AA4FF4"/>
    <w:rsid w:val="00AA5055"/>
    <w:rsid w:val="00AA5089"/>
    <w:rsid w:val="00AA5299"/>
    <w:rsid w:val="00AA52AE"/>
    <w:rsid w:val="00AA546C"/>
    <w:rsid w:val="00AA55E8"/>
    <w:rsid w:val="00AA55FD"/>
    <w:rsid w:val="00AA5602"/>
    <w:rsid w:val="00AA5697"/>
    <w:rsid w:val="00AA56BF"/>
    <w:rsid w:val="00AA573F"/>
    <w:rsid w:val="00AA58D2"/>
    <w:rsid w:val="00AA595B"/>
    <w:rsid w:val="00AA5AB7"/>
    <w:rsid w:val="00AA5B24"/>
    <w:rsid w:val="00AA5C03"/>
    <w:rsid w:val="00AA5DA4"/>
    <w:rsid w:val="00AA5F80"/>
    <w:rsid w:val="00AA6062"/>
    <w:rsid w:val="00AA608E"/>
    <w:rsid w:val="00AA612F"/>
    <w:rsid w:val="00AA6359"/>
    <w:rsid w:val="00AA6A30"/>
    <w:rsid w:val="00AA6B57"/>
    <w:rsid w:val="00AA6B71"/>
    <w:rsid w:val="00AA6BE3"/>
    <w:rsid w:val="00AA6BEB"/>
    <w:rsid w:val="00AA6C03"/>
    <w:rsid w:val="00AA6C63"/>
    <w:rsid w:val="00AA6CC8"/>
    <w:rsid w:val="00AA6CD0"/>
    <w:rsid w:val="00AA6D5A"/>
    <w:rsid w:val="00AA6D86"/>
    <w:rsid w:val="00AA6DF6"/>
    <w:rsid w:val="00AA7054"/>
    <w:rsid w:val="00AA714B"/>
    <w:rsid w:val="00AA71A4"/>
    <w:rsid w:val="00AA73FF"/>
    <w:rsid w:val="00AA75DD"/>
    <w:rsid w:val="00AA7738"/>
    <w:rsid w:val="00AA7768"/>
    <w:rsid w:val="00AA7842"/>
    <w:rsid w:val="00AA78EE"/>
    <w:rsid w:val="00AA7B3D"/>
    <w:rsid w:val="00AA7C81"/>
    <w:rsid w:val="00AA7CDF"/>
    <w:rsid w:val="00AA7E52"/>
    <w:rsid w:val="00AA7E5A"/>
    <w:rsid w:val="00AA7E7A"/>
    <w:rsid w:val="00AA7EDE"/>
    <w:rsid w:val="00AA7EF2"/>
    <w:rsid w:val="00AA7F81"/>
    <w:rsid w:val="00AB0072"/>
    <w:rsid w:val="00AB0211"/>
    <w:rsid w:val="00AB0287"/>
    <w:rsid w:val="00AB029E"/>
    <w:rsid w:val="00AB0374"/>
    <w:rsid w:val="00AB0396"/>
    <w:rsid w:val="00AB06F8"/>
    <w:rsid w:val="00AB0704"/>
    <w:rsid w:val="00AB0889"/>
    <w:rsid w:val="00AB0897"/>
    <w:rsid w:val="00AB0955"/>
    <w:rsid w:val="00AB09A4"/>
    <w:rsid w:val="00AB09A8"/>
    <w:rsid w:val="00AB09B6"/>
    <w:rsid w:val="00AB0A01"/>
    <w:rsid w:val="00AB0A51"/>
    <w:rsid w:val="00AB0CEB"/>
    <w:rsid w:val="00AB0D53"/>
    <w:rsid w:val="00AB0EC9"/>
    <w:rsid w:val="00AB1153"/>
    <w:rsid w:val="00AB11E8"/>
    <w:rsid w:val="00AB1236"/>
    <w:rsid w:val="00AB12AC"/>
    <w:rsid w:val="00AB13F3"/>
    <w:rsid w:val="00AB1427"/>
    <w:rsid w:val="00AB1467"/>
    <w:rsid w:val="00AB149A"/>
    <w:rsid w:val="00AB14B8"/>
    <w:rsid w:val="00AB15DA"/>
    <w:rsid w:val="00AB165F"/>
    <w:rsid w:val="00AB16F5"/>
    <w:rsid w:val="00AB183B"/>
    <w:rsid w:val="00AB18CC"/>
    <w:rsid w:val="00AB1ABC"/>
    <w:rsid w:val="00AB1D04"/>
    <w:rsid w:val="00AB1D30"/>
    <w:rsid w:val="00AB1FB2"/>
    <w:rsid w:val="00AB1FEF"/>
    <w:rsid w:val="00AB20DB"/>
    <w:rsid w:val="00AB212A"/>
    <w:rsid w:val="00AB2185"/>
    <w:rsid w:val="00AB219D"/>
    <w:rsid w:val="00AB25C4"/>
    <w:rsid w:val="00AB2765"/>
    <w:rsid w:val="00AB2E45"/>
    <w:rsid w:val="00AB2FB9"/>
    <w:rsid w:val="00AB2FDA"/>
    <w:rsid w:val="00AB2FE9"/>
    <w:rsid w:val="00AB30FD"/>
    <w:rsid w:val="00AB325D"/>
    <w:rsid w:val="00AB3468"/>
    <w:rsid w:val="00AB34A9"/>
    <w:rsid w:val="00AB3577"/>
    <w:rsid w:val="00AB35D7"/>
    <w:rsid w:val="00AB3871"/>
    <w:rsid w:val="00AB38C1"/>
    <w:rsid w:val="00AB3A59"/>
    <w:rsid w:val="00AB3A77"/>
    <w:rsid w:val="00AB3C87"/>
    <w:rsid w:val="00AB3D03"/>
    <w:rsid w:val="00AB3D05"/>
    <w:rsid w:val="00AB3DE3"/>
    <w:rsid w:val="00AB3DE7"/>
    <w:rsid w:val="00AB3E03"/>
    <w:rsid w:val="00AB3EF1"/>
    <w:rsid w:val="00AB42A6"/>
    <w:rsid w:val="00AB43CC"/>
    <w:rsid w:val="00AB45FD"/>
    <w:rsid w:val="00AB4806"/>
    <w:rsid w:val="00AB4866"/>
    <w:rsid w:val="00AB48B3"/>
    <w:rsid w:val="00AB49BB"/>
    <w:rsid w:val="00AB4AA8"/>
    <w:rsid w:val="00AB4C0E"/>
    <w:rsid w:val="00AB4CCC"/>
    <w:rsid w:val="00AB5189"/>
    <w:rsid w:val="00AB5260"/>
    <w:rsid w:val="00AB5365"/>
    <w:rsid w:val="00AB538B"/>
    <w:rsid w:val="00AB542E"/>
    <w:rsid w:val="00AB547D"/>
    <w:rsid w:val="00AB5522"/>
    <w:rsid w:val="00AB560F"/>
    <w:rsid w:val="00AB5785"/>
    <w:rsid w:val="00AB5822"/>
    <w:rsid w:val="00AB58C6"/>
    <w:rsid w:val="00AB58DB"/>
    <w:rsid w:val="00AB59D2"/>
    <w:rsid w:val="00AB5ACB"/>
    <w:rsid w:val="00AB5B0C"/>
    <w:rsid w:val="00AB5B1A"/>
    <w:rsid w:val="00AB5C6D"/>
    <w:rsid w:val="00AB5DB9"/>
    <w:rsid w:val="00AB6002"/>
    <w:rsid w:val="00AB6009"/>
    <w:rsid w:val="00AB60EA"/>
    <w:rsid w:val="00AB611C"/>
    <w:rsid w:val="00AB62EA"/>
    <w:rsid w:val="00AB636F"/>
    <w:rsid w:val="00AB657E"/>
    <w:rsid w:val="00AB6676"/>
    <w:rsid w:val="00AB670F"/>
    <w:rsid w:val="00AB6BA3"/>
    <w:rsid w:val="00AB6BB1"/>
    <w:rsid w:val="00AB6F72"/>
    <w:rsid w:val="00AB751D"/>
    <w:rsid w:val="00AB7589"/>
    <w:rsid w:val="00AB78BB"/>
    <w:rsid w:val="00AB7991"/>
    <w:rsid w:val="00AB7DBE"/>
    <w:rsid w:val="00AB7DC0"/>
    <w:rsid w:val="00AB7DF1"/>
    <w:rsid w:val="00AB7E07"/>
    <w:rsid w:val="00AB7F5F"/>
    <w:rsid w:val="00AC0051"/>
    <w:rsid w:val="00AC00B3"/>
    <w:rsid w:val="00AC0130"/>
    <w:rsid w:val="00AC0266"/>
    <w:rsid w:val="00AC048F"/>
    <w:rsid w:val="00AC0518"/>
    <w:rsid w:val="00AC0662"/>
    <w:rsid w:val="00AC067B"/>
    <w:rsid w:val="00AC068A"/>
    <w:rsid w:val="00AC0719"/>
    <w:rsid w:val="00AC0820"/>
    <w:rsid w:val="00AC08C0"/>
    <w:rsid w:val="00AC0963"/>
    <w:rsid w:val="00AC09AF"/>
    <w:rsid w:val="00AC0A50"/>
    <w:rsid w:val="00AC0AFF"/>
    <w:rsid w:val="00AC0C11"/>
    <w:rsid w:val="00AC0C69"/>
    <w:rsid w:val="00AC0E6A"/>
    <w:rsid w:val="00AC0FC2"/>
    <w:rsid w:val="00AC0FF8"/>
    <w:rsid w:val="00AC102C"/>
    <w:rsid w:val="00AC105F"/>
    <w:rsid w:val="00AC106F"/>
    <w:rsid w:val="00AC10E2"/>
    <w:rsid w:val="00AC112A"/>
    <w:rsid w:val="00AC13B8"/>
    <w:rsid w:val="00AC14EF"/>
    <w:rsid w:val="00AC153C"/>
    <w:rsid w:val="00AC15CA"/>
    <w:rsid w:val="00AC1606"/>
    <w:rsid w:val="00AC1687"/>
    <w:rsid w:val="00AC1699"/>
    <w:rsid w:val="00AC16DD"/>
    <w:rsid w:val="00AC173D"/>
    <w:rsid w:val="00AC1A5A"/>
    <w:rsid w:val="00AC1B13"/>
    <w:rsid w:val="00AC1D9D"/>
    <w:rsid w:val="00AC1FC2"/>
    <w:rsid w:val="00AC207E"/>
    <w:rsid w:val="00AC2502"/>
    <w:rsid w:val="00AC27EE"/>
    <w:rsid w:val="00AC28B6"/>
    <w:rsid w:val="00AC2A1C"/>
    <w:rsid w:val="00AC2AA7"/>
    <w:rsid w:val="00AC2C61"/>
    <w:rsid w:val="00AC2D13"/>
    <w:rsid w:val="00AC2D58"/>
    <w:rsid w:val="00AC2E7D"/>
    <w:rsid w:val="00AC2F1C"/>
    <w:rsid w:val="00AC2FD8"/>
    <w:rsid w:val="00AC311F"/>
    <w:rsid w:val="00AC3149"/>
    <w:rsid w:val="00AC3275"/>
    <w:rsid w:val="00AC3482"/>
    <w:rsid w:val="00AC35EC"/>
    <w:rsid w:val="00AC3672"/>
    <w:rsid w:val="00AC3676"/>
    <w:rsid w:val="00AC36A3"/>
    <w:rsid w:val="00AC36D0"/>
    <w:rsid w:val="00AC3724"/>
    <w:rsid w:val="00AC381F"/>
    <w:rsid w:val="00AC3A92"/>
    <w:rsid w:val="00AC3AC9"/>
    <w:rsid w:val="00AC3B45"/>
    <w:rsid w:val="00AC3DF3"/>
    <w:rsid w:val="00AC3EB5"/>
    <w:rsid w:val="00AC3F56"/>
    <w:rsid w:val="00AC410A"/>
    <w:rsid w:val="00AC415C"/>
    <w:rsid w:val="00AC41E9"/>
    <w:rsid w:val="00AC4338"/>
    <w:rsid w:val="00AC436D"/>
    <w:rsid w:val="00AC4565"/>
    <w:rsid w:val="00AC46BB"/>
    <w:rsid w:val="00AC4710"/>
    <w:rsid w:val="00AC47B0"/>
    <w:rsid w:val="00AC4A35"/>
    <w:rsid w:val="00AC4AA5"/>
    <w:rsid w:val="00AC4C93"/>
    <w:rsid w:val="00AC4E17"/>
    <w:rsid w:val="00AC4F0E"/>
    <w:rsid w:val="00AC5301"/>
    <w:rsid w:val="00AC53A9"/>
    <w:rsid w:val="00AC549D"/>
    <w:rsid w:val="00AC5542"/>
    <w:rsid w:val="00AC5628"/>
    <w:rsid w:val="00AC57F2"/>
    <w:rsid w:val="00AC587E"/>
    <w:rsid w:val="00AC58CC"/>
    <w:rsid w:val="00AC58DA"/>
    <w:rsid w:val="00AC592B"/>
    <w:rsid w:val="00AC59CA"/>
    <w:rsid w:val="00AC5A7A"/>
    <w:rsid w:val="00AC5A9D"/>
    <w:rsid w:val="00AC5AB8"/>
    <w:rsid w:val="00AC5B29"/>
    <w:rsid w:val="00AC5B47"/>
    <w:rsid w:val="00AC5BE0"/>
    <w:rsid w:val="00AC5D2A"/>
    <w:rsid w:val="00AC5D78"/>
    <w:rsid w:val="00AC5FA0"/>
    <w:rsid w:val="00AC6075"/>
    <w:rsid w:val="00AC6136"/>
    <w:rsid w:val="00AC61B9"/>
    <w:rsid w:val="00AC6242"/>
    <w:rsid w:val="00AC62E0"/>
    <w:rsid w:val="00AC63C5"/>
    <w:rsid w:val="00AC63D7"/>
    <w:rsid w:val="00AC644B"/>
    <w:rsid w:val="00AC6599"/>
    <w:rsid w:val="00AC67A1"/>
    <w:rsid w:val="00AC67CB"/>
    <w:rsid w:val="00AC68F1"/>
    <w:rsid w:val="00AC6940"/>
    <w:rsid w:val="00AC69A4"/>
    <w:rsid w:val="00AC69E8"/>
    <w:rsid w:val="00AC6AF6"/>
    <w:rsid w:val="00AC6B18"/>
    <w:rsid w:val="00AC6CC0"/>
    <w:rsid w:val="00AC6D3B"/>
    <w:rsid w:val="00AC6EF5"/>
    <w:rsid w:val="00AC6F11"/>
    <w:rsid w:val="00AC6F3E"/>
    <w:rsid w:val="00AC6F93"/>
    <w:rsid w:val="00AC70BF"/>
    <w:rsid w:val="00AC70D5"/>
    <w:rsid w:val="00AC71F6"/>
    <w:rsid w:val="00AC7279"/>
    <w:rsid w:val="00AC72D6"/>
    <w:rsid w:val="00AC73F3"/>
    <w:rsid w:val="00AC7457"/>
    <w:rsid w:val="00AC777E"/>
    <w:rsid w:val="00AC793E"/>
    <w:rsid w:val="00AC7999"/>
    <w:rsid w:val="00AC79AE"/>
    <w:rsid w:val="00AC7A81"/>
    <w:rsid w:val="00AC7AE2"/>
    <w:rsid w:val="00AC7AE6"/>
    <w:rsid w:val="00AC7B42"/>
    <w:rsid w:val="00AC7C27"/>
    <w:rsid w:val="00AC7E56"/>
    <w:rsid w:val="00AC7ED8"/>
    <w:rsid w:val="00AD000E"/>
    <w:rsid w:val="00AD006C"/>
    <w:rsid w:val="00AD00DB"/>
    <w:rsid w:val="00AD012B"/>
    <w:rsid w:val="00AD0196"/>
    <w:rsid w:val="00AD0244"/>
    <w:rsid w:val="00AD0334"/>
    <w:rsid w:val="00AD0416"/>
    <w:rsid w:val="00AD056D"/>
    <w:rsid w:val="00AD074D"/>
    <w:rsid w:val="00AD0C95"/>
    <w:rsid w:val="00AD0E96"/>
    <w:rsid w:val="00AD1026"/>
    <w:rsid w:val="00AD11A1"/>
    <w:rsid w:val="00AD1234"/>
    <w:rsid w:val="00AD1252"/>
    <w:rsid w:val="00AD12ED"/>
    <w:rsid w:val="00AD146B"/>
    <w:rsid w:val="00AD14B9"/>
    <w:rsid w:val="00AD161D"/>
    <w:rsid w:val="00AD16A9"/>
    <w:rsid w:val="00AD16EB"/>
    <w:rsid w:val="00AD173F"/>
    <w:rsid w:val="00AD1756"/>
    <w:rsid w:val="00AD1BC2"/>
    <w:rsid w:val="00AD1CAD"/>
    <w:rsid w:val="00AD204F"/>
    <w:rsid w:val="00AD2059"/>
    <w:rsid w:val="00AD2160"/>
    <w:rsid w:val="00AD2286"/>
    <w:rsid w:val="00AD25A4"/>
    <w:rsid w:val="00AD2645"/>
    <w:rsid w:val="00AD2694"/>
    <w:rsid w:val="00AD26AC"/>
    <w:rsid w:val="00AD2768"/>
    <w:rsid w:val="00AD27DF"/>
    <w:rsid w:val="00AD2955"/>
    <w:rsid w:val="00AD2B57"/>
    <w:rsid w:val="00AD2BDC"/>
    <w:rsid w:val="00AD2C05"/>
    <w:rsid w:val="00AD2C43"/>
    <w:rsid w:val="00AD2D93"/>
    <w:rsid w:val="00AD2DB0"/>
    <w:rsid w:val="00AD2E3F"/>
    <w:rsid w:val="00AD30CE"/>
    <w:rsid w:val="00AD3105"/>
    <w:rsid w:val="00AD348E"/>
    <w:rsid w:val="00AD3639"/>
    <w:rsid w:val="00AD3676"/>
    <w:rsid w:val="00AD3702"/>
    <w:rsid w:val="00AD3859"/>
    <w:rsid w:val="00AD38B9"/>
    <w:rsid w:val="00AD394A"/>
    <w:rsid w:val="00AD39E6"/>
    <w:rsid w:val="00AD3ABA"/>
    <w:rsid w:val="00AD3B8E"/>
    <w:rsid w:val="00AD3CA8"/>
    <w:rsid w:val="00AD3CCC"/>
    <w:rsid w:val="00AD3CDB"/>
    <w:rsid w:val="00AD3DC8"/>
    <w:rsid w:val="00AD3EC9"/>
    <w:rsid w:val="00AD402A"/>
    <w:rsid w:val="00AD41E5"/>
    <w:rsid w:val="00AD422D"/>
    <w:rsid w:val="00AD4442"/>
    <w:rsid w:val="00AD44DA"/>
    <w:rsid w:val="00AD44DD"/>
    <w:rsid w:val="00AD4584"/>
    <w:rsid w:val="00AD45B8"/>
    <w:rsid w:val="00AD485A"/>
    <w:rsid w:val="00AD48C2"/>
    <w:rsid w:val="00AD4A21"/>
    <w:rsid w:val="00AD4AB0"/>
    <w:rsid w:val="00AD4AB3"/>
    <w:rsid w:val="00AD4AF3"/>
    <w:rsid w:val="00AD4C3A"/>
    <w:rsid w:val="00AD4CC3"/>
    <w:rsid w:val="00AD4E73"/>
    <w:rsid w:val="00AD4EAC"/>
    <w:rsid w:val="00AD4EF3"/>
    <w:rsid w:val="00AD4F0D"/>
    <w:rsid w:val="00AD4F21"/>
    <w:rsid w:val="00AD503D"/>
    <w:rsid w:val="00AD532F"/>
    <w:rsid w:val="00AD56E3"/>
    <w:rsid w:val="00AD576A"/>
    <w:rsid w:val="00AD5800"/>
    <w:rsid w:val="00AD5BDE"/>
    <w:rsid w:val="00AD5D0B"/>
    <w:rsid w:val="00AD5D1F"/>
    <w:rsid w:val="00AD5D70"/>
    <w:rsid w:val="00AD5EE7"/>
    <w:rsid w:val="00AD61F3"/>
    <w:rsid w:val="00AD63A4"/>
    <w:rsid w:val="00AD6441"/>
    <w:rsid w:val="00AD6612"/>
    <w:rsid w:val="00AD672A"/>
    <w:rsid w:val="00AD67B6"/>
    <w:rsid w:val="00AD6A14"/>
    <w:rsid w:val="00AD6A1C"/>
    <w:rsid w:val="00AD6ACD"/>
    <w:rsid w:val="00AD6B3B"/>
    <w:rsid w:val="00AD6BEB"/>
    <w:rsid w:val="00AD708C"/>
    <w:rsid w:val="00AD70E9"/>
    <w:rsid w:val="00AD7190"/>
    <w:rsid w:val="00AD726A"/>
    <w:rsid w:val="00AD72B8"/>
    <w:rsid w:val="00AD73D8"/>
    <w:rsid w:val="00AD740F"/>
    <w:rsid w:val="00AD7518"/>
    <w:rsid w:val="00AD76B6"/>
    <w:rsid w:val="00AD7874"/>
    <w:rsid w:val="00AD798E"/>
    <w:rsid w:val="00AD7B7A"/>
    <w:rsid w:val="00AD7C21"/>
    <w:rsid w:val="00AD7C5A"/>
    <w:rsid w:val="00AD7C9D"/>
    <w:rsid w:val="00AD7D19"/>
    <w:rsid w:val="00AD7E6E"/>
    <w:rsid w:val="00AE0049"/>
    <w:rsid w:val="00AE016E"/>
    <w:rsid w:val="00AE0203"/>
    <w:rsid w:val="00AE03EF"/>
    <w:rsid w:val="00AE0433"/>
    <w:rsid w:val="00AE043E"/>
    <w:rsid w:val="00AE04DB"/>
    <w:rsid w:val="00AE06AF"/>
    <w:rsid w:val="00AE09EF"/>
    <w:rsid w:val="00AE0A13"/>
    <w:rsid w:val="00AE0CBB"/>
    <w:rsid w:val="00AE0D24"/>
    <w:rsid w:val="00AE0E35"/>
    <w:rsid w:val="00AE1018"/>
    <w:rsid w:val="00AE126E"/>
    <w:rsid w:val="00AE12AE"/>
    <w:rsid w:val="00AE13D5"/>
    <w:rsid w:val="00AE1565"/>
    <w:rsid w:val="00AE1577"/>
    <w:rsid w:val="00AE1609"/>
    <w:rsid w:val="00AE1832"/>
    <w:rsid w:val="00AE18F1"/>
    <w:rsid w:val="00AE1A2F"/>
    <w:rsid w:val="00AE1AFC"/>
    <w:rsid w:val="00AE1B79"/>
    <w:rsid w:val="00AE1BEE"/>
    <w:rsid w:val="00AE1D3C"/>
    <w:rsid w:val="00AE1E2A"/>
    <w:rsid w:val="00AE2047"/>
    <w:rsid w:val="00AE20BC"/>
    <w:rsid w:val="00AE22AB"/>
    <w:rsid w:val="00AE230B"/>
    <w:rsid w:val="00AE2564"/>
    <w:rsid w:val="00AE2570"/>
    <w:rsid w:val="00AE261B"/>
    <w:rsid w:val="00AE26EF"/>
    <w:rsid w:val="00AE2714"/>
    <w:rsid w:val="00AE27A6"/>
    <w:rsid w:val="00AE2895"/>
    <w:rsid w:val="00AE2907"/>
    <w:rsid w:val="00AE293A"/>
    <w:rsid w:val="00AE2B86"/>
    <w:rsid w:val="00AE2C98"/>
    <w:rsid w:val="00AE2D29"/>
    <w:rsid w:val="00AE2DD1"/>
    <w:rsid w:val="00AE2E10"/>
    <w:rsid w:val="00AE2E34"/>
    <w:rsid w:val="00AE2E78"/>
    <w:rsid w:val="00AE2EA0"/>
    <w:rsid w:val="00AE2ED6"/>
    <w:rsid w:val="00AE2FF1"/>
    <w:rsid w:val="00AE3011"/>
    <w:rsid w:val="00AE304B"/>
    <w:rsid w:val="00AE31AF"/>
    <w:rsid w:val="00AE326F"/>
    <w:rsid w:val="00AE3632"/>
    <w:rsid w:val="00AE3893"/>
    <w:rsid w:val="00AE3A2B"/>
    <w:rsid w:val="00AE3A8D"/>
    <w:rsid w:val="00AE3CDB"/>
    <w:rsid w:val="00AE3E75"/>
    <w:rsid w:val="00AE3FEE"/>
    <w:rsid w:val="00AE41A4"/>
    <w:rsid w:val="00AE4310"/>
    <w:rsid w:val="00AE4398"/>
    <w:rsid w:val="00AE45B9"/>
    <w:rsid w:val="00AE4783"/>
    <w:rsid w:val="00AE480B"/>
    <w:rsid w:val="00AE4872"/>
    <w:rsid w:val="00AE4A1B"/>
    <w:rsid w:val="00AE4A54"/>
    <w:rsid w:val="00AE4A6C"/>
    <w:rsid w:val="00AE4B6A"/>
    <w:rsid w:val="00AE4C27"/>
    <w:rsid w:val="00AE4D11"/>
    <w:rsid w:val="00AE4E14"/>
    <w:rsid w:val="00AE4E4D"/>
    <w:rsid w:val="00AE4EE7"/>
    <w:rsid w:val="00AE4F32"/>
    <w:rsid w:val="00AE5073"/>
    <w:rsid w:val="00AE5306"/>
    <w:rsid w:val="00AE5365"/>
    <w:rsid w:val="00AE5419"/>
    <w:rsid w:val="00AE58B6"/>
    <w:rsid w:val="00AE5C47"/>
    <w:rsid w:val="00AE5CB6"/>
    <w:rsid w:val="00AE5CCF"/>
    <w:rsid w:val="00AE5D8B"/>
    <w:rsid w:val="00AE5DD1"/>
    <w:rsid w:val="00AE5F2B"/>
    <w:rsid w:val="00AE5F47"/>
    <w:rsid w:val="00AE6042"/>
    <w:rsid w:val="00AE62D9"/>
    <w:rsid w:val="00AE643C"/>
    <w:rsid w:val="00AE644C"/>
    <w:rsid w:val="00AE6468"/>
    <w:rsid w:val="00AE6707"/>
    <w:rsid w:val="00AE67F5"/>
    <w:rsid w:val="00AE696C"/>
    <w:rsid w:val="00AE6B4E"/>
    <w:rsid w:val="00AE6D5A"/>
    <w:rsid w:val="00AE6DE5"/>
    <w:rsid w:val="00AE6E8A"/>
    <w:rsid w:val="00AE7082"/>
    <w:rsid w:val="00AE7261"/>
    <w:rsid w:val="00AE7395"/>
    <w:rsid w:val="00AE74F9"/>
    <w:rsid w:val="00AE75B1"/>
    <w:rsid w:val="00AE75E1"/>
    <w:rsid w:val="00AE7630"/>
    <w:rsid w:val="00AE768D"/>
    <w:rsid w:val="00AE7721"/>
    <w:rsid w:val="00AE77DF"/>
    <w:rsid w:val="00AE7878"/>
    <w:rsid w:val="00AE7A2C"/>
    <w:rsid w:val="00AE7B76"/>
    <w:rsid w:val="00AE7C28"/>
    <w:rsid w:val="00AE7FA0"/>
    <w:rsid w:val="00AE7FAD"/>
    <w:rsid w:val="00AF0623"/>
    <w:rsid w:val="00AF08D3"/>
    <w:rsid w:val="00AF09A4"/>
    <w:rsid w:val="00AF0A24"/>
    <w:rsid w:val="00AF0A60"/>
    <w:rsid w:val="00AF0AEE"/>
    <w:rsid w:val="00AF0CBB"/>
    <w:rsid w:val="00AF0E75"/>
    <w:rsid w:val="00AF0E98"/>
    <w:rsid w:val="00AF0FC6"/>
    <w:rsid w:val="00AF1229"/>
    <w:rsid w:val="00AF12A6"/>
    <w:rsid w:val="00AF12FC"/>
    <w:rsid w:val="00AF130C"/>
    <w:rsid w:val="00AF1356"/>
    <w:rsid w:val="00AF1566"/>
    <w:rsid w:val="00AF15BD"/>
    <w:rsid w:val="00AF1639"/>
    <w:rsid w:val="00AF1754"/>
    <w:rsid w:val="00AF1C49"/>
    <w:rsid w:val="00AF1D38"/>
    <w:rsid w:val="00AF1E42"/>
    <w:rsid w:val="00AF1E4F"/>
    <w:rsid w:val="00AF1E64"/>
    <w:rsid w:val="00AF1FBB"/>
    <w:rsid w:val="00AF2026"/>
    <w:rsid w:val="00AF2040"/>
    <w:rsid w:val="00AF209C"/>
    <w:rsid w:val="00AF20AB"/>
    <w:rsid w:val="00AF2241"/>
    <w:rsid w:val="00AF228E"/>
    <w:rsid w:val="00AF260F"/>
    <w:rsid w:val="00AF264C"/>
    <w:rsid w:val="00AF26BE"/>
    <w:rsid w:val="00AF2712"/>
    <w:rsid w:val="00AF271F"/>
    <w:rsid w:val="00AF276E"/>
    <w:rsid w:val="00AF279D"/>
    <w:rsid w:val="00AF2AE5"/>
    <w:rsid w:val="00AF2D1D"/>
    <w:rsid w:val="00AF3146"/>
    <w:rsid w:val="00AF318E"/>
    <w:rsid w:val="00AF351F"/>
    <w:rsid w:val="00AF359E"/>
    <w:rsid w:val="00AF3654"/>
    <w:rsid w:val="00AF36C8"/>
    <w:rsid w:val="00AF37EE"/>
    <w:rsid w:val="00AF38D9"/>
    <w:rsid w:val="00AF3A8D"/>
    <w:rsid w:val="00AF3AD4"/>
    <w:rsid w:val="00AF3D8E"/>
    <w:rsid w:val="00AF4140"/>
    <w:rsid w:val="00AF4210"/>
    <w:rsid w:val="00AF42D7"/>
    <w:rsid w:val="00AF454E"/>
    <w:rsid w:val="00AF456A"/>
    <w:rsid w:val="00AF45BA"/>
    <w:rsid w:val="00AF45F4"/>
    <w:rsid w:val="00AF4875"/>
    <w:rsid w:val="00AF4DB5"/>
    <w:rsid w:val="00AF4FAE"/>
    <w:rsid w:val="00AF5018"/>
    <w:rsid w:val="00AF5025"/>
    <w:rsid w:val="00AF515E"/>
    <w:rsid w:val="00AF5168"/>
    <w:rsid w:val="00AF53FF"/>
    <w:rsid w:val="00AF548C"/>
    <w:rsid w:val="00AF54B1"/>
    <w:rsid w:val="00AF54E7"/>
    <w:rsid w:val="00AF5508"/>
    <w:rsid w:val="00AF553D"/>
    <w:rsid w:val="00AF57BE"/>
    <w:rsid w:val="00AF58F1"/>
    <w:rsid w:val="00AF5A5B"/>
    <w:rsid w:val="00AF5BC4"/>
    <w:rsid w:val="00AF603E"/>
    <w:rsid w:val="00AF6197"/>
    <w:rsid w:val="00AF61F0"/>
    <w:rsid w:val="00AF64E2"/>
    <w:rsid w:val="00AF6513"/>
    <w:rsid w:val="00AF6561"/>
    <w:rsid w:val="00AF658E"/>
    <w:rsid w:val="00AF6789"/>
    <w:rsid w:val="00AF684D"/>
    <w:rsid w:val="00AF6AFF"/>
    <w:rsid w:val="00AF6C57"/>
    <w:rsid w:val="00AF6D05"/>
    <w:rsid w:val="00AF6F0E"/>
    <w:rsid w:val="00AF6F62"/>
    <w:rsid w:val="00AF7557"/>
    <w:rsid w:val="00AF75A5"/>
    <w:rsid w:val="00AF77FB"/>
    <w:rsid w:val="00AF78B9"/>
    <w:rsid w:val="00AF78C9"/>
    <w:rsid w:val="00AF798B"/>
    <w:rsid w:val="00AF7A38"/>
    <w:rsid w:val="00AF7F90"/>
    <w:rsid w:val="00AF7FF2"/>
    <w:rsid w:val="00B00023"/>
    <w:rsid w:val="00B001C9"/>
    <w:rsid w:val="00B004B4"/>
    <w:rsid w:val="00B006D0"/>
    <w:rsid w:val="00B00871"/>
    <w:rsid w:val="00B009FB"/>
    <w:rsid w:val="00B00A35"/>
    <w:rsid w:val="00B00B5C"/>
    <w:rsid w:val="00B00C82"/>
    <w:rsid w:val="00B00E81"/>
    <w:rsid w:val="00B00E96"/>
    <w:rsid w:val="00B00FE5"/>
    <w:rsid w:val="00B00FF9"/>
    <w:rsid w:val="00B01081"/>
    <w:rsid w:val="00B012C8"/>
    <w:rsid w:val="00B012D6"/>
    <w:rsid w:val="00B0150F"/>
    <w:rsid w:val="00B0155E"/>
    <w:rsid w:val="00B01A5A"/>
    <w:rsid w:val="00B01B24"/>
    <w:rsid w:val="00B01C30"/>
    <w:rsid w:val="00B01CF3"/>
    <w:rsid w:val="00B01D69"/>
    <w:rsid w:val="00B01FE7"/>
    <w:rsid w:val="00B01FEC"/>
    <w:rsid w:val="00B0201E"/>
    <w:rsid w:val="00B02093"/>
    <w:rsid w:val="00B0225D"/>
    <w:rsid w:val="00B02406"/>
    <w:rsid w:val="00B024B8"/>
    <w:rsid w:val="00B025A1"/>
    <w:rsid w:val="00B02687"/>
    <w:rsid w:val="00B0269A"/>
    <w:rsid w:val="00B026DA"/>
    <w:rsid w:val="00B02954"/>
    <w:rsid w:val="00B02A23"/>
    <w:rsid w:val="00B02A51"/>
    <w:rsid w:val="00B02A86"/>
    <w:rsid w:val="00B02BDE"/>
    <w:rsid w:val="00B02D22"/>
    <w:rsid w:val="00B02DEA"/>
    <w:rsid w:val="00B02EC2"/>
    <w:rsid w:val="00B0307F"/>
    <w:rsid w:val="00B031AA"/>
    <w:rsid w:val="00B03515"/>
    <w:rsid w:val="00B0362D"/>
    <w:rsid w:val="00B037E6"/>
    <w:rsid w:val="00B039A9"/>
    <w:rsid w:val="00B03A4C"/>
    <w:rsid w:val="00B03AA3"/>
    <w:rsid w:val="00B03AC0"/>
    <w:rsid w:val="00B03B03"/>
    <w:rsid w:val="00B03B7E"/>
    <w:rsid w:val="00B03C2F"/>
    <w:rsid w:val="00B03C7C"/>
    <w:rsid w:val="00B03CE0"/>
    <w:rsid w:val="00B03E27"/>
    <w:rsid w:val="00B040D0"/>
    <w:rsid w:val="00B041EF"/>
    <w:rsid w:val="00B04479"/>
    <w:rsid w:val="00B04507"/>
    <w:rsid w:val="00B04920"/>
    <w:rsid w:val="00B04A0C"/>
    <w:rsid w:val="00B04AE8"/>
    <w:rsid w:val="00B04E60"/>
    <w:rsid w:val="00B04F06"/>
    <w:rsid w:val="00B0514F"/>
    <w:rsid w:val="00B05260"/>
    <w:rsid w:val="00B057FD"/>
    <w:rsid w:val="00B059F5"/>
    <w:rsid w:val="00B05BE8"/>
    <w:rsid w:val="00B05C5B"/>
    <w:rsid w:val="00B05E1B"/>
    <w:rsid w:val="00B05E41"/>
    <w:rsid w:val="00B05E69"/>
    <w:rsid w:val="00B05F45"/>
    <w:rsid w:val="00B05FC7"/>
    <w:rsid w:val="00B06336"/>
    <w:rsid w:val="00B06355"/>
    <w:rsid w:val="00B064F2"/>
    <w:rsid w:val="00B06592"/>
    <w:rsid w:val="00B0668E"/>
    <w:rsid w:val="00B066B4"/>
    <w:rsid w:val="00B0677D"/>
    <w:rsid w:val="00B0680E"/>
    <w:rsid w:val="00B069F7"/>
    <w:rsid w:val="00B06E43"/>
    <w:rsid w:val="00B06E89"/>
    <w:rsid w:val="00B0705D"/>
    <w:rsid w:val="00B070D8"/>
    <w:rsid w:val="00B074E0"/>
    <w:rsid w:val="00B07530"/>
    <w:rsid w:val="00B07740"/>
    <w:rsid w:val="00B07938"/>
    <w:rsid w:val="00B07C75"/>
    <w:rsid w:val="00B07E02"/>
    <w:rsid w:val="00B07E32"/>
    <w:rsid w:val="00B10074"/>
    <w:rsid w:val="00B1041A"/>
    <w:rsid w:val="00B10430"/>
    <w:rsid w:val="00B1043A"/>
    <w:rsid w:val="00B1052D"/>
    <w:rsid w:val="00B1055C"/>
    <w:rsid w:val="00B106D8"/>
    <w:rsid w:val="00B10A33"/>
    <w:rsid w:val="00B10AAF"/>
    <w:rsid w:val="00B10DD2"/>
    <w:rsid w:val="00B11118"/>
    <w:rsid w:val="00B1113A"/>
    <w:rsid w:val="00B111F4"/>
    <w:rsid w:val="00B112C9"/>
    <w:rsid w:val="00B11376"/>
    <w:rsid w:val="00B113B9"/>
    <w:rsid w:val="00B1142B"/>
    <w:rsid w:val="00B11727"/>
    <w:rsid w:val="00B11BEF"/>
    <w:rsid w:val="00B11D56"/>
    <w:rsid w:val="00B11E01"/>
    <w:rsid w:val="00B11F49"/>
    <w:rsid w:val="00B11FED"/>
    <w:rsid w:val="00B12023"/>
    <w:rsid w:val="00B121A3"/>
    <w:rsid w:val="00B123E8"/>
    <w:rsid w:val="00B12475"/>
    <w:rsid w:val="00B1249B"/>
    <w:rsid w:val="00B12561"/>
    <w:rsid w:val="00B12612"/>
    <w:rsid w:val="00B1284F"/>
    <w:rsid w:val="00B128BA"/>
    <w:rsid w:val="00B129CA"/>
    <w:rsid w:val="00B129F2"/>
    <w:rsid w:val="00B12A8A"/>
    <w:rsid w:val="00B12C6F"/>
    <w:rsid w:val="00B12D9F"/>
    <w:rsid w:val="00B12E3A"/>
    <w:rsid w:val="00B12E73"/>
    <w:rsid w:val="00B12E82"/>
    <w:rsid w:val="00B1300D"/>
    <w:rsid w:val="00B131B7"/>
    <w:rsid w:val="00B133C5"/>
    <w:rsid w:val="00B13415"/>
    <w:rsid w:val="00B136B5"/>
    <w:rsid w:val="00B13859"/>
    <w:rsid w:val="00B13D6A"/>
    <w:rsid w:val="00B14119"/>
    <w:rsid w:val="00B14342"/>
    <w:rsid w:val="00B143A7"/>
    <w:rsid w:val="00B14656"/>
    <w:rsid w:val="00B1469B"/>
    <w:rsid w:val="00B147F2"/>
    <w:rsid w:val="00B14927"/>
    <w:rsid w:val="00B14AC9"/>
    <w:rsid w:val="00B14AE4"/>
    <w:rsid w:val="00B14E4E"/>
    <w:rsid w:val="00B14F5C"/>
    <w:rsid w:val="00B14F8F"/>
    <w:rsid w:val="00B14F9B"/>
    <w:rsid w:val="00B14FC5"/>
    <w:rsid w:val="00B15074"/>
    <w:rsid w:val="00B1514B"/>
    <w:rsid w:val="00B1519F"/>
    <w:rsid w:val="00B15222"/>
    <w:rsid w:val="00B15364"/>
    <w:rsid w:val="00B15366"/>
    <w:rsid w:val="00B15447"/>
    <w:rsid w:val="00B154F7"/>
    <w:rsid w:val="00B155D4"/>
    <w:rsid w:val="00B155F7"/>
    <w:rsid w:val="00B156D2"/>
    <w:rsid w:val="00B158F3"/>
    <w:rsid w:val="00B159C2"/>
    <w:rsid w:val="00B15DAC"/>
    <w:rsid w:val="00B15EA8"/>
    <w:rsid w:val="00B1614A"/>
    <w:rsid w:val="00B161CE"/>
    <w:rsid w:val="00B1633D"/>
    <w:rsid w:val="00B16411"/>
    <w:rsid w:val="00B1652C"/>
    <w:rsid w:val="00B16844"/>
    <w:rsid w:val="00B16986"/>
    <w:rsid w:val="00B16A9E"/>
    <w:rsid w:val="00B16B9C"/>
    <w:rsid w:val="00B16C5E"/>
    <w:rsid w:val="00B16E87"/>
    <w:rsid w:val="00B16EA1"/>
    <w:rsid w:val="00B16F60"/>
    <w:rsid w:val="00B16FD1"/>
    <w:rsid w:val="00B17190"/>
    <w:rsid w:val="00B172E3"/>
    <w:rsid w:val="00B17369"/>
    <w:rsid w:val="00B17372"/>
    <w:rsid w:val="00B1748C"/>
    <w:rsid w:val="00B174EE"/>
    <w:rsid w:val="00B177D3"/>
    <w:rsid w:val="00B17AA9"/>
    <w:rsid w:val="00B17EC1"/>
    <w:rsid w:val="00B17F4C"/>
    <w:rsid w:val="00B17F6A"/>
    <w:rsid w:val="00B17F9B"/>
    <w:rsid w:val="00B17F9D"/>
    <w:rsid w:val="00B17FD5"/>
    <w:rsid w:val="00B200D2"/>
    <w:rsid w:val="00B202F1"/>
    <w:rsid w:val="00B2062C"/>
    <w:rsid w:val="00B20687"/>
    <w:rsid w:val="00B20826"/>
    <w:rsid w:val="00B208E4"/>
    <w:rsid w:val="00B209B2"/>
    <w:rsid w:val="00B209F4"/>
    <w:rsid w:val="00B20A46"/>
    <w:rsid w:val="00B20BA6"/>
    <w:rsid w:val="00B20CAB"/>
    <w:rsid w:val="00B20CF1"/>
    <w:rsid w:val="00B20F21"/>
    <w:rsid w:val="00B20F45"/>
    <w:rsid w:val="00B211B1"/>
    <w:rsid w:val="00B211CB"/>
    <w:rsid w:val="00B21239"/>
    <w:rsid w:val="00B2123A"/>
    <w:rsid w:val="00B21480"/>
    <w:rsid w:val="00B21482"/>
    <w:rsid w:val="00B21609"/>
    <w:rsid w:val="00B2163D"/>
    <w:rsid w:val="00B2181D"/>
    <w:rsid w:val="00B21860"/>
    <w:rsid w:val="00B21990"/>
    <w:rsid w:val="00B219E0"/>
    <w:rsid w:val="00B21A16"/>
    <w:rsid w:val="00B21C1C"/>
    <w:rsid w:val="00B21C2D"/>
    <w:rsid w:val="00B22048"/>
    <w:rsid w:val="00B2213F"/>
    <w:rsid w:val="00B22190"/>
    <w:rsid w:val="00B222F1"/>
    <w:rsid w:val="00B2246F"/>
    <w:rsid w:val="00B22598"/>
    <w:rsid w:val="00B2274E"/>
    <w:rsid w:val="00B22854"/>
    <w:rsid w:val="00B2286E"/>
    <w:rsid w:val="00B228DD"/>
    <w:rsid w:val="00B22A21"/>
    <w:rsid w:val="00B22A4A"/>
    <w:rsid w:val="00B22BBD"/>
    <w:rsid w:val="00B22C9B"/>
    <w:rsid w:val="00B22E31"/>
    <w:rsid w:val="00B22F3B"/>
    <w:rsid w:val="00B22F42"/>
    <w:rsid w:val="00B22FFD"/>
    <w:rsid w:val="00B23203"/>
    <w:rsid w:val="00B232FD"/>
    <w:rsid w:val="00B23500"/>
    <w:rsid w:val="00B23577"/>
    <w:rsid w:val="00B2368B"/>
    <w:rsid w:val="00B2379E"/>
    <w:rsid w:val="00B237A3"/>
    <w:rsid w:val="00B23AB3"/>
    <w:rsid w:val="00B23BC6"/>
    <w:rsid w:val="00B23C2E"/>
    <w:rsid w:val="00B23C92"/>
    <w:rsid w:val="00B23C9A"/>
    <w:rsid w:val="00B23CD9"/>
    <w:rsid w:val="00B23FAC"/>
    <w:rsid w:val="00B23FBB"/>
    <w:rsid w:val="00B2401F"/>
    <w:rsid w:val="00B241F0"/>
    <w:rsid w:val="00B2427D"/>
    <w:rsid w:val="00B24599"/>
    <w:rsid w:val="00B245B3"/>
    <w:rsid w:val="00B2461B"/>
    <w:rsid w:val="00B24822"/>
    <w:rsid w:val="00B24AEF"/>
    <w:rsid w:val="00B24D5C"/>
    <w:rsid w:val="00B24E39"/>
    <w:rsid w:val="00B24EBE"/>
    <w:rsid w:val="00B24ECC"/>
    <w:rsid w:val="00B25072"/>
    <w:rsid w:val="00B25078"/>
    <w:rsid w:val="00B252E5"/>
    <w:rsid w:val="00B2540E"/>
    <w:rsid w:val="00B25686"/>
    <w:rsid w:val="00B2570C"/>
    <w:rsid w:val="00B25795"/>
    <w:rsid w:val="00B25840"/>
    <w:rsid w:val="00B25846"/>
    <w:rsid w:val="00B25AE2"/>
    <w:rsid w:val="00B25C76"/>
    <w:rsid w:val="00B25D17"/>
    <w:rsid w:val="00B25DEF"/>
    <w:rsid w:val="00B25E24"/>
    <w:rsid w:val="00B25E69"/>
    <w:rsid w:val="00B25F88"/>
    <w:rsid w:val="00B25FC1"/>
    <w:rsid w:val="00B26012"/>
    <w:rsid w:val="00B26145"/>
    <w:rsid w:val="00B26187"/>
    <w:rsid w:val="00B262C5"/>
    <w:rsid w:val="00B26407"/>
    <w:rsid w:val="00B2645C"/>
    <w:rsid w:val="00B2660A"/>
    <w:rsid w:val="00B2665D"/>
    <w:rsid w:val="00B26727"/>
    <w:rsid w:val="00B26743"/>
    <w:rsid w:val="00B2677C"/>
    <w:rsid w:val="00B2680F"/>
    <w:rsid w:val="00B2685C"/>
    <w:rsid w:val="00B26A13"/>
    <w:rsid w:val="00B26B7F"/>
    <w:rsid w:val="00B26C2C"/>
    <w:rsid w:val="00B26C90"/>
    <w:rsid w:val="00B26DCA"/>
    <w:rsid w:val="00B26DF3"/>
    <w:rsid w:val="00B26E26"/>
    <w:rsid w:val="00B26EBE"/>
    <w:rsid w:val="00B26EFE"/>
    <w:rsid w:val="00B26F60"/>
    <w:rsid w:val="00B26F94"/>
    <w:rsid w:val="00B26FE9"/>
    <w:rsid w:val="00B27329"/>
    <w:rsid w:val="00B273F4"/>
    <w:rsid w:val="00B2758D"/>
    <w:rsid w:val="00B27768"/>
    <w:rsid w:val="00B2783D"/>
    <w:rsid w:val="00B27ADA"/>
    <w:rsid w:val="00B27B02"/>
    <w:rsid w:val="00B27CFD"/>
    <w:rsid w:val="00B27DBF"/>
    <w:rsid w:val="00B27E9A"/>
    <w:rsid w:val="00B27F9F"/>
    <w:rsid w:val="00B30046"/>
    <w:rsid w:val="00B30130"/>
    <w:rsid w:val="00B30304"/>
    <w:rsid w:val="00B30371"/>
    <w:rsid w:val="00B30380"/>
    <w:rsid w:val="00B30442"/>
    <w:rsid w:val="00B30486"/>
    <w:rsid w:val="00B3056C"/>
    <w:rsid w:val="00B3074B"/>
    <w:rsid w:val="00B307EB"/>
    <w:rsid w:val="00B3095B"/>
    <w:rsid w:val="00B30966"/>
    <w:rsid w:val="00B309A5"/>
    <w:rsid w:val="00B30A76"/>
    <w:rsid w:val="00B30AEC"/>
    <w:rsid w:val="00B30B5B"/>
    <w:rsid w:val="00B30CE1"/>
    <w:rsid w:val="00B30CFD"/>
    <w:rsid w:val="00B31085"/>
    <w:rsid w:val="00B31180"/>
    <w:rsid w:val="00B3136C"/>
    <w:rsid w:val="00B3136F"/>
    <w:rsid w:val="00B313D7"/>
    <w:rsid w:val="00B315B9"/>
    <w:rsid w:val="00B31606"/>
    <w:rsid w:val="00B3169A"/>
    <w:rsid w:val="00B317E6"/>
    <w:rsid w:val="00B31BD8"/>
    <w:rsid w:val="00B31C23"/>
    <w:rsid w:val="00B31C30"/>
    <w:rsid w:val="00B31CB6"/>
    <w:rsid w:val="00B32447"/>
    <w:rsid w:val="00B324BE"/>
    <w:rsid w:val="00B324FA"/>
    <w:rsid w:val="00B3255A"/>
    <w:rsid w:val="00B325C8"/>
    <w:rsid w:val="00B32618"/>
    <w:rsid w:val="00B32918"/>
    <w:rsid w:val="00B32A03"/>
    <w:rsid w:val="00B32A40"/>
    <w:rsid w:val="00B32A93"/>
    <w:rsid w:val="00B32BFF"/>
    <w:rsid w:val="00B32D3A"/>
    <w:rsid w:val="00B32EBF"/>
    <w:rsid w:val="00B32F30"/>
    <w:rsid w:val="00B32FDD"/>
    <w:rsid w:val="00B331E9"/>
    <w:rsid w:val="00B3326B"/>
    <w:rsid w:val="00B3337E"/>
    <w:rsid w:val="00B3343E"/>
    <w:rsid w:val="00B3349E"/>
    <w:rsid w:val="00B33677"/>
    <w:rsid w:val="00B33768"/>
    <w:rsid w:val="00B33802"/>
    <w:rsid w:val="00B339BF"/>
    <w:rsid w:val="00B33A35"/>
    <w:rsid w:val="00B33C48"/>
    <w:rsid w:val="00B33CF0"/>
    <w:rsid w:val="00B33D11"/>
    <w:rsid w:val="00B33DE4"/>
    <w:rsid w:val="00B33E56"/>
    <w:rsid w:val="00B33F29"/>
    <w:rsid w:val="00B340C1"/>
    <w:rsid w:val="00B341D5"/>
    <w:rsid w:val="00B34264"/>
    <w:rsid w:val="00B34334"/>
    <w:rsid w:val="00B34372"/>
    <w:rsid w:val="00B3445A"/>
    <w:rsid w:val="00B3453E"/>
    <w:rsid w:val="00B34608"/>
    <w:rsid w:val="00B3460C"/>
    <w:rsid w:val="00B3462D"/>
    <w:rsid w:val="00B3467E"/>
    <w:rsid w:val="00B346C1"/>
    <w:rsid w:val="00B347AC"/>
    <w:rsid w:val="00B347E9"/>
    <w:rsid w:val="00B34AAD"/>
    <w:rsid w:val="00B34E28"/>
    <w:rsid w:val="00B34E64"/>
    <w:rsid w:val="00B34E9A"/>
    <w:rsid w:val="00B34EC6"/>
    <w:rsid w:val="00B35040"/>
    <w:rsid w:val="00B35170"/>
    <w:rsid w:val="00B35538"/>
    <w:rsid w:val="00B3553E"/>
    <w:rsid w:val="00B355FE"/>
    <w:rsid w:val="00B35676"/>
    <w:rsid w:val="00B35A00"/>
    <w:rsid w:val="00B35A23"/>
    <w:rsid w:val="00B35BE5"/>
    <w:rsid w:val="00B35C56"/>
    <w:rsid w:val="00B35C77"/>
    <w:rsid w:val="00B35CDE"/>
    <w:rsid w:val="00B35F1B"/>
    <w:rsid w:val="00B35F92"/>
    <w:rsid w:val="00B35FA4"/>
    <w:rsid w:val="00B360AD"/>
    <w:rsid w:val="00B360E9"/>
    <w:rsid w:val="00B36168"/>
    <w:rsid w:val="00B36203"/>
    <w:rsid w:val="00B362A0"/>
    <w:rsid w:val="00B364F0"/>
    <w:rsid w:val="00B365C9"/>
    <w:rsid w:val="00B36621"/>
    <w:rsid w:val="00B3672B"/>
    <w:rsid w:val="00B36799"/>
    <w:rsid w:val="00B368FA"/>
    <w:rsid w:val="00B36B0C"/>
    <w:rsid w:val="00B36FB1"/>
    <w:rsid w:val="00B370A3"/>
    <w:rsid w:val="00B37131"/>
    <w:rsid w:val="00B3743D"/>
    <w:rsid w:val="00B374DE"/>
    <w:rsid w:val="00B375E4"/>
    <w:rsid w:val="00B37622"/>
    <w:rsid w:val="00B37644"/>
    <w:rsid w:val="00B376C9"/>
    <w:rsid w:val="00B37799"/>
    <w:rsid w:val="00B379FD"/>
    <w:rsid w:val="00B37B91"/>
    <w:rsid w:val="00B37EA2"/>
    <w:rsid w:val="00B37F8E"/>
    <w:rsid w:val="00B4008D"/>
    <w:rsid w:val="00B400CC"/>
    <w:rsid w:val="00B40103"/>
    <w:rsid w:val="00B40209"/>
    <w:rsid w:val="00B40574"/>
    <w:rsid w:val="00B40690"/>
    <w:rsid w:val="00B406AF"/>
    <w:rsid w:val="00B40822"/>
    <w:rsid w:val="00B40AAA"/>
    <w:rsid w:val="00B40AB3"/>
    <w:rsid w:val="00B40E8D"/>
    <w:rsid w:val="00B40ED1"/>
    <w:rsid w:val="00B40EE7"/>
    <w:rsid w:val="00B40F52"/>
    <w:rsid w:val="00B411D4"/>
    <w:rsid w:val="00B411FB"/>
    <w:rsid w:val="00B4132E"/>
    <w:rsid w:val="00B4133B"/>
    <w:rsid w:val="00B413F8"/>
    <w:rsid w:val="00B414FB"/>
    <w:rsid w:val="00B41561"/>
    <w:rsid w:val="00B415EF"/>
    <w:rsid w:val="00B4195B"/>
    <w:rsid w:val="00B41A15"/>
    <w:rsid w:val="00B41FEA"/>
    <w:rsid w:val="00B420A2"/>
    <w:rsid w:val="00B420C3"/>
    <w:rsid w:val="00B420CC"/>
    <w:rsid w:val="00B420DE"/>
    <w:rsid w:val="00B42121"/>
    <w:rsid w:val="00B4213C"/>
    <w:rsid w:val="00B4217F"/>
    <w:rsid w:val="00B4224E"/>
    <w:rsid w:val="00B42316"/>
    <w:rsid w:val="00B423DB"/>
    <w:rsid w:val="00B4246F"/>
    <w:rsid w:val="00B426F3"/>
    <w:rsid w:val="00B42820"/>
    <w:rsid w:val="00B42852"/>
    <w:rsid w:val="00B42989"/>
    <w:rsid w:val="00B42C5B"/>
    <w:rsid w:val="00B42C7C"/>
    <w:rsid w:val="00B42D5C"/>
    <w:rsid w:val="00B42D78"/>
    <w:rsid w:val="00B42DD9"/>
    <w:rsid w:val="00B42F64"/>
    <w:rsid w:val="00B42FE8"/>
    <w:rsid w:val="00B430D6"/>
    <w:rsid w:val="00B4318F"/>
    <w:rsid w:val="00B432D3"/>
    <w:rsid w:val="00B433DC"/>
    <w:rsid w:val="00B43562"/>
    <w:rsid w:val="00B436D9"/>
    <w:rsid w:val="00B436E9"/>
    <w:rsid w:val="00B43827"/>
    <w:rsid w:val="00B438C3"/>
    <w:rsid w:val="00B43998"/>
    <w:rsid w:val="00B439EC"/>
    <w:rsid w:val="00B43B59"/>
    <w:rsid w:val="00B44036"/>
    <w:rsid w:val="00B446C1"/>
    <w:rsid w:val="00B44765"/>
    <w:rsid w:val="00B447A4"/>
    <w:rsid w:val="00B4481B"/>
    <w:rsid w:val="00B44950"/>
    <w:rsid w:val="00B44C5E"/>
    <w:rsid w:val="00B44CC6"/>
    <w:rsid w:val="00B44D8A"/>
    <w:rsid w:val="00B44DAE"/>
    <w:rsid w:val="00B44DEC"/>
    <w:rsid w:val="00B45048"/>
    <w:rsid w:val="00B45272"/>
    <w:rsid w:val="00B45311"/>
    <w:rsid w:val="00B45497"/>
    <w:rsid w:val="00B454AE"/>
    <w:rsid w:val="00B454FA"/>
    <w:rsid w:val="00B4593F"/>
    <w:rsid w:val="00B459A4"/>
    <w:rsid w:val="00B45D81"/>
    <w:rsid w:val="00B45E83"/>
    <w:rsid w:val="00B46114"/>
    <w:rsid w:val="00B461B0"/>
    <w:rsid w:val="00B461CA"/>
    <w:rsid w:val="00B461D3"/>
    <w:rsid w:val="00B46432"/>
    <w:rsid w:val="00B46475"/>
    <w:rsid w:val="00B4650D"/>
    <w:rsid w:val="00B466CA"/>
    <w:rsid w:val="00B466EF"/>
    <w:rsid w:val="00B46926"/>
    <w:rsid w:val="00B46A06"/>
    <w:rsid w:val="00B46B26"/>
    <w:rsid w:val="00B46C40"/>
    <w:rsid w:val="00B46CE7"/>
    <w:rsid w:val="00B46D98"/>
    <w:rsid w:val="00B46E76"/>
    <w:rsid w:val="00B4706D"/>
    <w:rsid w:val="00B4750A"/>
    <w:rsid w:val="00B477E6"/>
    <w:rsid w:val="00B479F3"/>
    <w:rsid w:val="00B47A77"/>
    <w:rsid w:val="00B47C01"/>
    <w:rsid w:val="00B47DA0"/>
    <w:rsid w:val="00B47E79"/>
    <w:rsid w:val="00B47EAB"/>
    <w:rsid w:val="00B47F4B"/>
    <w:rsid w:val="00B47FD4"/>
    <w:rsid w:val="00B502C0"/>
    <w:rsid w:val="00B50843"/>
    <w:rsid w:val="00B5092B"/>
    <w:rsid w:val="00B50997"/>
    <w:rsid w:val="00B50B78"/>
    <w:rsid w:val="00B50D5A"/>
    <w:rsid w:val="00B50DF1"/>
    <w:rsid w:val="00B50E45"/>
    <w:rsid w:val="00B50F98"/>
    <w:rsid w:val="00B50FCF"/>
    <w:rsid w:val="00B50FF6"/>
    <w:rsid w:val="00B51008"/>
    <w:rsid w:val="00B5105B"/>
    <w:rsid w:val="00B511A1"/>
    <w:rsid w:val="00B511CD"/>
    <w:rsid w:val="00B51252"/>
    <w:rsid w:val="00B5140A"/>
    <w:rsid w:val="00B5141B"/>
    <w:rsid w:val="00B515D9"/>
    <w:rsid w:val="00B51649"/>
    <w:rsid w:val="00B516DF"/>
    <w:rsid w:val="00B5188A"/>
    <w:rsid w:val="00B51958"/>
    <w:rsid w:val="00B51A22"/>
    <w:rsid w:val="00B51A68"/>
    <w:rsid w:val="00B51A97"/>
    <w:rsid w:val="00B51AAF"/>
    <w:rsid w:val="00B51AB4"/>
    <w:rsid w:val="00B51BCC"/>
    <w:rsid w:val="00B51C9C"/>
    <w:rsid w:val="00B51D14"/>
    <w:rsid w:val="00B51F38"/>
    <w:rsid w:val="00B52064"/>
    <w:rsid w:val="00B5223F"/>
    <w:rsid w:val="00B5227E"/>
    <w:rsid w:val="00B523C5"/>
    <w:rsid w:val="00B5247A"/>
    <w:rsid w:val="00B5250A"/>
    <w:rsid w:val="00B5252E"/>
    <w:rsid w:val="00B526C2"/>
    <w:rsid w:val="00B528A1"/>
    <w:rsid w:val="00B528B3"/>
    <w:rsid w:val="00B52A15"/>
    <w:rsid w:val="00B52B1A"/>
    <w:rsid w:val="00B52CD0"/>
    <w:rsid w:val="00B52FB4"/>
    <w:rsid w:val="00B52FC8"/>
    <w:rsid w:val="00B53001"/>
    <w:rsid w:val="00B53033"/>
    <w:rsid w:val="00B530A1"/>
    <w:rsid w:val="00B530FD"/>
    <w:rsid w:val="00B53170"/>
    <w:rsid w:val="00B532DC"/>
    <w:rsid w:val="00B53483"/>
    <w:rsid w:val="00B534AF"/>
    <w:rsid w:val="00B534C0"/>
    <w:rsid w:val="00B534C5"/>
    <w:rsid w:val="00B53510"/>
    <w:rsid w:val="00B53625"/>
    <w:rsid w:val="00B536B6"/>
    <w:rsid w:val="00B53724"/>
    <w:rsid w:val="00B5379F"/>
    <w:rsid w:val="00B53827"/>
    <w:rsid w:val="00B53989"/>
    <w:rsid w:val="00B53A5E"/>
    <w:rsid w:val="00B53A72"/>
    <w:rsid w:val="00B53BDB"/>
    <w:rsid w:val="00B53C3B"/>
    <w:rsid w:val="00B53D26"/>
    <w:rsid w:val="00B53D77"/>
    <w:rsid w:val="00B53D8B"/>
    <w:rsid w:val="00B53E20"/>
    <w:rsid w:val="00B53E9C"/>
    <w:rsid w:val="00B53F07"/>
    <w:rsid w:val="00B53F90"/>
    <w:rsid w:val="00B54247"/>
    <w:rsid w:val="00B54395"/>
    <w:rsid w:val="00B54412"/>
    <w:rsid w:val="00B54447"/>
    <w:rsid w:val="00B54482"/>
    <w:rsid w:val="00B54527"/>
    <w:rsid w:val="00B54665"/>
    <w:rsid w:val="00B5475B"/>
    <w:rsid w:val="00B54824"/>
    <w:rsid w:val="00B54941"/>
    <w:rsid w:val="00B54D5D"/>
    <w:rsid w:val="00B54D98"/>
    <w:rsid w:val="00B54DF8"/>
    <w:rsid w:val="00B54E30"/>
    <w:rsid w:val="00B54E33"/>
    <w:rsid w:val="00B54E7E"/>
    <w:rsid w:val="00B54ED4"/>
    <w:rsid w:val="00B54F1B"/>
    <w:rsid w:val="00B54F9B"/>
    <w:rsid w:val="00B54FAA"/>
    <w:rsid w:val="00B5510E"/>
    <w:rsid w:val="00B551D0"/>
    <w:rsid w:val="00B551F9"/>
    <w:rsid w:val="00B5536C"/>
    <w:rsid w:val="00B55404"/>
    <w:rsid w:val="00B55570"/>
    <w:rsid w:val="00B55637"/>
    <w:rsid w:val="00B55772"/>
    <w:rsid w:val="00B55949"/>
    <w:rsid w:val="00B55A8B"/>
    <w:rsid w:val="00B55FF3"/>
    <w:rsid w:val="00B5613E"/>
    <w:rsid w:val="00B56172"/>
    <w:rsid w:val="00B56370"/>
    <w:rsid w:val="00B56541"/>
    <w:rsid w:val="00B565AA"/>
    <w:rsid w:val="00B565D6"/>
    <w:rsid w:val="00B566F0"/>
    <w:rsid w:val="00B56770"/>
    <w:rsid w:val="00B5678D"/>
    <w:rsid w:val="00B567A8"/>
    <w:rsid w:val="00B5690A"/>
    <w:rsid w:val="00B56B41"/>
    <w:rsid w:val="00B56BEA"/>
    <w:rsid w:val="00B56C11"/>
    <w:rsid w:val="00B56C4F"/>
    <w:rsid w:val="00B56D91"/>
    <w:rsid w:val="00B56E54"/>
    <w:rsid w:val="00B56FE8"/>
    <w:rsid w:val="00B571E6"/>
    <w:rsid w:val="00B572FA"/>
    <w:rsid w:val="00B5743C"/>
    <w:rsid w:val="00B5745D"/>
    <w:rsid w:val="00B57602"/>
    <w:rsid w:val="00B57716"/>
    <w:rsid w:val="00B579A2"/>
    <w:rsid w:val="00B57AEF"/>
    <w:rsid w:val="00B57C6D"/>
    <w:rsid w:val="00B57CF3"/>
    <w:rsid w:val="00B57DBF"/>
    <w:rsid w:val="00B57FEB"/>
    <w:rsid w:val="00B60005"/>
    <w:rsid w:val="00B6018B"/>
    <w:rsid w:val="00B601F6"/>
    <w:rsid w:val="00B6034B"/>
    <w:rsid w:val="00B60368"/>
    <w:rsid w:val="00B6039E"/>
    <w:rsid w:val="00B60485"/>
    <w:rsid w:val="00B60534"/>
    <w:rsid w:val="00B6053D"/>
    <w:rsid w:val="00B6057D"/>
    <w:rsid w:val="00B60599"/>
    <w:rsid w:val="00B605AE"/>
    <w:rsid w:val="00B6067A"/>
    <w:rsid w:val="00B60801"/>
    <w:rsid w:val="00B60821"/>
    <w:rsid w:val="00B6091F"/>
    <w:rsid w:val="00B609F3"/>
    <w:rsid w:val="00B60A55"/>
    <w:rsid w:val="00B60AFF"/>
    <w:rsid w:val="00B60C55"/>
    <w:rsid w:val="00B60D51"/>
    <w:rsid w:val="00B60DF2"/>
    <w:rsid w:val="00B61097"/>
    <w:rsid w:val="00B61183"/>
    <w:rsid w:val="00B61211"/>
    <w:rsid w:val="00B61282"/>
    <w:rsid w:val="00B614AA"/>
    <w:rsid w:val="00B615D5"/>
    <w:rsid w:val="00B616E4"/>
    <w:rsid w:val="00B616EA"/>
    <w:rsid w:val="00B61802"/>
    <w:rsid w:val="00B618CB"/>
    <w:rsid w:val="00B61C16"/>
    <w:rsid w:val="00B61C80"/>
    <w:rsid w:val="00B61C9D"/>
    <w:rsid w:val="00B61D29"/>
    <w:rsid w:val="00B61D39"/>
    <w:rsid w:val="00B61EEB"/>
    <w:rsid w:val="00B62197"/>
    <w:rsid w:val="00B622DD"/>
    <w:rsid w:val="00B625D1"/>
    <w:rsid w:val="00B6263E"/>
    <w:rsid w:val="00B627C7"/>
    <w:rsid w:val="00B62934"/>
    <w:rsid w:val="00B62A28"/>
    <w:rsid w:val="00B62C32"/>
    <w:rsid w:val="00B62E5B"/>
    <w:rsid w:val="00B62FDA"/>
    <w:rsid w:val="00B632D4"/>
    <w:rsid w:val="00B6335E"/>
    <w:rsid w:val="00B634B7"/>
    <w:rsid w:val="00B63685"/>
    <w:rsid w:val="00B6368B"/>
    <w:rsid w:val="00B63AE1"/>
    <w:rsid w:val="00B63D0B"/>
    <w:rsid w:val="00B63E9C"/>
    <w:rsid w:val="00B63F3C"/>
    <w:rsid w:val="00B63F89"/>
    <w:rsid w:val="00B6423A"/>
    <w:rsid w:val="00B6423D"/>
    <w:rsid w:val="00B64291"/>
    <w:rsid w:val="00B64356"/>
    <w:rsid w:val="00B64806"/>
    <w:rsid w:val="00B64949"/>
    <w:rsid w:val="00B649BB"/>
    <w:rsid w:val="00B649D3"/>
    <w:rsid w:val="00B64B71"/>
    <w:rsid w:val="00B64C96"/>
    <w:rsid w:val="00B64D94"/>
    <w:rsid w:val="00B64F75"/>
    <w:rsid w:val="00B65013"/>
    <w:rsid w:val="00B6505D"/>
    <w:rsid w:val="00B65191"/>
    <w:rsid w:val="00B65226"/>
    <w:rsid w:val="00B652DC"/>
    <w:rsid w:val="00B653B3"/>
    <w:rsid w:val="00B65597"/>
    <w:rsid w:val="00B6561E"/>
    <w:rsid w:val="00B65BE7"/>
    <w:rsid w:val="00B65BF2"/>
    <w:rsid w:val="00B65C30"/>
    <w:rsid w:val="00B65D75"/>
    <w:rsid w:val="00B65F3E"/>
    <w:rsid w:val="00B66208"/>
    <w:rsid w:val="00B66367"/>
    <w:rsid w:val="00B66412"/>
    <w:rsid w:val="00B6643E"/>
    <w:rsid w:val="00B666BD"/>
    <w:rsid w:val="00B6674E"/>
    <w:rsid w:val="00B66782"/>
    <w:rsid w:val="00B667C5"/>
    <w:rsid w:val="00B66839"/>
    <w:rsid w:val="00B6690A"/>
    <w:rsid w:val="00B66997"/>
    <w:rsid w:val="00B669AA"/>
    <w:rsid w:val="00B669F8"/>
    <w:rsid w:val="00B66A8F"/>
    <w:rsid w:val="00B66AC8"/>
    <w:rsid w:val="00B66D0C"/>
    <w:rsid w:val="00B66D8A"/>
    <w:rsid w:val="00B66EDE"/>
    <w:rsid w:val="00B66FD3"/>
    <w:rsid w:val="00B6703E"/>
    <w:rsid w:val="00B670C4"/>
    <w:rsid w:val="00B670F5"/>
    <w:rsid w:val="00B67121"/>
    <w:rsid w:val="00B67245"/>
    <w:rsid w:val="00B675B3"/>
    <w:rsid w:val="00B6781D"/>
    <w:rsid w:val="00B67D82"/>
    <w:rsid w:val="00B7008D"/>
    <w:rsid w:val="00B700CA"/>
    <w:rsid w:val="00B70144"/>
    <w:rsid w:val="00B70214"/>
    <w:rsid w:val="00B702B5"/>
    <w:rsid w:val="00B702D5"/>
    <w:rsid w:val="00B7030D"/>
    <w:rsid w:val="00B703B2"/>
    <w:rsid w:val="00B705FE"/>
    <w:rsid w:val="00B706FB"/>
    <w:rsid w:val="00B70A78"/>
    <w:rsid w:val="00B70C3D"/>
    <w:rsid w:val="00B70C9B"/>
    <w:rsid w:val="00B70DC9"/>
    <w:rsid w:val="00B70DD9"/>
    <w:rsid w:val="00B70F58"/>
    <w:rsid w:val="00B713E9"/>
    <w:rsid w:val="00B71510"/>
    <w:rsid w:val="00B715AA"/>
    <w:rsid w:val="00B71702"/>
    <w:rsid w:val="00B717D6"/>
    <w:rsid w:val="00B7188B"/>
    <w:rsid w:val="00B71A38"/>
    <w:rsid w:val="00B71A9A"/>
    <w:rsid w:val="00B71B02"/>
    <w:rsid w:val="00B71C24"/>
    <w:rsid w:val="00B71D5A"/>
    <w:rsid w:val="00B72073"/>
    <w:rsid w:val="00B7219C"/>
    <w:rsid w:val="00B72247"/>
    <w:rsid w:val="00B72490"/>
    <w:rsid w:val="00B726D6"/>
    <w:rsid w:val="00B72707"/>
    <w:rsid w:val="00B72836"/>
    <w:rsid w:val="00B72856"/>
    <w:rsid w:val="00B728AB"/>
    <w:rsid w:val="00B7290A"/>
    <w:rsid w:val="00B72BAF"/>
    <w:rsid w:val="00B72F30"/>
    <w:rsid w:val="00B72F86"/>
    <w:rsid w:val="00B72F8E"/>
    <w:rsid w:val="00B73043"/>
    <w:rsid w:val="00B730E8"/>
    <w:rsid w:val="00B737B7"/>
    <w:rsid w:val="00B73990"/>
    <w:rsid w:val="00B739F7"/>
    <w:rsid w:val="00B73AA2"/>
    <w:rsid w:val="00B73AF5"/>
    <w:rsid w:val="00B73BF7"/>
    <w:rsid w:val="00B73D77"/>
    <w:rsid w:val="00B73E94"/>
    <w:rsid w:val="00B73ECA"/>
    <w:rsid w:val="00B73FF4"/>
    <w:rsid w:val="00B74037"/>
    <w:rsid w:val="00B74066"/>
    <w:rsid w:val="00B740D5"/>
    <w:rsid w:val="00B741AD"/>
    <w:rsid w:val="00B7423B"/>
    <w:rsid w:val="00B74241"/>
    <w:rsid w:val="00B743BF"/>
    <w:rsid w:val="00B743D1"/>
    <w:rsid w:val="00B744DF"/>
    <w:rsid w:val="00B746EE"/>
    <w:rsid w:val="00B74AB5"/>
    <w:rsid w:val="00B74CE7"/>
    <w:rsid w:val="00B74DCA"/>
    <w:rsid w:val="00B74EDC"/>
    <w:rsid w:val="00B74F5E"/>
    <w:rsid w:val="00B752D1"/>
    <w:rsid w:val="00B754A6"/>
    <w:rsid w:val="00B754E4"/>
    <w:rsid w:val="00B7550D"/>
    <w:rsid w:val="00B7564E"/>
    <w:rsid w:val="00B75921"/>
    <w:rsid w:val="00B75991"/>
    <w:rsid w:val="00B759F9"/>
    <w:rsid w:val="00B75A42"/>
    <w:rsid w:val="00B75A50"/>
    <w:rsid w:val="00B75B01"/>
    <w:rsid w:val="00B75DED"/>
    <w:rsid w:val="00B75E25"/>
    <w:rsid w:val="00B75E72"/>
    <w:rsid w:val="00B76024"/>
    <w:rsid w:val="00B760F6"/>
    <w:rsid w:val="00B762C2"/>
    <w:rsid w:val="00B76500"/>
    <w:rsid w:val="00B766CF"/>
    <w:rsid w:val="00B76926"/>
    <w:rsid w:val="00B76BF3"/>
    <w:rsid w:val="00B76C5B"/>
    <w:rsid w:val="00B76C7E"/>
    <w:rsid w:val="00B76CAF"/>
    <w:rsid w:val="00B76CD0"/>
    <w:rsid w:val="00B76D2A"/>
    <w:rsid w:val="00B76D5E"/>
    <w:rsid w:val="00B76DE2"/>
    <w:rsid w:val="00B76E26"/>
    <w:rsid w:val="00B77187"/>
    <w:rsid w:val="00B77258"/>
    <w:rsid w:val="00B77433"/>
    <w:rsid w:val="00B77737"/>
    <w:rsid w:val="00B77748"/>
    <w:rsid w:val="00B77754"/>
    <w:rsid w:val="00B77924"/>
    <w:rsid w:val="00B7793A"/>
    <w:rsid w:val="00B77A1C"/>
    <w:rsid w:val="00B77A26"/>
    <w:rsid w:val="00B77BBD"/>
    <w:rsid w:val="00B77C5D"/>
    <w:rsid w:val="00B77C7F"/>
    <w:rsid w:val="00B77EC1"/>
    <w:rsid w:val="00B77F77"/>
    <w:rsid w:val="00B80093"/>
    <w:rsid w:val="00B80178"/>
    <w:rsid w:val="00B803A7"/>
    <w:rsid w:val="00B80405"/>
    <w:rsid w:val="00B80409"/>
    <w:rsid w:val="00B80478"/>
    <w:rsid w:val="00B8049E"/>
    <w:rsid w:val="00B8066B"/>
    <w:rsid w:val="00B806AC"/>
    <w:rsid w:val="00B8099F"/>
    <w:rsid w:val="00B809F6"/>
    <w:rsid w:val="00B80E22"/>
    <w:rsid w:val="00B8103F"/>
    <w:rsid w:val="00B8107E"/>
    <w:rsid w:val="00B8111A"/>
    <w:rsid w:val="00B811ED"/>
    <w:rsid w:val="00B8121D"/>
    <w:rsid w:val="00B81351"/>
    <w:rsid w:val="00B81489"/>
    <w:rsid w:val="00B81495"/>
    <w:rsid w:val="00B8149C"/>
    <w:rsid w:val="00B81561"/>
    <w:rsid w:val="00B8178D"/>
    <w:rsid w:val="00B8194B"/>
    <w:rsid w:val="00B81AC0"/>
    <w:rsid w:val="00B81B43"/>
    <w:rsid w:val="00B81CD7"/>
    <w:rsid w:val="00B81E6E"/>
    <w:rsid w:val="00B81F69"/>
    <w:rsid w:val="00B81FF6"/>
    <w:rsid w:val="00B8203F"/>
    <w:rsid w:val="00B821B8"/>
    <w:rsid w:val="00B8226C"/>
    <w:rsid w:val="00B8241B"/>
    <w:rsid w:val="00B8249F"/>
    <w:rsid w:val="00B8260A"/>
    <w:rsid w:val="00B82624"/>
    <w:rsid w:val="00B8266D"/>
    <w:rsid w:val="00B82916"/>
    <w:rsid w:val="00B82B06"/>
    <w:rsid w:val="00B82C7D"/>
    <w:rsid w:val="00B82D1B"/>
    <w:rsid w:val="00B82DE5"/>
    <w:rsid w:val="00B82E53"/>
    <w:rsid w:val="00B82EA3"/>
    <w:rsid w:val="00B82EC3"/>
    <w:rsid w:val="00B83124"/>
    <w:rsid w:val="00B83139"/>
    <w:rsid w:val="00B834AD"/>
    <w:rsid w:val="00B837EC"/>
    <w:rsid w:val="00B83818"/>
    <w:rsid w:val="00B83943"/>
    <w:rsid w:val="00B83B79"/>
    <w:rsid w:val="00B84067"/>
    <w:rsid w:val="00B840C4"/>
    <w:rsid w:val="00B84100"/>
    <w:rsid w:val="00B843EF"/>
    <w:rsid w:val="00B84480"/>
    <w:rsid w:val="00B844F8"/>
    <w:rsid w:val="00B845C0"/>
    <w:rsid w:val="00B846FB"/>
    <w:rsid w:val="00B84910"/>
    <w:rsid w:val="00B84996"/>
    <w:rsid w:val="00B84A01"/>
    <w:rsid w:val="00B84ACF"/>
    <w:rsid w:val="00B84B26"/>
    <w:rsid w:val="00B84BBA"/>
    <w:rsid w:val="00B84DAC"/>
    <w:rsid w:val="00B84EC0"/>
    <w:rsid w:val="00B8502D"/>
    <w:rsid w:val="00B850B0"/>
    <w:rsid w:val="00B850D3"/>
    <w:rsid w:val="00B850ED"/>
    <w:rsid w:val="00B852F2"/>
    <w:rsid w:val="00B853FA"/>
    <w:rsid w:val="00B854A0"/>
    <w:rsid w:val="00B8551A"/>
    <w:rsid w:val="00B855C2"/>
    <w:rsid w:val="00B85720"/>
    <w:rsid w:val="00B857DE"/>
    <w:rsid w:val="00B8596F"/>
    <w:rsid w:val="00B85A65"/>
    <w:rsid w:val="00B85AA9"/>
    <w:rsid w:val="00B85B35"/>
    <w:rsid w:val="00B85DD1"/>
    <w:rsid w:val="00B86120"/>
    <w:rsid w:val="00B86418"/>
    <w:rsid w:val="00B8643A"/>
    <w:rsid w:val="00B86564"/>
    <w:rsid w:val="00B8667A"/>
    <w:rsid w:val="00B86704"/>
    <w:rsid w:val="00B867AC"/>
    <w:rsid w:val="00B867C1"/>
    <w:rsid w:val="00B8686F"/>
    <w:rsid w:val="00B86926"/>
    <w:rsid w:val="00B86979"/>
    <w:rsid w:val="00B86A79"/>
    <w:rsid w:val="00B86D1D"/>
    <w:rsid w:val="00B86D63"/>
    <w:rsid w:val="00B86DEF"/>
    <w:rsid w:val="00B86E78"/>
    <w:rsid w:val="00B86FCB"/>
    <w:rsid w:val="00B87076"/>
    <w:rsid w:val="00B87083"/>
    <w:rsid w:val="00B871CF"/>
    <w:rsid w:val="00B871EA"/>
    <w:rsid w:val="00B87231"/>
    <w:rsid w:val="00B8745E"/>
    <w:rsid w:val="00B87476"/>
    <w:rsid w:val="00B87478"/>
    <w:rsid w:val="00B87531"/>
    <w:rsid w:val="00B876CA"/>
    <w:rsid w:val="00B87714"/>
    <w:rsid w:val="00B87722"/>
    <w:rsid w:val="00B877CF"/>
    <w:rsid w:val="00B877E2"/>
    <w:rsid w:val="00B87921"/>
    <w:rsid w:val="00B87AB9"/>
    <w:rsid w:val="00B87BCF"/>
    <w:rsid w:val="00B87D4B"/>
    <w:rsid w:val="00B87DE2"/>
    <w:rsid w:val="00B87FDE"/>
    <w:rsid w:val="00B87FF5"/>
    <w:rsid w:val="00B9004B"/>
    <w:rsid w:val="00B900CA"/>
    <w:rsid w:val="00B9020F"/>
    <w:rsid w:val="00B90519"/>
    <w:rsid w:val="00B90731"/>
    <w:rsid w:val="00B90868"/>
    <w:rsid w:val="00B90B4D"/>
    <w:rsid w:val="00B90C56"/>
    <w:rsid w:val="00B90DFB"/>
    <w:rsid w:val="00B90E69"/>
    <w:rsid w:val="00B90F8D"/>
    <w:rsid w:val="00B91081"/>
    <w:rsid w:val="00B910B6"/>
    <w:rsid w:val="00B910CA"/>
    <w:rsid w:val="00B911B2"/>
    <w:rsid w:val="00B911DD"/>
    <w:rsid w:val="00B912D7"/>
    <w:rsid w:val="00B9130D"/>
    <w:rsid w:val="00B91433"/>
    <w:rsid w:val="00B9148C"/>
    <w:rsid w:val="00B91511"/>
    <w:rsid w:val="00B9161A"/>
    <w:rsid w:val="00B917D2"/>
    <w:rsid w:val="00B9192C"/>
    <w:rsid w:val="00B91A15"/>
    <w:rsid w:val="00B91B5F"/>
    <w:rsid w:val="00B91B72"/>
    <w:rsid w:val="00B91BBE"/>
    <w:rsid w:val="00B91C47"/>
    <w:rsid w:val="00B91D5B"/>
    <w:rsid w:val="00B9202D"/>
    <w:rsid w:val="00B9204A"/>
    <w:rsid w:val="00B920C5"/>
    <w:rsid w:val="00B92181"/>
    <w:rsid w:val="00B921C2"/>
    <w:rsid w:val="00B9223C"/>
    <w:rsid w:val="00B9237A"/>
    <w:rsid w:val="00B923BC"/>
    <w:rsid w:val="00B92478"/>
    <w:rsid w:val="00B92830"/>
    <w:rsid w:val="00B9289A"/>
    <w:rsid w:val="00B928C1"/>
    <w:rsid w:val="00B928F1"/>
    <w:rsid w:val="00B92E0B"/>
    <w:rsid w:val="00B92E3E"/>
    <w:rsid w:val="00B92E50"/>
    <w:rsid w:val="00B92EED"/>
    <w:rsid w:val="00B93087"/>
    <w:rsid w:val="00B930DA"/>
    <w:rsid w:val="00B93157"/>
    <w:rsid w:val="00B93224"/>
    <w:rsid w:val="00B93330"/>
    <w:rsid w:val="00B93380"/>
    <w:rsid w:val="00B933F5"/>
    <w:rsid w:val="00B934AC"/>
    <w:rsid w:val="00B934CC"/>
    <w:rsid w:val="00B9352A"/>
    <w:rsid w:val="00B93553"/>
    <w:rsid w:val="00B9356F"/>
    <w:rsid w:val="00B935C7"/>
    <w:rsid w:val="00B936CA"/>
    <w:rsid w:val="00B93796"/>
    <w:rsid w:val="00B93941"/>
    <w:rsid w:val="00B939AE"/>
    <w:rsid w:val="00B93E39"/>
    <w:rsid w:val="00B93EC3"/>
    <w:rsid w:val="00B94088"/>
    <w:rsid w:val="00B94142"/>
    <w:rsid w:val="00B942C5"/>
    <w:rsid w:val="00B9444C"/>
    <w:rsid w:val="00B944C8"/>
    <w:rsid w:val="00B94504"/>
    <w:rsid w:val="00B94841"/>
    <w:rsid w:val="00B948E4"/>
    <w:rsid w:val="00B9491A"/>
    <w:rsid w:val="00B94A92"/>
    <w:rsid w:val="00B94CB9"/>
    <w:rsid w:val="00B94CF0"/>
    <w:rsid w:val="00B94D04"/>
    <w:rsid w:val="00B94D96"/>
    <w:rsid w:val="00B94E26"/>
    <w:rsid w:val="00B94EDD"/>
    <w:rsid w:val="00B94F51"/>
    <w:rsid w:val="00B94F6A"/>
    <w:rsid w:val="00B94FC2"/>
    <w:rsid w:val="00B95033"/>
    <w:rsid w:val="00B95179"/>
    <w:rsid w:val="00B951D1"/>
    <w:rsid w:val="00B9550E"/>
    <w:rsid w:val="00B95737"/>
    <w:rsid w:val="00B95784"/>
    <w:rsid w:val="00B957A6"/>
    <w:rsid w:val="00B95940"/>
    <w:rsid w:val="00B95AFD"/>
    <w:rsid w:val="00B95C59"/>
    <w:rsid w:val="00B95D23"/>
    <w:rsid w:val="00B95DF3"/>
    <w:rsid w:val="00B95E38"/>
    <w:rsid w:val="00B9610E"/>
    <w:rsid w:val="00B962C8"/>
    <w:rsid w:val="00B963C9"/>
    <w:rsid w:val="00B9657C"/>
    <w:rsid w:val="00B96668"/>
    <w:rsid w:val="00B96680"/>
    <w:rsid w:val="00B96762"/>
    <w:rsid w:val="00B967CA"/>
    <w:rsid w:val="00B968BF"/>
    <w:rsid w:val="00B969AB"/>
    <w:rsid w:val="00B96DB3"/>
    <w:rsid w:val="00B970C3"/>
    <w:rsid w:val="00B97293"/>
    <w:rsid w:val="00B972D1"/>
    <w:rsid w:val="00B97349"/>
    <w:rsid w:val="00B9747D"/>
    <w:rsid w:val="00B974CB"/>
    <w:rsid w:val="00B974E2"/>
    <w:rsid w:val="00B976DA"/>
    <w:rsid w:val="00B976FA"/>
    <w:rsid w:val="00B977C8"/>
    <w:rsid w:val="00B97873"/>
    <w:rsid w:val="00B97998"/>
    <w:rsid w:val="00B9799C"/>
    <w:rsid w:val="00B97B36"/>
    <w:rsid w:val="00B97D2A"/>
    <w:rsid w:val="00B97E2C"/>
    <w:rsid w:val="00BA033B"/>
    <w:rsid w:val="00BA0622"/>
    <w:rsid w:val="00BA06B4"/>
    <w:rsid w:val="00BA06E5"/>
    <w:rsid w:val="00BA07C0"/>
    <w:rsid w:val="00BA07F5"/>
    <w:rsid w:val="00BA0928"/>
    <w:rsid w:val="00BA099D"/>
    <w:rsid w:val="00BA09D2"/>
    <w:rsid w:val="00BA0AB2"/>
    <w:rsid w:val="00BA0AC1"/>
    <w:rsid w:val="00BA0CDF"/>
    <w:rsid w:val="00BA1137"/>
    <w:rsid w:val="00BA16C5"/>
    <w:rsid w:val="00BA1987"/>
    <w:rsid w:val="00BA19B3"/>
    <w:rsid w:val="00BA19C1"/>
    <w:rsid w:val="00BA1A48"/>
    <w:rsid w:val="00BA1AF7"/>
    <w:rsid w:val="00BA1B43"/>
    <w:rsid w:val="00BA1DF5"/>
    <w:rsid w:val="00BA2074"/>
    <w:rsid w:val="00BA2094"/>
    <w:rsid w:val="00BA20E4"/>
    <w:rsid w:val="00BA2132"/>
    <w:rsid w:val="00BA2171"/>
    <w:rsid w:val="00BA21B8"/>
    <w:rsid w:val="00BA2566"/>
    <w:rsid w:val="00BA2651"/>
    <w:rsid w:val="00BA27EB"/>
    <w:rsid w:val="00BA2B21"/>
    <w:rsid w:val="00BA2EE7"/>
    <w:rsid w:val="00BA30F9"/>
    <w:rsid w:val="00BA37D2"/>
    <w:rsid w:val="00BA389B"/>
    <w:rsid w:val="00BA38B2"/>
    <w:rsid w:val="00BA39D0"/>
    <w:rsid w:val="00BA3AE4"/>
    <w:rsid w:val="00BA3B0F"/>
    <w:rsid w:val="00BA4078"/>
    <w:rsid w:val="00BA4149"/>
    <w:rsid w:val="00BA4288"/>
    <w:rsid w:val="00BA43AF"/>
    <w:rsid w:val="00BA43F9"/>
    <w:rsid w:val="00BA446B"/>
    <w:rsid w:val="00BA45A8"/>
    <w:rsid w:val="00BA45D5"/>
    <w:rsid w:val="00BA45FF"/>
    <w:rsid w:val="00BA4785"/>
    <w:rsid w:val="00BA49C5"/>
    <w:rsid w:val="00BA49C6"/>
    <w:rsid w:val="00BA49D2"/>
    <w:rsid w:val="00BA49D3"/>
    <w:rsid w:val="00BA4A4F"/>
    <w:rsid w:val="00BA4A96"/>
    <w:rsid w:val="00BA4C8F"/>
    <w:rsid w:val="00BA4CD9"/>
    <w:rsid w:val="00BA4EA5"/>
    <w:rsid w:val="00BA4F85"/>
    <w:rsid w:val="00BA5038"/>
    <w:rsid w:val="00BA50D1"/>
    <w:rsid w:val="00BA51FC"/>
    <w:rsid w:val="00BA5254"/>
    <w:rsid w:val="00BA52EE"/>
    <w:rsid w:val="00BA5422"/>
    <w:rsid w:val="00BA5691"/>
    <w:rsid w:val="00BA58FC"/>
    <w:rsid w:val="00BA5AFA"/>
    <w:rsid w:val="00BA5CAA"/>
    <w:rsid w:val="00BA5E00"/>
    <w:rsid w:val="00BA5E80"/>
    <w:rsid w:val="00BA5F9C"/>
    <w:rsid w:val="00BA6234"/>
    <w:rsid w:val="00BA628E"/>
    <w:rsid w:val="00BA634B"/>
    <w:rsid w:val="00BA6400"/>
    <w:rsid w:val="00BA642A"/>
    <w:rsid w:val="00BA64AC"/>
    <w:rsid w:val="00BA6632"/>
    <w:rsid w:val="00BA6A1E"/>
    <w:rsid w:val="00BA6ABC"/>
    <w:rsid w:val="00BA6D7A"/>
    <w:rsid w:val="00BA71F5"/>
    <w:rsid w:val="00BA766D"/>
    <w:rsid w:val="00BA7793"/>
    <w:rsid w:val="00BA78AC"/>
    <w:rsid w:val="00BA7964"/>
    <w:rsid w:val="00BA79D4"/>
    <w:rsid w:val="00BA79EE"/>
    <w:rsid w:val="00BA7A7E"/>
    <w:rsid w:val="00BA7AA3"/>
    <w:rsid w:val="00BA7B3D"/>
    <w:rsid w:val="00BA7DC7"/>
    <w:rsid w:val="00BA7E69"/>
    <w:rsid w:val="00BA7EB0"/>
    <w:rsid w:val="00BA7F4F"/>
    <w:rsid w:val="00BA7F7A"/>
    <w:rsid w:val="00BB00D8"/>
    <w:rsid w:val="00BB0239"/>
    <w:rsid w:val="00BB02E8"/>
    <w:rsid w:val="00BB0354"/>
    <w:rsid w:val="00BB0411"/>
    <w:rsid w:val="00BB04AA"/>
    <w:rsid w:val="00BB04B8"/>
    <w:rsid w:val="00BB05BB"/>
    <w:rsid w:val="00BB073C"/>
    <w:rsid w:val="00BB07E7"/>
    <w:rsid w:val="00BB07F1"/>
    <w:rsid w:val="00BB0BBB"/>
    <w:rsid w:val="00BB0CBB"/>
    <w:rsid w:val="00BB0CFB"/>
    <w:rsid w:val="00BB0E2E"/>
    <w:rsid w:val="00BB0FF5"/>
    <w:rsid w:val="00BB100C"/>
    <w:rsid w:val="00BB10CE"/>
    <w:rsid w:val="00BB10F4"/>
    <w:rsid w:val="00BB114C"/>
    <w:rsid w:val="00BB14BF"/>
    <w:rsid w:val="00BB15EB"/>
    <w:rsid w:val="00BB1604"/>
    <w:rsid w:val="00BB162D"/>
    <w:rsid w:val="00BB17D1"/>
    <w:rsid w:val="00BB1831"/>
    <w:rsid w:val="00BB1836"/>
    <w:rsid w:val="00BB184A"/>
    <w:rsid w:val="00BB18F5"/>
    <w:rsid w:val="00BB198B"/>
    <w:rsid w:val="00BB1998"/>
    <w:rsid w:val="00BB19C1"/>
    <w:rsid w:val="00BB1A51"/>
    <w:rsid w:val="00BB1B01"/>
    <w:rsid w:val="00BB1B81"/>
    <w:rsid w:val="00BB1D8D"/>
    <w:rsid w:val="00BB1E71"/>
    <w:rsid w:val="00BB1F5D"/>
    <w:rsid w:val="00BB2148"/>
    <w:rsid w:val="00BB233C"/>
    <w:rsid w:val="00BB235D"/>
    <w:rsid w:val="00BB238F"/>
    <w:rsid w:val="00BB2423"/>
    <w:rsid w:val="00BB24C8"/>
    <w:rsid w:val="00BB2558"/>
    <w:rsid w:val="00BB26CA"/>
    <w:rsid w:val="00BB27D6"/>
    <w:rsid w:val="00BB28E7"/>
    <w:rsid w:val="00BB2A65"/>
    <w:rsid w:val="00BB2C0A"/>
    <w:rsid w:val="00BB2DBC"/>
    <w:rsid w:val="00BB30A9"/>
    <w:rsid w:val="00BB30F3"/>
    <w:rsid w:val="00BB321C"/>
    <w:rsid w:val="00BB3258"/>
    <w:rsid w:val="00BB32A4"/>
    <w:rsid w:val="00BB3412"/>
    <w:rsid w:val="00BB352F"/>
    <w:rsid w:val="00BB3535"/>
    <w:rsid w:val="00BB3564"/>
    <w:rsid w:val="00BB3690"/>
    <w:rsid w:val="00BB3B0B"/>
    <w:rsid w:val="00BB3C40"/>
    <w:rsid w:val="00BB3CB9"/>
    <w:rsid w:val="00BB3CE4"/>
    <w:rsid w:val="00BB3D96"/>
    <w:rsid w:val="00BB4148"/>
    <w:rsid w:val="00BB425E"/>
    <w:rsid w:val="00BB43B1"/>
    <w:rsid w:val="00BB44E7"/>
    <w:rsid w:val="00BB46F8"/>
    <w:rsid w:val="00BB4745"/>
    <w:rsid w:val="00BB483E"/>
    <w:rsid w:val="00BB4CF7"/>
    <w:rsid w:val="00BB4D9B"/>
    <w:rsid w:val="00BB4E19"/>
    <w:rsid w:val="00BB4EA7"/>
    <w:rsid w:val="00BB4EF9"/>
    <w:rsid w:val="00BB4F45"/>
    <w:rsid w:val="00BB4FF1"/>
    <w:rsid w:val="00BB501E"/>
    <w:rsid w:val="00BB50B6"/>
    <w:rsid w:val="00BB516A"/>
    <w:rsid w:val="00BB5245"/>
    <w:rsid w:val="00BB52D5"/>
    <w:rsid w:val="00BB5357"/>
    <w:rsid w:val="00BB539D"/>
    <w:rsid w:val="00BB53E1"/>
    <w:rsid w:val="00BB54C7"/>
    <w:rsid w:val="00BB54CB"/>
    <w:rsid w:val="00BB57E6"/>
    <w:rsid w:val="00BB5912"/>
    <w:rsid w:val="00BB594B"/>
    <w:rsid w:val="00BB5A00"/>
    <w:rsid w:val="00BB5A86"/>
    <w:rsid w:val="00BB5C44"/>
    <w:rsid w:val="00BB5C46"/>
    <w:rsid w:val="00BB5C85"/>
    <w:rsid w:val="00BB5C87"/>
    <w:rsid w:val="00BB5D77"/>
    <w:rsid w:val="00BB5E59"/>
    <w:rsid w:val="00BB5FE8"/>
    <w:rsid w:val="00BB6058"/>
    <w:rsid w:val="00BB6174"/>
    <w:rsid w:val="00BB61A1"/>
    <w:rsid w:val="00BB635A"/>
    <w:rsid w:val="00BB64DD"/>
    <w:rsid w:val="00BB65A5"/>
    <w:rsid w:val="00BB660E"/>
    <w:rsid w:val="00BB66E6"/>
    <w:rsid w:val="00BB68DA"/>
    <w:rsid w:val="00BB6DBB"/>
    <w:rsid w:val="00BB6E2C"/>
    <w:rsid w:val="00BB6ECD"/>
    <w:rsid w:val="00BB6EE3"/>
    <w:rsid w:val="00BB6F1A"/>
    <w:rsid w:val="00BB7051"/>
    <w:rsid w:val="00BB708C"/>
    <w:rsid w:val="00BB708D"/>
    <w:rsid w:val="00BB714D"/>
    <w:rsid w:val="00BB71A8"/>
    <w:rsid w:val="00BB7279"/>
    <w:rsid w:val="00BB735D"/>
    <w:rsid w:val="00BB7543"/>
    <w:rsid w:val="00BB75DA"/>
    <w:rsid w:val="00BB7638"/>
    <w:rsid w:val="00BB7678"/>
    <w:rsid w:val="00BB768D"/>
    <w:rsid w:val="00BB795B"/>
    <w:rsid w:val="00BB7A2A"/>
    <w:rsid w:val="00BB7BC4"/>
    <w:rsid w:val="00BB7BE0"/>
    <w:rsid w:val="00BB7C39"/>
    <w:rsid w:val="00BB7D46"/>
    <w:rsid w:val="00BB7EB3"/>
    <w:rsid w:val="00BB7FCB"/>
    <w:rsid w:val="00BC0037"/>
    <w:rsid w:val="00BC0288"/>
    <w:rsid w:val="00BC0314"/>
    <w:rsid w:val="00BC03FE"/>
    <w:rsid w:val="00BC0646"/>
    <w:rsid w:val="00BC07D8"/>
    <w:rsid w:val="00BC0912"/>
    <w:rsid w:val="00BC0978"/>
    <w:rsid w:val="00BC09FA"/>
    <w:rsid w:val="00BC0A38"/>
    <w:rsid w:val="00BC0BDE"/>
    <w:rsid w:val="00BC0C2F"/>
    <w:rsid w:val="00BC0E0C"/>
    <w:rsid w:val="00BC0EDF"/>
    <w:rsid w:val="00BC10EE"/>
    <w:rsid w:val="00BC1570"/>
    <w:rsid w:val="00BC1748"/>
    <w:rsid w:val="00BC195E"/>
    <w:rsid w:val="00BC19EE"/>
    <w:rsid w:val="00BC1A27"/>
    <w:rsid w:val="00BC1A5B"/>
    <w:rsid w:val="00BC1E81"/>
    <w:rsid w:val="00BC1F06"/>
    <w:rsid w:val="00BC1FD1"/>
    <w:rsid w:val="00BC2164"/>
    <w:rsid w:val="00BC227B"/>
    <w:rsid w:val="00BC246F"/>
    <w:rsid w:val="00BC24FF"/>
    <w:rsid w:val="00BC2709"/>
    <w:rsid w:val="00BC2750"/>
    <w:rsid w:val="00BC276F"/>
    <w:rsid w:val="00BC2834"/>
    <w:rsid w:val="00BC285D"/>
    <w:rsid w:val="00BC28EB"/>
    <w:rsid w:val="00BC2929"/>
    <w:rsid w:val="00BC2B63"/>
    <w:rsid w:val="00BC2DC7"/>
    <w:rsid w:val="00BC318E"/>
    <w:rsid w:val="00BC3248"/>
    <w:rsid w:val="00BC3398"/>
    <w:rsid w:val="00BC33F2"/>
    <w:rsid w:val="00BC3403"/>
    <w:rsid w:val="00BC34E2"/>
    <w:rsid w:val="00BC3504"/>
    <w:rsid w:val="00BC3681"/>
    <w:rsid w:val="00BC3737"/>
    <w:rsid w:val="00BC37D4"/>
    <w:rsid w:val="00BC3A7A"/>
    <w:rsid w:val="00BC3B37"/>
    <w:rsid w:val="00BC3BD5"/>
    <w:rsid w:val="00BC3C76"/>
    <w:rsid w:val="00BC3E41"/>
    <w:rsid w:val="00BC3F8A"/>
    <w:rsid w:val="00BC4501"/>
    <w:rsid w:val="00BC480F"/>
    <w:rsid w:val="00BC4883"/>
    <w:rsid w:val="00BC493A"/>
    <w:rsid w:val="00BC4A92"/>
    <w:rsid w:val="00BC4ABD"/>
    <w:rsid w:val="00BC4B05"/>
    <w:rsid w:val="00BC4C11"/>
    <w:rsid w:val="00BC4C7E"/>
    <w:rsid w:val="00BC4CF9"/>
    <w:rsid w:val="00BC51FE"/>
    <w:rsid w:val="00BC52CA"/>
    <w:rsid w:val="00BC52F0"/>
    <w:rsid w:val="00BC54F1"/>
    <w:rsid w:val="00BC57B5"/>
    <w:rsid w:val="00BC58F0"/>
    <w:rsid w:val="00BC5D30"/>
    <w:rsid w:val="00BC5F4B"/>
    <w:rsid w:val="00BC6067"/>
    <w:rsid w:val="00BC6297"/>
    <w:rsid w:val="00BC65E9"/>
    <w:rsid w:val="00BC6993"/>
    <w:rsid w:val="00BC6C5F"/>
    <w:rsid w:val="00BC6CAE"/>
    <w:rsid w:val="00BC6CED"/>
    <w:rsid w:val="00BC6D78"/>
    <w:rsid w:val="00BC6DD0"/>
    <w:rsid w:val="00BC6E1C"/>
    <w:rsid w:val="00BC6E50"/>
    <w:rsid w:val="00BC708D"/>
    <w:rsid w:val="00BC70B9"/>
    <w:rsid w:val="00BC737B"/>
    <w:rsid w:val="00BC737E"/>
    <w:rsid w:val="00BC73B9"/>
    <w:rsid w:val="00BC7673"/>
    <w:rsid w:val="00BC7735"/>
    <w:rsid w:val="00BC77B2"/>
    <w:rsid w:val="00BC79CD"/>
    <w:rsid w:val="00BC7A5A"/>
    <w:rsid w:val="00BC7D37"/>
    <w:rsid w:val="00BC7D81"/>
    <w:rsid w:val="00BC7DF4"/>
    <w:rsid w:val="00BC7E10"/>
    <w:rsid w:val="00BC7E42"/>
    <w:rsid w:val="00BC7F1F"/>
    <w:rsid w:val="00BC7F92"/>
    <w:rsid w:val="00BC7FCE"/>
    <w:rsid w:val="00BD0065"/>
    <w:rsid w:val="00BD01C7"/>
    <w:rsid w:val="00BD05EE"/>
    <w:rsid w:val="00BD0833"/>
    <w:rsid w:val="00BD0985"/>
    <w:rsid w:val="00BD09B6"/>
    <w:rsid w:val="00BD0A07"/>
    <w:rsid w:val="00BD0D7C"/>
    <w:rsid w:val="00BD0E59"/>
    <w:rsid w:val="00BD101A"/>
    <w:rsid w:val="00BD1093"/>
    <w:rsid w:val="00BD1183"/>
    <w:rsid w:val="00BD1263"/>
    <w:rsid w:val="00BD1335"/>
    <w:rsid w:val="00BD1354"/>
    <w:rsid w:val="00BD136E"/>
    <w:rsid w:val="00BD1377"/>
    <w:rsid w:val="00BD13F8"/>
    <w:rsid w:val="00BD1437"/>
    <w:rsid w:val="00BD153B"/>
    <w:rsid w:val="00BD15C4"/>
    <w:rsid w:val="00BD1810"/>
    <w:rsid w:val="00BD1825"/>
    <w:rsid w:val="00BD18A8"/>
    <w:rsid w:val="00BD18CA"/>
    <w:rsid w:val="00BD1C0B"/>
    <w:rsid w:val="00BD1DA2"/>
    <w:rsid w:val="00BD1DD8"/>
    <w:rsid w:val="00BD1F80"/>
    <w:rsid w:val="00BD1FE1"/>
    <w:rsid w:val="00BD2036"/>
    <w:rsid w:val="00BD2158"/>
    <w:rsid w:val="00BD2361"/>
    <w:rsid w:val="00BD238C"/>
    <w:rsid w:val="00BD2415"/>
    <w:rsid w:val="00BD26A7"/>
    <w:rsid w:val="00BD2843"/>
    <w:rsid w:val="00BD295B"/>
    <w:rsid w:val="00BD29EE"/>
    <w:rsid w:val="00BD2A26"/>
    <w:rsid w:val="00BD2AF4"/>
    <w:rsid w:val="00BD2AFC"/>
    <w:rsid w:val="00BD2B55"/>
    <w:rsid w:val="00BD2C61"/>
    <w:rsid w:val="00BD2CEE"/>
    <w:rsid w:val="00BD2F73"/>
    <w:rsid w:val="00BD2F77"/>
    <w:rsid w:val="00BD3252"/>
    <w:rsid w:val="00BD338A"/>
    <w:rsid w:val="00BD33B1"/>
    <w:rsid w:val="00BD354B"/>
    <w:rsid w:val="00BD3569"/>
    <w:rsid w:val="00BD3597"/>
    <w:rsid w:val="00BD36A4"/>
    <w:rsid w:val="00BD3724"/>
    <w:rsid w:val="00BD38D8"/>
    <w:rsid w:val="00BD3A11"/>
    <w:rsid w:val="00BD3BCF"/>
    <w:rsid w:val="00BD3C53"/>
    <w:rsid w:val="00BD3DFB"/>
    <w:rsid w:val="00BD3EBC"/>
    <w:rsid w:val="00BD3EEA"/>
    <w:rsid w:val="00BD3F2D"/>
    <w:rsid w:val="00BD44D4"/>
    <w:rsid w:val="00BD451A"/>
    <w:rsid w:val="00BD46C0"/>
    <w:rsid w:val="00BD49C7"/>
    <w:rsid w:val="00BD4A25"/>
    <w:rsid w:val="00BD4B1D"/>
    <w:rsid w:val="00BD4BBF"/>
    <w:rsid w:val="00BD4C3D"/>
    <w:rsid w:val="00BD4C40"/>
    <w:rsid w:val="00BD4C53"/>
    <w:rsid w:val="00BD4CC0"/>
    <w:rsid w:val="00BD4D58"/>
    <w:rsid w:val="00BD4D5B"/>
    <w:rsid w:val="00BD4EC8"/>
    <w:rsid w:val="00BD50D1"/>
    <w:rsid w:val="00BD527C"/>
    <w:rsid w:val="00BD52B1"/>
    <w:rsid w:val="00BD53DE"/>
    <w:rsid w:val="00BD54F4"/>
    <w:rsid w:val="00BD5663"/>
    <w:rsid w:val="00BD567E"/>
    <w:rsid w:val="00BD580A"/>
    <w:rsid w:val="00BD58B9"/>
    <w:rsid w:val="00BD597B"/>
    <w:rsid w:val="00BD5ADA"/>
    <w:rsid w:val="00BD5D5F"/>
    <w:rsid w:val="00BD5D92"/>
    <w:rsid w:val="00BD5E4F"/>
    <w:rsid w:val="00BD5F02"/>
    <w:rsid w:val="00BD60A4"/>
    <w:rsid w:val="00BD612B"/>
    <w:rsid w:val="00BD625C"/>
    <w:rsid w:val="00BD62FE"/>
    <w:rsid w:val="00BD6337"/>
    <w:rsid w:val="00BD6635"/>
    <w:rsid w:val="00BD6650"/>
    <w:rsid w:val="00BD677B"/>
    <w:rsid w:val="00BD6824"/>
    <w:rsid w:val="00BD6912"/>
    <w:rsid w:val="00BD6984"/>
    <w:rsid w:val="00BD6A1C"/>
    <w:rsid w:val="00BD6B10"/>
    <w:rsid w:val="00BD6B35"/>
    <w:rsid w:val="00BD6B51"/>
    <w:rsid w:val="00BD6C59"/>
    <w:rsid w:val="00BD6C7E"/>
    <w:rsid w:val="00BD6E95"/>
    <w:rsid w:val="00BD7020"/>
    <w:rsid w:val="00BD7050"/>
    <w:rsid w:val="00BD730D"/>
    <w:rsid w:val="00BD7384"/>
    <w:rsid w:val="00BD7492"/>
    <w:rsid w:val="00BD7572"/>
    <w:rsid w:val="00BD75BE"/>
    <w:rsid w:val="00BD75C8"/>
    <w:rsid w:val="00BD7AA8"/>
    <w:rsid w:val="00BD7C03"/>
    <w:rsid w:val="00BD7C26"/>
    <w:rsid w:val="00BD7C4A"/>
    <w:rsid w:val="00BD7C84"/>
    <w:rsid w:val="00BD7D61"/>
    <w:rsid w:val="00BD7F64"/>
    <w:rsid w:val="00BE01A6"/>
    <w:rsid w:val="00BE0449"/>
    <w:rsid w:val="00BE0543"/>
    <w:rsid w:val="00BE0642"/>
    <w:rsid w:val="00BE07E6"/>
    <w:rsid w:val="00BE08A0"/>
    <w:rsid w:val="00BE08E1"/>
    <w:rsid w:val="00BE0A5F"/>
    <w:rsid w:val="00BE0AB4"/>
    <w:rsid w:val="00BE0B17"/>
    <w:rsid w:val="00BE0BA0"/>
    <w:rsid w:val="00BE0C5D"/>
    <w:rsid w:val="00BE0D72"/>
    <w:rsid w:val="00BE0E0D"/>
    <w:rsid w:val="00BE0F40"/>
    <w:rsid w:val="00BE0F84"/>
    <w:rsid w:val="00BE1124"/>
    <w:rsid w:val="00BE1131"/>
    <w:rsid w:val="00BE14A6"/>
    <w:rsid w:val="00BE14C6"/>
    <w:rsid w:val="00BE1509"/>
    <w:rsid w:val="00BE18B7"/>
    <w:rsid w:val="00BE1912"/>
    <w:rsid w:val="00BE193C"/>
    <w:rsid w:val="00BE1A13"/>
    <w:rsid w:val="00BE1C66"/>
    <w:rsid w:val="00BE1D20"/>
    <w:rsid w:val="00BE1E49"/>
    <w:rsid w:val="00BE1E9B"/>
    <w:rsid w:val="00BE1EC4"/>
    <w:rsid w:val="00BE1F45"/>
    <w:rsid w:val="00BE204E"/>
    <w:rsid w:val="00BE21B6"/>
    <w:rsid w:val="00BE225D"/>
    <w:rsid w:val="00BE232C"/>
    <w:rsid w:val="00BE2399"/>
    <w:rsid w:val="00BE24F8"/>
    <w:rsid w:val="00BE2531"/>
    <w:rsid w:val="00BE2542"/>
    <w:rsid w:val="00BE2608"/>
    <w:rsid w:val="00BE2663"/>
    <w:rsid w:val="00BE2714"/>
    <w:rsid w:val="00BE27B8"/>
    <w:rsid w:val="00BE28AB"/>
    <w:rsid w:val="00BE29E0"/>
    <w:rsid w:val="00BE2AE3"/>
    <w:rsid w:val="00BE2AFE"/>
    <w:rsid w:val="00BE2B33"/>
    <w:rsid w:val="00BE2CFA"/>
    <w:rsid w:val="00BE2DC7"/>
    <w:rsid w:val="00BE2E81"/>
    <w:rsid w:val="00BE30A8"/>
    <w:rsid w:val="00BE31DB"/>
    <w:rsid w:val="00BE3242"/>
    <w:rsid w:val="00BE326F"/>
    <w:rsid w:val="00BE3289"/>
    <w:rsid w:val="00BE332C"/>
    <w:rsid w:val="00BE337F"/>
    <w:rsid w:val="00BE344C"/>
    <w:rsid w:val="00BE397E"/>
    <w:rsid w:val="00BE39C5"/>
    <w:rsid w:val="00BE3BC5"/>
    <w:rsid w:val="00BE3F6A"/>
    <w:rsid w:val="00BE4016"/>
    <w:rsid w:val="00BE4062"/>
    <w:rsid w:val="00BE4081"/>
    <w:rsid w:val="00BE42C0"/>
    <w:rsid w:val="00BE4381"/>
    <w:rsid w:val="00BE43A6"/>
    <w:rsid w:val="00BE43B5"/>
    <w:rsid w:val="00BE4470"/>
    <w:rsid w:val="00BE448B"/>
    <w:rsid w:val="00BE470D"/>
    <w:rsid w:val="00BE4724"/>
    <w:rsid w:val="00BE474B"/>
    <w:rsid w:val="00BE482F"/>
    <w:rsid w:val="00BE48A5"/>
    <w:rsid w:val="00BE4974"/>
    <w:rsid w:val="00BE4B0B"/>
    <w:rsid w:val="00BE4D61"/>
    <w:rsid w:val="00BE4E06"/>
    <w:rsid w:val="00BE4E64"/>
    <w:rsid w:val="00BE4F02"/>
    <w:rsid w:val="00BE4FA2"/>
    <w:rsid w:val="00BE5044"/>
    <w:rsid w:val="00BE50B7"/>
    <w:rsid w:val="00BE541C"/>
    <w:rsid w:val="00BE547F"/>
    <w:rsid w:val="00BE54B7"/>
    <w:rsid w:val="00BE56C7"/>
    <w:rsid w:val="00BE5813"/>
    <w:rsid w:val="00BE588D"/>
    <w:rsid w:val="00BE590E"/>
    <w:rsid w:val="00BE596C"/>
    <w:rsid w:val="00BE5C2B"/>
    <w:rsid w:val="00BE5D2F"/>
    <w:rsid w:val="00BE5D45"/>
    <w:rsid w:val="00BE5D81"/>
    <w:rsid w:val="00BE5DFF"/>
    <w:rsid w:val="00BE5E1B"/>
    <w:rsid w:val="00BE5F2E"/>
    <w:rsid w:val="00BE5FE6"/>
    <w:rsid w:val="00BE605F"/>
    <w:rsid w:val="00BE60AC"/>
    <w:rsid w:val="00BE6223"/>
    <w:rsid w:val="00BE62EC"/>
    <w:rsid w:val="00BE6411"/>
    <w:rsid w:val="00BE6515"/>
    <w:rsid w:val="00BE651C"/>
    <w:rsid w:val="00BE6623"/>
    <w:rsid w:val="00BE66DB"/>
    <w:rsid w:val="00BE67B2"/>
    <w:rsid w:val="00BE694B"/>
    <w:rsid w:val="00BE69A4"/>
    <w:rsid w:val="00BE6A4D"/>
    <w:rsid w:val="00BE6B16"/>
    <w:rsid w:val="00BE6BE4"/>
    <w:rsid w:val="00BE6DB3"/>
    <w:rsid w:val="00BE6E7A"/>
    <w:rsid w:val="00BE6F2F"/>
    <w:rsid w:val="00BE71A8"/>
    <w:rsid w:val="00BE724B"/>
    <w:rsid w:val="00BE724F"/>
    <w:rsid w:val="00BE75E2"/>
    <w:rsid w:val="00BE7613"/>
    <w:rsid w:val="00BE787A"/>
    <w:rsid w:val="00BE7B61"/>
    <w:rsid w:val="00BE7BBE"/>
    <w:rsid w:val="00BE7BE7"/>
    <w:rsid w:val="00BE7CC1"/>
    <w:rsid w:val="00BE7E55"/>
    <w:rsid w:val="00BE7FDE"/>
    <w:rsid w:val="00BF01A9"/>
    <w:rsid w:val="00BF0245"/>
    <w:rsid w:val="00BF044A"/>
    <w:rsid w:val="00BF04B7"/>
    <w:rsid w:val="00BF0526"/>
    <w:rsid w:val="00BF05C9"/>
    <w:rsid w:val="00BF0636"/>
    <w:rsid w:val="00BF079B"/>
    <w:rsid w:val="00BF08A8"/>
    <w:rsid w:val="00BF0AC4"/>
    <w:rsid w:val="00BF0B93"/>
    <w:rsid w:val="00BF0DF5"/>
    <w:rsid w:val="00BF1034"/>
    <w:rsid w:val="00BF11B9"/>
    <w:rsid w:val="00BF13C4"/>
    <w:rsid w:val="00BF16BD"/>
    <w:rsid w:val="00BF1711"/>
    <w:rsid w:val="00BF18EB"/>
    <w:rsid w:val="00BF1AD9"/>
    <w:rsid w:val="00BF1B69"/>
    <w:rsid w:val="00BF1BD1"/>
    <w:rsid w:val="00BF1C08"/>
    <w:rsid w:val="00BF1C74"/>
    <w:rsid w:val="00BF1CF7"/>
    <w:rsid w:val="00BF1D16"/>
    <w:rsid w:val="00BF1D17"/>
    <w:rsid w:val="00BF1DFD"/>
    <w:rsid w:val="00BF1EBB"/>
    <w:rsid w:val="00BF1F02"/>
    <w:rsid w:val="00BF2046"/>
    <w:rsid w:val="00BF20F0"/>
    <w:rsid w:val="00BF23C0"/>
    <w:rsid w:val="00BF2418"/>
    <w:rsid w:val="00BF248B"/>
    <w:rsid w:val="00BF2744"/>
    <w:rsid w:val="00BF27DE"/>
    <w:rsid w:val="00BF2CBA"/>
    <w:rsid w:val="00BF2CF1"/>
    <w:rsid w:val="00BF2D1A"/>
    <w:rsid w:val="00BF2E19"/>
    <w:rsid w:val="00BF2EF0"/>
    <w:rsid w:val="00BF2FE7"/>
    <w:rsid w:val="00BF32E8"/>
    <w:rsid w:val="00BF3330"/>
    <w:rsid w:val="00BF343E"/>
    <w:rsid w:val="00BF3557"/>
    <w:rsid w:val="00BF365B"/>
    <w:rsid w:val="00BF368D"/>
    <w:rsid w:val="00BF36CB"/>
    <w:rsid w:val="00BF3779"/>
    <w:rsid w:val="00BF3801"/>
    <w:rsid w:val="00BF391B"/>
    <w:rsid w:val="00BF3B40"/>
    <w:rsid w:val="00BF3BB4"/>
    <w:rsid w:val="00BF3CED"/>
    <w:rsid w:val="00BF3DF5"/>
    <w:rsid w:val="00BF4141"/>
    <w:rsid w:val="00BF41FC"/>
    <w:rsid w:val="00BF4231"/>
    <w:rsid w:val="00BF4307"/>
    <w:rsid w:val="00BF43B1"/>
    <w:rsid w:val="00BF43B7"/>
    <w:rsid w:val="00BF443B"/>
    <w:rsid w:val="00BF4521"/>
    <w:rsid w:val="00BF4621"/>
    <w:rsid w:val="00BF4678"/>
    <w:rsid w:val="00BF485E"/>
    <w:rsid w:val="00BF4966"/>
    <w:rsid w:val="00BF49C6"/>
    <w:rsid w:val="00BF4AE0"/>
    <w:rsid w:val="00BF4AEB"/>
    <w:rsid w:val="00BF4C48"/>
    <w:rsid w:val="00BF4D60"/>
    <w:rsid w:val="00BF4E2C"/>
    <w:rsid w:val="00BF4FD9"/>
    <w:rsid w:val="00BF4FEF"/>
    <w:rsid w:val="00BF502D"/>
    <w:rsid w:val="00BF517F"/>
    <w:rsid w:val="00BF522E"/>
    <w:rsid w:val="00BF52BC"/>
    <w:rsid w:val="00BF547D"/>
    <w:rsid w:val="00BF56CF"/>
    <w:rsid w:val="00BF57BE"/>
    <w:rsid w:val="00BF587D"/>
    <w:rsid w:val="00BF58E8"/>
    <w:rsid w:val="00BF5932"/>
    <w:rsid w:val="00BF5A43"/>
    <w:rsid w:val="00BF5B48"/>
    <w:rsid w:val="00BF5BE5"/>
    <w:rsid w:val="00BF5CCE"/>
    <w:rsid w:val="00BF5D58"/>
    <w:rsid w:val="00BF60B4"/>
    <w:rsid w:val="00BF617A"/>
    <w:rsid w:val="00BF6189"/>
    <w:rsid w:val="00BF61FF"/>
    <w:rsid w:val="00BF620B"/>
    <w:rsid w:val="00BF6385"/>
    <w:rsid w:val="00BF65D6"/>
    <w:rsid w:val="00BF664B"/>
    <w:rsid w:val="00BF6669"/>
    <w:rsid w:val="00BF6BAE"/>
    <w:rsid w:val="00BF6BC3"/>
    <w:rsid w:val="00BF6CF5"/>
    <w:rsid w:val="00BF6D3A"/>
    <w:rsid w:val="00BF6E7E"/>
    <w:rsid w:val="00BF6EED"/>
    <w:rsid w:val="00BF6F57"/>
    <w:rsid w:val="00BF6FDC"/>
    <w:rsid w:val="00BF7082"/>
    <w:rsid w:val="00BF7240"/>
    <w:rsid w:val="00BF7314"/>
    <w:rsid w:val="00BF736E"/>
    <w:rsid w:val="00BF73F5"/>
    <w:rsid w:val="00BF7591"/>
    <w:rsid w:val="00BF766E"/>
    <w:rsid w:val="00BF7802"/>
    <w:rsid w:val="00BF7877"/>
    <w:rsid w:val="00BF7B00"/>
    <w:rsid w:val="00BF7B43"/>
    <w:rsid w:val="00BF7BF6"/>
    <w:rsid w:val="00BF7C66"/>
    <w:rsid w:val="00BF7DD8"/>
    <w:rsid w:val="00BF7DE1"/>
    <w:rsid w:val="00BF7FD7"/>
    <w:rsid w:val="00C00113"/>
    <w:rsid w:val="00C001F5"/>
    <w:rsid w:val="00C0037F"/>
    <w:rsid w:val="00C00473"/>
    <w:rsid w:val="00C0049C"/>
    <w:rsid w:val="00C005BA"/>
    <w:rsid w:val="00C005FA"/>
    <w:rsid w:val="00C00718"/>
    <w:rsid w:val="00C00764"/>
    <w:rsid w:val="00C007D4"/>
    <w:rsid w:val="00C007FD"/>
    <w:rsid w:val="00C00807"/>
    <w:rsid w:val="00C00B1C"/>
    <w:rsid w:val="00C00BB2"/>
    <w:rsid w:val="00C00C3F"/>
    <w:rsid w:val="00C00ED9"/>
    <w:rsid w:val="00C00F14"/>
    <w:rsid w:val="00C00F86"/>
    <w:rsid w:val="00C01097"/>
    <w:rsid w:val="00C0117F"/>
    <w:rsid w:val="00C012E4"/>
    <w:rsid w:val="00C01627"/>
    <w:rsid w:val="00C01641"/>
    <w:rsid w:val="00C01A09"/>
    <w:rsid w:val="00C01B98"/>
    <w:rsid w:val="00C01BF3"/>
    <w:rsid w:val="00C01C95"/>
    <w:rsid w:val="00C01CB6"/>
    <w:rsid w:val="00C01CD2"/>
    <w:rsid w:val="00C01D66"/>
    <w:rsid w:val="00C01D96"/>
    <w:rsid w:val="00C01DE8"/>
    <w:rsid w:val="00C01E83"/>
    <w:rsid w:val="00C0209D"/>
    <w:rsid w:val="00C02143"/>
    <w:rsid w:val="00C02193"/>
    <w:rsid w:val="00C023EC"/>
    <w:rsid w:val="00C0249E"/>
    <w:rsid w:val="00C02710"/>
    <w:rsid w:val="00C02722"/>
    <w:rsid w:val="00C0280F"/>
    <w:rsid w:val="00C0299D"/>
    <w:rsid w:val="00C02B37"/>
    <w:rsid w:val="00C02C60"/>
    <w:rsid w:val="00C02F33"/>
    <w:rsid w:val="00C02FAE"/>
    <w:rsid w:val="00C0315B"/>
    <w:rsid w:val="00C03193"/>
    <w:rsid w:val="00C03275"/>
    <w:rsid w:val="00C0327F"/>
    <w:rsid w:val="00C032E1"/>
    <w:rsid w:val="00C0349B"/>
    <w:rsid w:val="00C03658"/>
    <w:rsid w:val="00C036C2"/>
    <w:rsid w:val="00C037EA"/>
    <w:rsid w:val="00C039ED"/>
    <w:rsid w:val="00C03D7F"/>
    <w:rsid w:val="00C03E2E"/>
    <w:rsid w:val="00C049EB"/>
    <w:rsid w:val="00C04AC7"/>
    <w:rsid w:val="00C04AD9"/>
    <w:rsid w:val="00C04B5B"/>
    <w:rsid w:val="00C04BB6"/>
    <w:rsid w:val="00C04CC6"/>
    <w:rsid w:val="00C04CF8"/>
    <w:rsid w:val="00C04E4A"/>
    <w:rsid w:val="00C04E7D"/>
    <w:rsid w:val="00C04F0F"/>
    <w:rsid w:val="00C04F9D"/>
    <w:rsid w:val="00C04FB6"/>
    <w:rsid w:val="00C051E3"/>
    <w:rsid w:val="00C054EF"/>
    <w:rsid w:val="00C0555C"/>
    <w:rsid w:val="00C05575"/>
    <w:rsid w:val="00C0559D"/>
    <w:rsid w:val="00C056CC"/>
    <w:rsid w:val="00C05727"/>
    <w:rsid w:val="00C05840"/>
    <w:rsid w:val="00C0589A"/>
    <w:rsid w:val="00C0589B"/>
    <w:rsid w:val="00C059F5"/>
    <w:rsid w:val="00C05A42"/>
    <w:rsid w:val="00C05B35"/>
    <w:rsid w:val="00C05C10"/>
    <w:rsid w:val="00C05E71"/>
    <w:rsid w:val="00C06095"/>
    <w:rsid w:val="00C0615C"/>
    <w:rsid w:val="00C0630B"/>
    <w:rsid w:val="00C06379"/>
    <w:rsid w:val="00C06413"/>
    <w:rsid w:val="00C06488"/>
    <w:rsid w:val="00C064BF"/>
    <w:rsid w:val="00C06546"/>
    <w:rsid w:val="00C0663A"/>
    <w:rsid w:val="00C06A10"/>
    <w:rsid w:val="00C06B52"/>
    <w:rsid w:val="00C06B81"/>
    <w:rsid w:val="00C06D9C"/>
    <w:rsid w:val="00C06DB2"/>
    <w:rsid w:val="00C06EB8"/>
    <w:rsid w:val="00C06FBC"/>
    <w:rsid w:val="00C07016"/>
    <w:rsid w:val="00C07030"/>
    <w:rsid w:val="00C07122"/>
    <w:rsid w:val="00C07347"/>
    <w:rsid w:val="00C07372"/>
    <w:rsid w:val="00C07566"/>
    <w:rsid w:val="00C07610"/>
    <w:rsid w:val="00C07823"/>
    <w:rsid w:val="00C07913"/>
    <w:rsid w:val="00C0795D"/>
    <w:rsid w:val="00C079F8"/>
    <w:rsid w:val="00C07B01"/>
    <w:rsid w:val="00C07D15"/>
    <w:rsid w:val="00C1000A"/>
    <w:rsid w:val="00C1021A"/>
    <w:rsid w:val="00C102C7"/>
    <w:rsid w:val="00C102DC"/>
    <w:rsid w:val="00C10351"/>
    <w:rsid w:val="00C1037E"/>
    <w:rsid w:val="00C103D4"/>
    <w:rsid w:val="00C10488"/>
    <w:rsid w:val="00C1049B"/>
    <w:rsid w:val="00C104B6"/>
    <w:rsid w:val="00C10541"/>
    <w:rsid w:val="00C10892"/>
    <w:rsid w:val="00C10B3A"/>
    <w:rsid w:val="00C10B95"/>
    <w:rsid w:val="00C10C17"/>
    <w:rsid w:val="00C10CD5"/>
    <w:rsid w:val="00C10CDE"/>
    <w:rsid w:val="00C10E14"/>
    <w:rsid w:val="00C10F39"/>
    <w:rsid w:val="00C10F94"/>
    <w:rsid w:val="00C1115A"/>
    <w:rsid w:val="00C113B0"/>
    <w:rsid w:val="00C1146B"/>
    <w:rsid w:val="00C114CD"/>
    <w:rsid w:val="00C11572"/>
    <w:rsid w:val="00C11783"/>
    <w:rsid w:val="00C117AC"/>
    <w:rsid w:val="00C11A3F"/>
    <w:rsid w:val="00C11B81"/>
    <w:rsid w:val="00C11B92"/>
    <w:rsid w:val="00C11E06"/>
    <w:rsid w:val="00C11E67"/>
    <w:rsid w:val="00C11EAF"/>
    <w:rsid w:val="00C11F25"/>
    <w:rsid w:val="00C11F7F"/>
    <w:rsid w:val="00C12016"/>
    <w:rsid w:val="00C1206A"/>
    <w:rsid w:val="00C120B5"/>
    <w:rsid w:val="00C121CB"/>
    <w:rsid w:val="00C12452"/>
    <w:rsid w:val="00C12456"/>
    <w:rsid w:val="00C124E4"/>
    <w:rsid w:val="00C12685"/>
    <w:rsid w:val="00C12731"/>
    <w:rsid w:val="00C128B2"/>
    <w:rsid w:val="00C128CA"/>
    <w:rsid w:val="00C12A92"/>
    <w:rsid w:val="00C12B0B"/>
    <w:rsid w:val="00C12BCA"/>
    <w:rsid w:val="00C12BEC"/>
    <w:rsid w:val="00C12CAE"/>
    <w:rsid w:val="00C12D1C"/>
    <w:rsid w:val="00C12DB3"/>
    <w:rsid w:val="00C12DF3"/>
    <w:rsid w:val="00C12E90"/>
    <w:rsid w:val="00C13018"/>
    <w:rsid w:val="00C13193"/>
    <w:rsid w:val="00C134F7"/>
    <w:rsid w:val="00C13553"/>
    <w:rsid w:val="00C135CE"/>
    <w:rsid w:val="00C13875"/>
    <w:rsid w:val="00C138A3"/>
    <w:rsid w:val="00C138E3"/>
    <w:rsid w:val="00C13910"/>
    <w:rsid w:val="00C13A05"/>
    <w:rsid w:val="00C13A12"/>
    <w:rsid w:val="00C13A68"/>
    <w:rsid w:val="00C13A71"/>
    <w:rsid w:val="00C13AFA"/>
    <w:rsid w:val="00C13B55"/>
    <w:rsid w:val="00C13BCE"/>
    <w:rsid w:val="00C13D8D"/>
    <w:rsid w:val="00C13DBF"/>
    <w:rsid w:val="00C13EC3"/>
    <w:rsid w:val="00C13F73"/>
    <w:rsid w:val="00C14010"/>
    <w:rsid w:val="00C1419C"/>
    <w:rsid w:val="00C14253"/>
    <w:rsid w:val="00C142F3"/>
    <w:rsid w:val="00C14308"/>
    <w:rsid w:val="00C143BC"/>
    <w:rsid w:val="00C143C1"/>
    <w:rsid w:val="00C143C9"/>
    <w:rsid w:val="00C146ED"/>
    <w:rsid w:val="00C147E1"/>
    <w:rsid w:val="00C1481E"/>
    <w:rsid w:val="00C1497C"/>
    <w:rsid w:val="00C149D5"/>
    <w:rsid w:val="00C14A57"/>
    <w:rsid w:val="00C14B35"/>
    <w:rsid w:val="00C14CE5"/>
    <w:rsid w:val="00C14E40"/>
    <w:rsid w:val="00C14E41"/>
    <w:rsid w:val="00C14E54"/>
    <w:rsid w:val="00C15084"/>
    <w:rsid w:val="00C15151"/>
    <w:rsid w:val="00C151EE"/>
    <w:rsid w:val="00C152DC"/>
    <w:rsid w:val="00C15301"/>
    <w:rsid w:val="00C15314"/>
    <w:rsid w:val="00C1559E"/>
    <w:rsid w:val="00C15639"/>
    <w:rsid w:val="00C15740"/>
    <w:rsid w:val="00C15852"/>
    <w:rsid w:val="00C158C1"/>
    <w:rsid w:val="00C15958"/>
    <w:rsid w:val="00C15A54"/>
    <w:rsid w:val="00C15A5C"/>
    <w:rsid w:val="00C15A8B"/>
    <w:rsid w:val="00C15E92"/>
    <w:rsid w:val="00C15F1D"/>
    <w:rsid w:val="00C15F8E"/>
    <w:rsid w:val="00C16012"/>
    <w:rsid w:val="00C1610E"/>
    <w:rsid w:val="00C16178"/>
    <w:rsid w:val="00C1619D"/>
    <w:rsid w:val="00C161BC"/>
    <w:rsid w:val="00C1635D"/>
    <w:rsid w:val="00C16888"/>
    <w:rsid w:val="00C168C3"/>
    <w:rsid w:val="00C17197"/>
    <w:rsid w:val="00C17539"/>
    <w:rsid w:val="00C175A1"/>
    <w:rsid w:val="00C175B2"/>
    <w:rsid w:val="00C177C2"/>
    <w:rsid w:val="00C1781E"/>
    <w:rsid w:val="00C17828"/>
    <w:rsid w:val="00C17A48"/>
    <w:rsid w:val="00C17BDF"/>
    <w:rsid w:val="00C17D07"/>
    <w:rsid w:val="00C17E47"/>
    <w:rsid w:val="00C17ED7"/>
    <w:rsid w:val="00C17F46"/>
    <w:rsid w:val="00C17F64"/>
    <w:rsid w:val="00C201B1"/>
    <w:rsid w:val="00C201CA"/>
    <w:rsid w:val="00C20286"/>
    <w:rsid w:val="00C20358"/>
    <w:rsid w:val="00C20452"/>
    <w:rsid w:val="00C20479"/>
    <w:rsid w:val="00C204F6"/>
    <w:rsid w:val="00C205E5"/>
    <w:rsid w:val="00C206FF"/>
    <w:rsid w:val="00C20A68"/>
    <w:rsid w:val="00C20BE1"/>
    <w:rsid w:val="00C20C06"/>
    <w:rsid w:val="00C20D61"/>
    <w:rsid w:val="00C20D82"/>
    <w:rsid w:val="00C20E60"/>
    <w:rsid w:val="00C20ED1"/>
    <w:rsid w:val="00C21085"/>
    <w:rsid w:val="00C210EF"/>
    <w:rsid w:val="00C21140"/>
    <w:rsid w:val="00C21257"/>
    <w:rsid w:val="00C2128B"/>
    <w:rsid w:val="00C21865"/>
    <w:rsid w:val="00C2190A"/>
    <w:rsid w:val="00C21916"/>
    <w:rsid w:val="00C21988"/>
    <w:rsid w:val="00C21A1A"/>
    <w:rsid w:val="00C21C34"/>
    <w:rsid w:val="00C21C52"/>
    <w:rsid w:val="00C21D49"/>
    <w:rsid w:val="00C21ED5"/>
    <w:rsid w:val="00C221EC"/>
    <w:rsid w:val="00C22249"/>
    <w:rsid w:val="00C2255B"/>
    <w:rsid w:val="00C226C9"/>
    <w:rsid w:val="00C226CD"/>
    <w:rsid w:val="00C227AC"/>
    <w:rsid w:val="00C229B7"/>
    <w:rsid w:val="00C22AB4"/>
    <w:rsid w:val="00C22BF3"/>
    <w:rsid w:val="00C22DD4"/>
    <w:rsid w:val="00C22DE6"/>
    <w:rsid w:val="00C22E24"/>
    <w:rsid w:val="00C230C2"/>
    <w:rsid w:val="00C23254"/>
    <w:rsid w:val="00C23269"/>
    <w:rsid w:val="00C232EE"/>
    <w:rsid w:val="00C2332A"/>
    <w:rsid w:val="00C23508"/>
    <w:rsid w:val="00C23573"/>
    <w:rsid w:val="00C2361F"/>
    <w:rsid w:val="00C236BA"/>
    <w:rsid w:val="00C23754"/>
    <w:rsid w:val="00C23822"/>
    <w:rsid w:val="00C2398C"/>
    <w:rsid w:val="00C239EF"/>
    <w:rsid w:val="00C23A38"/>
    <w:rsid w:val="00C23B53"/>
    <w:rsid w:val="00C23B5A"/>
    <w:rsid w:val="00C23B9A"/>
    <w:rsid w:val="00C23CF5"/>
    <w:rsid w:val="00C23F90"/>
    <w:rsid w:val="00C23FE9"/>
    <w:rsid w:val="00C2405A"/>
    <w:rsid w:val="00C241E3"/>
    <w:rsid w:val="00C24294"/>
    <w:rsid w:val="00C243B2"/>
    <w:rsid w:val="00C24559"/>
    <w:rsid w:val="00C245ED"/>
    <w:rsid w:val="00C24638"/>
    <w:rsid w:val="00C246C1"/>
    <w:rsid w:val="00C2484D"/>
    <w:rsid w:val="00C248FF"/>
    <w:rsid w:val="00C24918"/>
    <w:rsid w:val="00C24996"/>
    <w:rsid w:val="00C24A02"/>
    <w:rsid w:val="00C24D56"/>
    <w:rsid w:val="00C24DCB"/>
    <w:rsid w:val="00C24F62"/>
    <w:rsid w:val="00C251AA"/>
    <w:rsid w:val="00C251C5"/>
    <w:rsid w:val="00C2544B"/>
    <w:rsid w:val="00C25487"/>
    <w:rsid w:val="00C2560A"/>
    <w:rsid w:val="00C25917"/>
    <w:rsid w:val="00C25993"/>
    <w:rsid w:val="00C25BF1"/>
    <w:rsid w:val="00C25C4D"/>
    <w:rsid w:val="00C25DE3"/>
    <w:rsid w:val="00C25E73"/>
    <w:rsid w:val="00C25FE8"/>
    <w:rsid w:val="00C2616C"/>
    <w:rsid w:val="00C26360"/>
    <w:rsid w:val="00C26590"/>
    <w:rsid w:val="00C26B5B"/>
    <w:rsid w:val="00C26E08"/>
    <w:rsid w:val="00C26F48"/>
    <w:rsid w:val="00C26FB5"/>
    <w:rsid w:val="00C26FFB"/>
    <w:rsid w:val="00C2706D"/>
    <w:rsid w:val="00C27113"/>
    <w:rsid w:val="00C271CF"/>
    <w:rsid w:val="00C27265"/>
    <w:rsid w:val="00C272B9"/>
    <w:rsid w:val="00C273F2"/>
    <w:rsid w:val="00C2749B"/>
    <w:rsid w:val="00C276D9"/>
    <w:rsid w:val="00C27729"/>
    <w:rsid w:val="00C2798C"/>
    <w:rsid w:val="00C27A15"/>
    <w:rsid w:val="00C27A33"/>
    <w:rsid w:val="00C27B7F"/>
    <w:rsid w:val="00C27BC3"/>
    <w:rsid w:val="00C27C76"/>
    <w:rsid w:val="00C27D38"/>
    <w:rsid w:val="00C27DB1"/>
    <w:rsid w:val="00C27EA9"/>
    <w:rsid w:val="00C27F57"/>
    <w:rsid w:val="00C27FB6"/>
    <w:rsid w:val="00C3012B"/>
    <w:rsid w:val="00C301E4"/>
    <w:rsid w:val="00C30511"/>
    <w:rsid w:val="00C3058B"/>
    <w:rsid w:val="00C3059B"/>
    <w:rsid w:val="00C305B4"/>
    <w:rsid w:val="00C307FF"/>
    <w:rsid w:val="00C3084B"/>
    <w:rsid w:val="00C3092A"/>
    <w:rsid w:val="00C309FC"/>
    <w:rsid w:val="00C30B0B"/>
    <w:rsid w:val="00C30B11"/>
    <w:rsid w:val="00C30C97"/>
    <w:rsid w:val="00C30DDD"/>
    <w:rsid w:val="00C30F25"/>
    <w:rsid w:val="00C30F27"/>
    <w:rsid w:val="00C31025"/>
    <w:rsid w:val="00C310C2"/>
    <w:rsid w:val="00C3141B"/>
    <w:rsid w:val="00C318C5"/>
    <w:rsid w:val="00C31B18"/>
    <w:rsid w:val="00C31C91"/>
    <w:rsid w:val="00C31C92"/>
    <w:rsid w:val="00C31C97"/>
    <w:rsid w:val="00C31D63"/>
    <w:rsid w:val="00C31E6D"/>
    <w:rsid w:val="00C31E86"/>
    <w:rsid w:val="00C31FD3"/>
    <w:rsid w:val="00C31FE0"/>
    <w:rsid w:val="00C32107"/>
    <w:rsid w:val="00C32108"/>
    <w:rsid w:val="00C32112"/>
    <w:rsid w:val="00C321E8"/>
    <w:rsid w:val="00C3224E"/>
    <w:rsid w:val="00C322BF"/>
    <w:rsid w:val="00C3231B"/>
    <w:rsid w:val="00C32512"/>
    <w:rsid w:val="00C32570"/>
    <w:rsid w:val="00C32747"/>
    <w:rsid w:val="00C32769"/>
    <w:rsid w:val="00C32915"/>
    <w:rsid w:val="00C3291E"/>
    <w:rsid w:val="00C3291F"/>
    <w:rsid w:val="00C32961"/>
    <w:rsid w:val="00C32B20"/>
    <w:rsid w:val="00C32C1D"/>
    <w:rsid w:val="00C32D22"/>
    <w:rsid w:val="00C32DF1"/>
    <w:rsid w:val="00C32E94"/>
    <w:rsid w:val="00C32EB7"/>
    <w:rsid w:val="00C3312C"/>
    <w:rsid w:val="00C33231"/>
    <w:rsid w:val="00C334AA"/>
    <w:rsid w:val="00C336A7"/>
    <w:rsid w:val="00C3371D"/>
    <w:rsid w:val="00C33877"/>
    <w:rsid w:val="00C33952"/>
    <w:rsid w:val="00C339E0"/>
    <w:rsid w:val="00C33BD0"/>
    <w:rsid w:val="00C33D64"/>
    <w:rsid w:val="00C33DDF"/>
    <w:rsid w:val="00C33F42"/>
    <w:rsid w:val="00C33F4E"/>
    <w:rsid w:val="00C3400E"/>
    <w:rsid w:val="00C34121"/>
    <w:rsid w:val="00C34186"/>
    <w:rsid w:val="00C34231"/>
    <w:rsid w:val="00C34325"/>
    <w:rsid w:val="00C34415"/>
    <w:rsid w:val="00C3441B"/>
    <w:rsid w:val="00C34444"/>
    <w:rsid w:val="00C344DD"/>
    <w:rsid w:val="00C34576"/>
    <w:rsid w:val="00C345E5"/>
    <w:rsid w:val="00C346D5"/>
    <w:rsid w:val="00C347D5"/>
    <w:rsid w:val="00C34AAD"/>
    <w:rsid w:val="00C34BCE"/>
    <w:rsid w:val="00C34C5C"/>
    <w:rsid w:val="00C34DBF"/>
    <w:rsid w:val="00C34DFF"/>
    <w:rsid w:val="00C34E50"/>
    <w:rsid w:val="00C350B6"/>
    <w:rsid w:val="00C3529D"/>
    <w:rsid w:val="00C3537D"/>
    <w:rsid w:val="00C3538D"/>
    <w:rsid w:val="00C35536"/>
    <w:rsid w:val="00C355F1"/>
    <w:rsid w:val="00C35697"/>
    <w:rsid w:val="00C35887"/>
    <w:rsid w:val="00C3595D"/>
    <w:rsid w:val="00C359F2"/>
    <w:rsid w:val="00C35AFE"/>
    <w:rsid w:val="00C35B65"/>
    <w:rsid w:val="00C35BCF"/>
    <w:rsid w:val="00C35D6D"/>
    <w:rsid w:val="00C35DB3"/>
    <w:rsid w:val="00C35F51"/>
    <w:rsid w:val="00C3615D"/>
    <w:rsid w:val="00C36191"/>
    <w:rsid w:val="00C36284"/>
    <w:rsid w:val="00C3630C"/>
    <w:rsid w:val="00C3635B"/>
    <w:rsid w:val="00C36535"/>
    <w:rsid w:val="00C3653A"/>
    <w:rsid w:val="00C36935"/>
    <w:rsid w:val="00C3693C"/>
    <w:rsid w:val="00C36A7F"/>
    <w:rsid w:val="00C36B72"/>
    <w:rsid w:val="00C36C28"/>
    <w:rsid w:val="00C36CCB"/>
    <w:rsid w:val="00C36D74"/>
    <w:rsid w:val="00C36ECE"/>
    <w:rsid w:val="00C36ED2"/>
    <w:rsid w:val="00C36F93"/>
    <w:rsid w:val="00C36F9B"/>
    <w:rsid w:val="00C36FB6"/>
    <w:rsid w:val="00C36FE1"/>
    <w:rsid w:val="00C3702F"/>
    <w:rsid w:val="00C37041"/>
    <w:rsid w:val="00C37215"/>
    <w:rsid w:val="00C372B3"/>
    <w:rsid w:val="00C372E5"/>
    <w:rsid w:val="00C375E8"/>
    <w:rsid w:val="00C375EB"/>
    <w:rsid w:val="00C376F8"/>
    <w:rsid w:val="00C3778A"/>
    <w:rsid w:val="00C37801"/>
    <w:rsid w:val="00C37820"/>
    <w:rsid w:val="00C3783F"/>
    <w:rsid w:val="00C3789C"/>
    <w:rsid w:val="00C378EA"/>
    <w:rsid w:val="00C379C7"/>
    <w:rsid w:val="00C379D3"/>
    <w:rsid w:val="00C37C31"/>
    <w:rsid w:val="00C37D56"/>
    <w:rsid w:val="00C37F94"/>
    <w:rsid w:val="00C40037"/>
    <w:rsid w:val="00C400A4"/>
    <w:rsid w:val="00C400D4"/>
    <w:rsid w:val="00C40201"/>
    <w:rsid w:val="00C404FE"/>
    <w:rsid w:val="00C40536"/>
    <w:rsid w:val="00C405FE"/>
    <w:rsid w:val="00C40651"/>
    <w:rsid w:val="00C40755"/>
    <w:rsid w:val="00C4083B"/>
    <w:rsid w:val="00C409E3"/>
    <w:rsid w:val="00C40B4D"/>
    <w:rsid w:val="00C40E94"/>
    <w:rsid w:val="00C40F03"/>
    <w:rsid w:val="00C40F37"/>
    <w:rsid w:val="00C412F1"/>
    <w:rsid w:val="00C41478"/>
    <w:rsid w:val="00C41638"/>
    <w:rsid w:val="00C41781"/>
    <w:rsid w:val="00C417AD"/>
    <w:rsid w:val="00C41A24"/>
    <w:rsid w:val="00C41A7E"/>
    <w:rsid w:val="00C41B2F"/>
    <w:rsid w:val="00C41C1A"/>
    <w:rsid w:val="00C41D25"/>
    <w:rsid w:val="00C41DF4"/>
    <w:rsid w:val="00C41E0A"/>
    <w:rsid w:val="00C41F54"/>
    <w:rsid w:val="00C42188"/>
    <w:rsid w:val="00C42216"/>
    <w:rsid w:val="00C422B0"/>
    <w:rsid w:val="00C422E7"/>
    <w:rsid w:val="00C4244B"/>
    <w:rsid w:val="00C42520"/>
    <w:rsid w:val="00C425A1"/>
    <w:rsid w:val="00C4264E"/>
    <w:rsid w:val="00C426A8"/>
    <w:rsid w:val="00C426EF"/>
    <w:rsid w:val="00C427C8"/>
    <w:rsid w:val="00C427FD"/>
    <w:rsid w:val="00C42954"/>
    <w:rsid w:val="00C42A03"/>
    <w:rsid w:val="00C42D85"/>
    <w:rsid w:val="00C42E30"/>
    <w:rsid w:val="00C42E6B"/>
    <w:rsid w:val="00C42FBC"/>
    <w:rsid w:val="00C43098"/>
    <w:rsid w:val="00C4318D"/>
    <w:rsid w:val="00C4352F"/>
    <w:rsid w:val="00C4374B"/>
    <w:rsid w:val="00C4375E"/>
    <w:rsid w:val="00C43820"/>
    <w:rsid w:val="00C43872"/>
    <w:rsid w:val="00C43A85"/>
    <w:rsid w:val="00C43B10"/>
    <w:rsid w:val="00C43BE9"/>
    <w:rsid w:val="00C43CBA"/>
    <w:rsid w:val="00C43F70"/>
    <w:rsid w:val="00C43FDB"/>
    <w:rsid w:val="00C440E2"/>
    <w:rsid w:val="00C444AB"/>
    <w:rsid w:val="00C4453D"/>
    <w:rsid w:val="00C44540"/>
    <w:rsid w:val="00C44652"/>
    <w:rsid w:val="00C44796"/>
    <w:rsid w:val="00C447E8"/>
    <w:rsid w:val="00C44862"/>
    <w:rsid w:val="00C448C1"/>
    <w:rsid w:val="00C4493D"/>
    <w:rsid w:val="00C44BC6"/>
    <w:rsid w:val="00C44D2D"/>
    <w:rsid w:val="00C44DEB"/>
    <w:rsid w:val="00C44E16"/>
    <w:rsid w:val="00C44E2A"/>
    <w:rsid w:val="00C4505E"/>
    <w:rsid w:val="00C45071"/>
    <w:rsid w:val="00C45140"/>
    <w:rsid w:val="00C4514A"/>
    <w:rsid w:val="00C451AC"/>
    <w:rsid w:val="00C4532B"/>
    <w:rsid w:val="00C454E6"/>
    <w:rsid w:val="00C45611"/>
    <w:rsid w:val="00C45626"/>
    <w:rsid w:val="00C456AA"/>
    <w:rsid w:val="00C456DD"/>
    <w:rsid w:val="00C45761"/>
    <w:rsid w:val="00C45766"/>
    <w:rsid w:val="00C458F5"/>
    <w:rsid w:val="00C45BDE"/>
    <w:rsid w:val="00C45E30"/>
    <w:rsid w:val="00C45E8B"/>
    <w:rsid w:val="00C45EF3"/>
    <w:rsid w:val="00C45FCE"/>
    <w:rsid w:val="00C4617A"/>
    <w:rsid w:val="00C462B1"/>
    <w:rsid w:val="00C462C2"/>
    <w:rsid w:val="00C46348"/>
    <w:rsid w:val="00C4639B"/>
    <w:rsid w:val="00C46401"/>
    <w:rsid w:val="00C4649D"/>
    <w:rsid w:val="00C464D9"/>
    <w:rsid w:val="00C467AF"/>
    <w:rsid w:val="00C467B6"/>
    <w:rsid w:val="00C4696E"/>
    <w:rsid w:val="00C46A32"/>
    <w:rsid w:val="00C46A3E"/>
    <w:rsid w:val="00C46C8A"/>
    <w:rsid w:val="00C46CB7"/>
    <w:rsid w:val="00C46D5C"/>
    <w:rsid w:val="00C46E8B"/>
    <w:rsid w:val="00C46F04"/>
    <w:rsid w:val="00C46F9E"/>
    <w:rsid w:val="00C4705C"/>
    <w:rsid w:val="00C4709D"/>
    <w:rsid w:val="00C471BB"/>
    <w:rsid w:val="00C47496"/>
    <w:rsid w:val="00C47736"/>
    <w:rsid w:val="00C47753"/>
    <w:rsid w:val="00C477BE"/>
    <w:rsid w:val="00C4790B"/>
    <w:rsid w:val="00C47B30"/>
    <w:rsid w:val="00C47C34"/>
    <w:rsid w:val="00C500C5"/>
    <w:rsid w:val="00C5018B"/>
    <w:rsid w:val="00C50739"/>
    <w:rsid w:val="00C5076E"/>
    <w:rsid w:val="00C507D2"/>
    <w:rsid w:val="00C50910"/>
    <w:rsid w:val="00C509E6"/>
    <w:rsid w:val="00C50A46"/>
    <w:rsid w:val="00C50A48"/>
    <w:rsid w:val="00C50AC5"/>
    <w:rsid w:val="00C50C0A"/>
    <w:rsid w:val="00C50E6A"/>
    <w:rsid w:val="00C51078"/>
    <w:rsid w:val="00C51099"/>
    <w:rsid w:val="00C510D9"/>
    <w:rsid w:val="00C511B2"/>
    <w:rsid w:val="00C51253"/>
    <w:rsid w:val="00C515C8"/>
    <w:rsid w:val="00C516B8"/>
    <w:rsid w:val="00C5185F"/>
    <w:rsid w:val="00C51869"/>
    <w:rsid w:val="00C51948"/>
    <w:rsid w:val="00C51ADB"/>
    <w:rsid w:val="00C51D8C"/>
    <w:rsid w:val="00C520CE"/>
    <w:rsid w:val="00C52241"/>
    <w:rsid w:val="00C522C7"/>
    <w:rsid w:val="00C52340"/>
    <w:rsid w:val="00C52342"/>
    <w:rsid w:val="00C524EA"/>
    <w:rsid w:val="00C52646"/>
    <w:rsid w:val="00C529BE"/>
    <w:rsid w:val="00C52B1B"/>
    <w:rsid w:val="00C52D51"/>
    <w:rsid w:val="00C52DC4"/>
    <w:rsid w:val="00C52DE2"/>
    <w:rsid w:val="00C52E58"/>
    <w:rsid w:val="00C52EF5"/>
    <w:rsid w:val="00C52F7C"/>
    <w:rsid w:val="00C52FEC"/>
    <w:rsid w:val="00C531FE"/>
    <w:rsid w:val="00C53493"/>
    <w:rsid w:val="00C53544"/>
    <w:rsid w:val="00C535B4"/>
    <w:rsid w:val="00C5368C"/>
    <w:rsid w:val="00C53705"/>
    <w:rsid w:val="00C53932"/>
    <w:rsid w:val="00C53BCD"/>
    <w:rsid w:val="00C53D00"/>
    <w:rsid w:val="00C53EB6"/>
    <w:rsid w:val="00C53F9E"/>
    <w:rsid w:val="00C5413E"/>
    <w:rsid w:val="00C54380"/>
    <w:rsid w:val="00C5443E"/>
    <w:rsid w:val="00C5443F"/>
    <w:rsid w:val="00C547B5"/>
    <w:rsid w:val="00C547B9"/>
    <w:rsid w:val="00C54895"/>
    <w:rsid w:val="00C54B0C"/>
    <w:rsid w:val="00C54B9D"/>
    <w:rsid w:val="00C54BC1"/>
    <w:rsid w:val="00C54BFC"/>
    <w:rsid w:val="00C54C62"/>
    <w:rsid w:val="00C54CC2"/>
    <w:rsid w:val="00C54D9B"/>
    <w:rsid w:val="00C54DB0"/>
    <w:rsid w:val="00C54EB6"/>
    <w:rsid w:val="00C55036"/>
    <w:rsid w:val="00C5505E"/>
    <w:rsid w:val="00C55091"/>
    <w:rsid w:val="00C550CA"/>
    <w:rsid w:val="00C550CB"/>
    <w:rsid w:val="00C550DD"/>
    <w:rsid w:val="00C553A0"/>
    <w:rsid w:val="00C5548E"/>
    <w:rsid w:val="00C5592F"/>
    <w:rsid w:val="00C55A07"/>
    <w:rsid w:val="00C55BF8"/>
    <w:rsid w:val="00C55D40"/>
    <w:rsid w:val="00C55DF6"/>
    <w:rsid w:val="00C56008"/>
    <w:rsid w:val="00C56119"/>
    <w:rsid w:val="00C56200"/>
    <w:rsid w:val="00C56257"/>
    <w:rsid w:val="00C562E5"/>
    <w:rsid w:val="00C56441"/>
    <w:rsid w:val="00C56645"/>
    <w:rsid w:val="00C567B6"/>
    <w:rsid w:val="00C567D5"/>
    <w:rsid w:val="00C56801"/>
    <w:rsid w:val="00C568F3"/>
    <w:rsid w:val="00C56959"/>
    <w:rsid w:val="00C56A33"/>
    <w:rsid w:val="00C56BCF"/>
    <w:rsid w:val="00C56C7C"/>
    <w:rsid w:val="00C56C98"/>
    <w:rsid w:val="00C56CA7"/>
    <w:rsid w:val="00C56F08"/>
    <w:rsid w:val="00C5707F"/>
    <w:rsid w:val="00C57233"/>
    <w:rsid w:val="00C5729A"/>
    <w:rsid w:val="00C572FC"/>
    <w:rsid w:val="00C5739A"/>
    <w:rsid w:val="00C573EF"/>
    <w:rsid w:val="00C574FC"/>
    <w:rsid w:val="00C57592"/>
    <w:rsid w:val="00C57675"/>
    <w:rsid w:val="00C5767B"/>
    <w:rsid w:val="00C57744"/>
    <w:rsid w:val="00C57848"/>
    <w:rsid w:val="00C57903"/>
    <w:rsid w:val="00C5797F"/>
    <w:rsid w:val="00C57BE8"/>
    <w:rsid w:val="00C57C8F"/>
    <w:rsid w:val="00C57D08"/>
    <w:rsid w:val="00C57E2D"/>
    <w:rsid w:val="00C57E45"/>
    <w:rsid w:val="00C57E93"/>
    <w:rsid w:val="00C57FCA"/>
    <w:rsid w:val="00C60139"/>
    <w:rsid w:val="00C60156"/>
    <w:rsid w:val="00C60394"/>
    <w:rsid w:val="00C603AD"/>
    <w:rsid w:val="00C6064A"/>
    <w:rsid w:val="00C60769"/>
    <w:rsid w:val="00C6078D"/>
    <w:rsid w:val="00C6086F"/>
    <w:rsid w:val="00C608A6"/>
    <w:rsid w:val="00C609EA"/>
    <w:rsid w:val="00C60A21"/>
    <w:rsid w:val="00C60B1C"/>
    <w:rsid w:val="00C60BB9"/>
    <w:rsid w:val="00C60C58"/>
    <w:rsid w:val="00C60C9B"/>
    <w:rsid w:val="00C60D06"/>
    <w:rsid w:val="00C610EB"/>
    <w:rsid w:val="00C6113A"/>
    <w:rsid w:val="00C6131A"/>
    <w:rsid w:val="00C613FC"/>
    <w:rsid w:val="00C6141B"/>
    <w:rsid w:val="00C614A3"/>
    <w:rsid w:val="00C61862"/>
    <w:rsid w:val="00C618AF"/>
    <w:rsid w:val="00C61919"/>
    <w:rsid w:val="00C61955"/>
    <w:rsid w:val="00C619DD"/>
    <w:rsid w:val="00C61A61"/>
    <w:rsid w:val="00C61B78"/>
    <w:rsid w:val="00C61B8E"/>
    <w:rsid w:val="00C61BC0"/>
    <w:rsid w:val="00C61CDF"/>
    <w:rsid w:val="00C61DAC"/>
    <w:rsid w:val="00C61ECD"/>
    <w:rsid w:val="00C61F23"/>
    <w:rsid w:val="00C61FAD"/>
    <w:rsid w:val="00C6228A"/>
    <w:rsid w:val="00C62370"/>
    <w:rsid w:val="00C623EB"/>
    <w:rsid w:val="00C6257D"/>
    <w:rsid w:val="00C626C9"/>
    <w:rsid w:val="00C627C3"/>
    <w:rsid w:val="00C62884"/>
    <w:rsid w:val="00C628CD"/>
    <w:rsid w:val="00C62AB0"/>
    <w:rsid w:val="00C62AC3"/>
    <w:rsid w:val="00C62B20"/>
    <w:rsid w:val="00C62B5B"/>
    <w:rsid w:val="00C62CF8"/>
    <w:rsid w:val="00C62DD6"/>
    <w:rsid w:val="00C62EBB"/>
    <w:rsid w:val="00C62EDB"/>
    <w:rsid w:val="00C6316A"/>
    <w:rsid w:val="00C633AE"/>
    <w:rsid w:val="00C633F4"/>
    <w:rsid w:val="00C63408"/>
    <w:rsid w:val="00C63498"/>
    <w:rsid w:val="00C634A8"/>
    <w:rsid w:val="00C63638"/>
    <w:rsid w:val="00C639D6"/>
    <w:rsid w:val="00C63CAC"/>
    <w:rsid w:val="00C63D90"/>
    <w:rsid w:val="00C63E28"/>
    <w:rsid w:val="00C63E59"/>
    <w:rsid w:val="00C63E9A"/>
    <w:rsid w:val="00C63EA8"/>
    <w:rsid w:val="00C63FC2"/>
    <w:rsid w:val="00C6408B"/>
    <w:rsid w:val="00C640D6"/>
    <w:rsid w:val="00C64123"/>
    <w:rsid w:val="00C6420C"/>
    <w:rsid w:val="00C6427C"/>
    <w:rsid w:val="00C64369"/>
    <w:rsid w:val="00C64373"/>
    <w:rsid w:val="00C643CE"/>
    <w:rsid w:val="00C643EB"/>
    <w:rsid w:val="00C64549"/>
    <w:rsid w:val="00C645C5"/>
    <w:rsid w:val="00C645EB"/>
    <w:rsid w:val="00C64665"/>
    <w:rsid w:val="00C646FE"/>
    <w:rsid w:val="00C64793"/>
    <w:rsid w:val="00C6479F"/>
    <w:rsid w:val="00C647A6"/>
    <w:rsid w:val="00C649E0"/>
    <w:rsid w:val="00C649E4"/>
    <w:rsid w:val="00C64AC0"/>
    <w:rsid w:val="00C64B39"/>
    <w:rsid w:val="00C64D5B"/>
    <w:rsid w:val="00C64DAB"/>
    <w:rsid w:val="00C64E0C"/>
    <w:rsid w:val="00C64E27"/>
    <w:rsid w:val="00C6506D"/>
    <w:rsid w:val="00C65134"/>
    <w:rsid w:val="00C651D3"/>
    <w:rsid w:val="00C653A2"/>
    <w:rsid w:val="00C654F1"/>
    <w:rsid w:val="00C65546"/>
    <w:rsid w:val="00C655A1"/>
    <w:rsid w:val="00C655BD"/>
    <w:rsid w:val="00C65677"/>
    <w:rsid w:val="00C6579C"/>
    <w:rsid w:val="00C657AE"/>
    <w:rsid w:val="00C6580C"/>
    <w:rsid w:val="00C65827"/>
    <w:rsid w:val="00C6586C"/>
    <w:rsid w:val="00C659B9"/>
    <w:rsid w:val="00C65A8E"/>
    <w:rsid w:val="00C65AE1"/>
    <w:rsid w:val="00C65BF0"/>
    <w:rsid w:val="00C65C27"/>
    <w:rsid w:val="00C65C68"/>
    <w:rsid w:val="00C660E9"/>
    <w:rsid w:val="00C66303"/>
    <w:rsid w:val="00C6646E"/>
    <w:rsid w:val="00C66620"/>
    <w:rsid w:val="00C66663"/>
    <w:rsid w:val="00C66735"/>
    <w:rsid w:val="00C6673E"/>
    <w:rsid w:val="00C66B9F"/>
    <w:rsid w:val="00C66BFA"/>
    <w:rsid w:val="00C66D3E"/>
    <w:rsid w:val="00C670FF"/>
    <w:rsid w:val="00C6727A"/>
    <w:rsid w:val="00C673DD"/>
    <w:rsid w:val="00C673F0"/>
    <w:rsid w:val="00C674E1"/>
    <w:rsid w:val="00C675A7"/>
    <w:rsid w:val="00C67653"/>
    <w:rsid w:val="00C676D7"/>
    <w:rsid w:val="00C67741"/>
    <w:rsid w:val="00C67754"/>
    <w:rsid w:val="00C6777C"/>
    <w:rsid w:val="00C677FE"/>
    <w:rsid w:val="00C67B97"/>
    <w:rsid w:val="00C67BEB"/>
    <w:rsid w:val="00C67C0C"/>
    <w:rsid w:val="00C67C43"/>
    <w:rsid w:val="00C67C47"/>
    <w:rsid w:val="00C67EAA"/>
    <w:rsid w:val="00C67F84"/>
    <w:rsid w:val="00C67FD0"/>
    <w:rsid w:val="00C700D5"/>
    <w:rsid w:val="00C704E9"/>
    <w:rsid w:val="00C704F7"/>
    <w:rsid w:val="00C7071A"/>
    <w:rsid w:val="00C7083E"/>
    <w:rsid w:val="00C70997"/>
    <w:rsid w:val="00C709A0"/>
    <w:rsid w:val="00C70AEA"/>
    <w:rsid w:val="00C70AF7"/>
    <w:rsid w:val="00C70C98"/>
    <w:rsid w:val="00C70FFD"/>
    <w:rsid w:val="00C710E5"/>
    <w:rsid w:val="00C711CE"/>
    <w:rsid w:val="00C711E9"/>
    <w:rsid w:val="00C71399"/>
    <w:rsid w:val="00C713E8"/>
    <w:rsid w:val="00C71446"/>
    <w:rsid w:val="00C71602"/>
    <w:rsid w:val="00C7161E"/>
    <w:rsid w:val="00C716A9"/>
    <w:rsid w:val="00C71712"/>
    <w:rsid w:val="00C7173B"/>
    <w:rsid w:val="00C71876"/>
    <w:rsid w:val="00C71C30"/>
    <w:rsid w:val="00C71C85"/>
    <w:rsid w:val="00C71F5F"/>
    <w:rsid w:val="00C71F87"/>
    <w:rsid w:val="00C724D2"/>
    <w:rsid w:val="00C726F2"/>
    <w:rsid w:val="00C72746"/>
    <w:rsid w:val="00C72871"/>
    <w:rsid w:val="00C72958"/>
    <w:rsid w:val="00C72A22"/>
    <w:rsid w:val="00C72C8F"/>
    <w:rsid w:val="00C72CA6"/>
    <w:rsid w:val="00C72CFB"/>
    <w:rsid w:val="00C72E83"/>
    <w:rsid w:val="00C7308D"/>
    <w:rsid w:val="00C732CF"/>
    <w:rsid w:val="00C7332D"/>
    <w:rsid w:val="00C734C6"/>
    <w:rsid w:val="00C735D8"/>
    <w:rsid w:val="00C735F1"/>
    <w:rsid w:val="00C735F7"/>
    <w:rsid w:val="00C73790"/>
    <w:rsid w:val="00C73869"/>
    <w:rsid w:val="00C7397F"/>
    <w:rsid w:val="00C739BA"/>
    <w:rsid w:val="00C739D6"/>
    <w:rsid w:val="00C73D37"/>
    <w:rsid w:val="00C73E36"/>
    <w:rsid w:val="00C73E9A"/>
    <w:rsid w:val="00C73FF4"/>
    <w:rsid w:val="00C74085"/>
    <w:rsid w:val="00C74120"/>
    <w:rsid w:val="00C74135"/>
    <w:rsid w:val="00C742D5"/>
    <w:rsid w:val="00C74554"/>
    <w:rsid w:val="00C745E8"/>
    <w:rsid w:val="00C7461B"/>
    <w:rsid w:val="00C746C4"/>
    <w:rsid w:val="00C747FC"/>
    <w:rsid w:val="00C748A2"/>
    <w:rsid w:val="00C74AE0"/>
    <w:rsid w:val="00C74B1C"/>
    <w:rsid w:val="00C74CBF"/>
    <w:rsid w:val="00C74D5F"/>
    <w:rsid w:val="00C74E78"/>
    <w:rsid w:val="00C74EDD"/>
    <w:rsid w:val="00C74EF9"/>
    <w:rsid w:val="00C74F1D"/>
    <w:rsid w:val="00C75266"/>
    <w:rsid w:val="00C759C7"/>
    <w:rsid w:val="00C75EED"/>
    <w:rsid w:val="00C7603D"/>
    <w:rsid w:val="00C76076"/>
    <w:rsid w:val="00C76094"/>
    <w:rsid w:val="00C760E8"/>
    <w:rsid w:val="00C760FB"/>
    <w:rsid w:val="00C761F0"/>
    <w:rsid w:val="00C76204"/>
    <w:rsid w:val="00C76285"/>
    <w:rsid w:val="00C76318"/>
    <w:rsid w:val="00C76350"/>
    <w:rsid w:val="00C765A0"/>
    <w:rsid w:val="00C76A75"/>
    <w:rsid w:val="00C76AB4"/>
    <w:rsid w:val="00C76BF0"/>
    <w:rsid w:val="00C76CE2"/>
    <w:rsid w:val="00C76D3B"/>
    <w:rsid w:val="00C76F22"/>
    <w:rsid w:val="00C77028"/>
    <w:rsid w:val="00C770EB"/>
    <w:rsid w:val="00C77145"/>
    <w:rsid w:val="00C77261"/>
    <w:rsid w:val="00C772CF"/>
    <w:rsid w:val="00C776CB"/>
    <w:rsid w:val="00C778B8"/>
    <w:rsid w:val="00C779DC"/>
    <w:rsid w:val="00C77A74"/>
    <w:rsid w:val="00C77B6C"/>
    <w:rsid w:val="00C77B8F"/>
    <w:rsid w:val="00C77CF8"/>
    <w:rsid w:val="00C77D63"/>
    <w:rsid w:val="00C8000C"/>
    <w:rsid w:val="00C8010A"/>
    <w:rsid w:val="00C8010B"/>
    <w:rsid w:val="00C80301"/>
    <w:rsid w:val="00C80322"/>
    <w:rsid w:val="00C80417"/>
    <w:rsid w:val="00C80457"/>
    <w:rsid w:val="00C8052D"/>
    <w:rsid w:val="00C80616"/>
    <w:rsid w:val="00C807F8"/>
    <w:rsid w:val="00C80A86"/>
    <w:rsid w:val="00C80C56"/>
    <w:rsid w:val="00C80CDF"/>
    <w:rsid w:val="00C80EA4"/>
    <w:rsid w:val="00C80EC8"/>
    <w:rsid w:val="00C80FD3"/>
    <w:rsid w:val="00C810FE"/>
    <w:rsid w:val="00C811C2"/>
    <w:rsid w:val="00C81341"/>
    <w:rsid w:val="00C81368"/>
    <w:rsid w:val="00C81440"/>
    <w:rsid w:val="00C81816"/>
    <w:rsid w:val="00C81A77"/>
    <w:rsid w:val="00C81B00"/>
    <w:rsid w:val="00C81B4F"/>
    <w:rsid w:val="00C81CF5"/>
    <w:rsid w:val="00C81D1F"/>
    <w:rsid w:val="00C81E0B"/>
    <w:rsid w:val="00C81E7F"/>
    <w:rsid w:val="00C82138"/>
    <w:rsid w:val="00C8224C"/>
    <w:rsid w:val="00C822F3"/>
    <w:rsid w:val="00C8236D"/>
    <w:rsid w:val="00C8249F"/>
    <w:rsid w:val="00C82611"/>
    <w:rsid w:val="00C82787"/>
    <w:rsid w:val="00C82825"/>
    <w:rsid w:val="00C82A30"/>
    <w:rsid w:val="00C82B01"/>
    <w:rsid w:val="00C82B5E"/>
    <w:rsid w:val="00C82B9E"/>
    <w:rsid w:val="00C82BD9"/>
    <w:rsid w:val="00C82D47"/>
    <w:rsid w:val="00C82EE6"/>
    <w:rsid w:val="00C832B5"/>
    <w:rsid w:val="00C8337C"/>
    <w:rsid w:val="00C83437"/>
    <w:rsid w:val="00C8345B"/>
    <w:rsid w:val="00C834D5"/>
    <w:rsid w:val="00C834F8"/>
    <w:rsid w:val="00C8367A"/>
    <w:rsid w:val="00C836D3"/>
    <w:rsid w:val="00C8376F"/>
    <w:rsid w:val="00C837F5"/>
    <w:rsid w:val="00C83BA4"/>
    <w:rsid w:val="00C83BC1"/>
    <w:rsid w:val="00C83BC9"/>
    <w:rsid w:val="00C83C24"/>
    <w:rsid w:val="00C83C5C"/>
    <w:rsid w:val="00C83E57"/>
    <w:rsid w:val="00C842D6"/>
    <w:rsid w:val="00C8436C"/>
    <w:rsid w:val="00C84384"/>
    <w:rsid w:val="00C8471F"/>
    <w:rsid w:val="00C8479F"/>
    <w:rsid w:val="00C847D0"/>
    <w:rsid w:val="00C849CD"/>
    <w:rsid w:val="00C84A56"/>
    <w:rsid w:val="00C84A7D"/>
    <w:rsid w:val="00C84A92"/>
    <w:rsid w:val="00C84AC8"/>
    <w:rsid w:val="00C84D77"/>
    <w:rsid w:val="00C84E12"/>
    <w:rsid w:val="00C84E48"/>
    <w:rsid w:val="00C84EC5"/>
    <w:rsid w:val="00C850AB"/>
    <w:rsid w:val="00C8514F"/>
    <w:rsid w:val="00C85416"/>
    <w:rsid w:val="00C85481"/>
    <w:rsid w:val="00C8551C"/>
    <w:rsid w:val="00C8555C"/>
    <w:rsid w:val="00C85569"/>
    <w:rsid w:val="00C8562B"/>
    <w:rsid w:val="00C85664"/>
    <w:rsid w:val="00C85727"/>
    <w:rsid w:val="00C85D1F"/>
    <w:rsid w:val="00C85E86"/>
    <w:rsid w:val="00C85FAD"/>
    <w:rsid w:val="00C86126"/>
    <w:rsid w:val="00C86390"/>
    <w:rsid w:val="00C863B3"/>
    <w:rsid w:val="00C863F5"/>
    <w:rsid w:val="00C864C6"/>
    <w:rsid w:val="00C865FF"/>
    <w:rsid w:val="00C869AC"/>
    <w:rsid w:val="00C86A79"/>
    <w:rsid w:val="00C86AC4"/>
    <w:rsid w:val="00C86ADF"/>
    <w:rsid w:val="00C86D67"/>
    <w:rsid w:val="00C86DE9"/>
    <w:rsid w:val="00C87086"/>
    <w:rsid w:val="00C871A3"/>
    <w:rsid w:val="00C872A7"/>
    <w:rsid w:val="00C87324"/>
    <w:rsid w:val="00C87385"/>
    <w:rsid w:val="00C87527"/>
    <w:rsid w:val="00C8756A"/>
    <w:rsid w:val="00C875CC"/>
    <w:rsid w:val="00C8766F"/>
    <w:rsid w:val="00C87696"/>
    <w:rsid w:val="00C87893"/>
    <w:rsid w:val="00C878B8"/>
    <w:rsid w:val="00C8795E"/>
    <w:rsid w:val="00C879E1"/>
    <w:rsid w:val="00C879F9"/>
    <w:rsid w:val="00C87ABE"/>
    <w:rsid w:val="00C87E18"/>
    <w:rsid w:val="00C87E22"/>
    <w:rsid w:val="00C87F68"/>
    <w:rsid w:val="00C9003C"/>
    <w:rsid w:val="00C9009E"/>
    <w:rsid w:val="00C90149"/>
    <w:rsid w:val="00C905E6"/>
    <w:rsid w:val="00C905F0"/>
    <w:rsid w:val="00C90609"/>
    <w:rsid w:val="00C90849"/>
    <w:rsid w:val="00C90C40"/>
    <w:rsid w:val="00C90DEB"/>
    <w:rsid w:val="00C90ED3"/>
    <w:rsid w:val="00C90EEA"/>
    <w:rsid w:val="00C90F46"/>
    <w:rsid w:val="00C910BC"/>
    <w:rsid w:val="00C91346"/>
    <w:rsid w:val="00C9143A"/>
    <w:rsid w:val="00C914E5"/>
    <w:rsid w:val="00C917EB"/>
    <w:rsid w:val="00C917F3"/>
    <w:rsid w:val="00C91927"/>
    <w:rsid w:val="00C91990"/>
    <w:rsid w:val="00C91A2E"/>
    <w:rsid w:val="00C91AF5"/>
    <w:rsid w:val="00C91E44"/>
    <w:rsid w:val="00C91F30"/>
    <w:rsid w:val="00C91FBC"/>
    <w:rsid w:val="00C92209"/>
    <w:rsid w:val="00C923C8"/>
    <w:rsid w:val="00C9241F"/>
    <w:rsid w:val="00C924BC"/>
    <w:rsid w:val="00C924C2"/>
    <w:rsid w:val="00C924F7"/>
    <w:rsid w:val="00C9254F"/>
    <w:rsid w:val="00C92550"/>
    <w:rsid w:val="00C925EC"/>
    <w:rsid w:val="00C925F4"/>
    <w:rsid w:val="00C92A78"/>
    <w:rsid w:val="00C92B60"/>
    <w:rsid w:val="00C92C2D"/>
    <w:rsid w:val="00C92C73"/>
    <w:rsid w:val="00C92FEA"/>
    <w:rsid w:val="00C930CF"/>
    <w:rsid w:val="00C93127"/>
    <w:rsid w:val="00C9344D"/>
    <w:rsid w:val="00C9359D"/>
    <w:rsid w:val="00C9361E"/>
    <w:rsid w:val="00C9366A"/>
    <w:rsid w:val="00C93764"/>
    <w:rsid w:val="00C9379D"/>
    <w:rsid w:val="00C9391C"/>
    <w:rsid w:val="00C93A2D"/>
    <w:rsid w:val="00C93A5A"/>
    <w:rsid w:val="00C93ABE"/>
    <w:rsid w:val="00C93C10"/>
    <w:rsid w:val="00C93D1E"/>
    <w:rsid w:val="00C93DA3"/>
    <w:rsid w:val="00C93E18"/>
    <w:rsid w:val="00C93E6A"/>
    <w:rsid w:val="00C942C8"/>
    <w:rsid w:val="00C94583"/>
    <w:rsid w:val="00C9461B"/>
    <w:rsid w:val="00C94808"/>
    <w:rsid w:val="00C9486F"/>
    <w:rsid w:val="00C94944"/>
    <w:rsid w:val="00C949D3"/>
    <w:rsid w:val="00C94AC9"/>
    <w:rsid w:val="00C94B88"/>
    <w:rsid w:val="00C94D6A"/>
    <w:rsid w:val="00C94DCC"/>
    <w:rsid w:val="00C95155"/>
    <w:rsid w:val="00C951DE"/>
    <w:rsid w:val="00C9541A"/>
    <w:rsid w:val="00C9563C"/>
    <w:rsid w:val="00C95804"/>
    <w:rsid w:val="00C95895"/>
    <w:rsid w:val="00C95AC5"/>
    <w:rsid w:val="00C95B2C"/>
    <w:rsid w:val="00C95D42"/>
    <w:rsid w:val="00C962F9"/>
    <w:rsid w:val="00C96393"/>
    <w:rsid w:val="00C96429"/>
    <w:rsid w:val="00C96545"/>
    <w:rsid w:val="00C965AF"/>
    <w:rsid w:val="00C967CB"/>
    <w:rsid w:val="00C96824"/>
    <w:rsid w:val="00C9689C"/>
    <w:rsid w:val="00C96988"/>
    <w:rsid w:val="00C96ABB"/>
    <w:rsid w:val="00C96C3E"/>
    <w:rsid w:val="00C96D3F"/>
    <w:rsid w:val="00C96D89"/>
    <w:rsid w:val="00C96DF4"/>
    <w:rsid w:val="00C96F8E"/>
    <w:rsid w:val="00C9717D"/>
    <w:rsid w:val="00C97221"/>
    <w:rsid w:val="00C972F8"/>
    <w:rsid w:val="00C97363"/>
    <w:rsid w:val="00C97377"/>
    <w:rsid w:val="00C973CE"/>
    <w:rsid w:val="00C97478"/>
    <w:rsid w:val="00C977DE"/>
    <w:rsid w:val="00C97829"/>
    <w:rsid w:val="00C9795C"/>
    <w:rsid w:val="00C97978"/>
    <w:rsid w:val="00C97C62"/>
    <w:rsid w:val="00C97C64"/>
    <w:rsid w:val="00C97CCA"/>
    <w:rsid w:val="00C97DA3"/>
    <w:rsid w:val="00CA0020"/>
    <w:rsid w:val="00CA0361"/>
    <w:rsid w:val="00CA0369"/>
    <w:rsid w:val="00CA0397"/>
    <w:rsid w:val="00CA04A8"/>
    <w:rsid w:val="00CA0513"/>
    <w:rsid w:val="00CA061B"/>
    <w:rsid w:val="00CA0844"/>
    <w:rsid w:val="00CA0D21"/>
    <w:rsid w:val="00CA0E5E"/>
    <w:rsid w:val="00CA1084"/>
    <w:rsid w:val="00CA1143"/>
    <w:rsid w:val="00CA1162"/>
    <w:rsid w:val="00CA12DA"/>
    <w:rsid w:val="00CA146A"/>
    <w:rsid w:val="00CA1773"/>
    <w:rsid w:val="00CA189A"/>
    <w:rsid w:val="00CA19A4"/>
    <w:rsid w:val="00CA1EA0"/>
    <w:rsid w:val="00CA1ED6"/>
    <w:rsid w:val="00CA225C"/>
    <w:rsid w:val="00CA22E1"/>
    <w:rsid w:val="00CA23DB"/>
    <w:rsid w:val="00CA23DF"/>
    <w:rsid w:val="00CA24D6"/>
    <w:rsid w:val="00CA2544"/>
    <w:rsid w:val="00CA25EB"/>
    <w:rsid w:val="00CA2ABF"/>
    <w:rsid w:val="00CA2DD0"/>
    <w:rsid w:val="00CA2E07"/>
    <w:rsid w:val="00CA2E1B"/>
    <w:rsid w:val="00CA2E3E"/>
    <w:rsid w:val="00CA2E98"/>
    <w:rsid w:val="00CA2F8C"/>
    <w:rsid w:val="00CA2FF1"/>
    <w:rsid w:val="00CA32AA"/>
    <w:rsid w:val="00CA3329"/>
    <w:rsid w:val="00CA345F"/>
    <w:rsid w:val="00CA34C0"/>
    <w:rsid w:val="00CA351B"/>
    <w:rsid w:val="00CA3570"/>
    <w:rsid w:val="00CA35C1"/>
    <w:rsid w:val="00CA3AA4"/>
    <w:rsid w:val="00CA3ACB"/>
    <w:rsid w:val="00CA3AFD"/>
    <w:rsid w:val="00CA3BA6"/>
    <w:rsid w:val="00CA3BBC"/>
    <w:rsid w:val="00CA3CE5"/>
    <w:rsid w:val="00CA3D10"/>
    <w:rsid w:val="00CA3D6B"/>
    <w:rsid w:val="00CA3D8C"/>
    <w:rsid w:val="00CA3E6E"/>
    <w:rsid w:val="00CA3F16"/>
    <w:rsid w:val="00CA3FC6"/>
    <w:rsid w:val="00CA443D"/>
    <w:rsid w:val="00CA4463"/>
    <w:rsid w:val="00CA4490"/>
    <w:rsid w:val="00CA44B7"/>
    <w:rsid w:val="00CA45F0"/>
    <w:rsid w:val="00CA4651"/>
    <w:rsid w:val="00CA465E"/>
    <w:rsid w:val="00CA48BE"/>
    <w:rsid w:val="00CA49A2"/>
    <w:rsid w:val="00CA4A2F"/>
    <w:rsid w:val="00CA4A3C"/>
    <w:rsid w:val="00CA4BBA"/>
    <w:rsid w:val="00CA4FEF"/>
    <w:rsid w:val="00CA503F"/>
    <w:rsid w:val="00CA511D"/>
    <w:rsid w:val="00CA5159"/>
    <w:rsid w:val="00CA51E9"/>
    <w:rsid w:val="00CA52F6"/>
    <w:rsid w:val="00CA5351"/>
    <w:rsid w:val="00CA553B"/>
    <w:rsid w:val="00CA58E0"/>
    <w:rsid w:val="00CA59A2"/>
    <w:rsid w:val="00CA5B32"/>
    <w:rsid w:val="00CA5B86"/>
    <w:rsid w:val="00CA5B87"/>
    <w:rsid w:val="00CA5CA9"/>
    <w:rsid w:val="00CA5ECE"/>
    <w:rsid w:val="00CA5EE9"/>
    <w:rsid w:val="00CA5F26"/>
    <w:rsid w:val="00CA6017"/>
    <w:rsid w:val="00CA6073"/>
    <w:rsid w:val="00CA6238"/>
    <w:rsid w:val="00CA6330"/>
    <w:rsid w:val="00CA6634"/>
    <w:rsid w:val="00CA6709"/>
    <w:rsid w:val="00CA6739"/>
    <w:rsid w:val="00CA6812"/>
    <w:rsid w:val="00CA691A"/>
    <w:rsid w:val="00CA6988"/>
    <w:rsid w:val="00CA6CAA"/>
    <w:rsid w:val="00CA6CD7"/>
    <w:rsid w:val="00CA6D98"/>
    <w:rsid w:val="00CA6DD9"/>
    <w:rsid w:val="00CA6EEF"/>
    <w:rsid w:val="00CA6FB8"/>
    <w:rsid w:val="00CA7015"/>
    <w:rsid w:val="00CA7059"/>
    <w:rsid w:val="00CA70A3"/>
    <w:rsid w:val="00CA70DA"/>
    <w:rsid w:val="00CA7261"/>
    <w:rsid w:val="00CA727F"/>
    <w:rsid w:val="00CA7325"/>
    <w:rsid w:val="00CA740F"/>
    <w:rsid w:val="00CA7548"/>
    <w:rsid w:val="00CA754B"/>
    <w:rsid w:val="00CA75BC"/>
    <w:rsid w:val="00CA75C6"/>
    <w:rsid w:val="00CA77D0"/>
    <w:rsid w:val="00CA7864"/>
    <w:rsid w:val="00CA7994"/>
    <w:rsid w:val="00CA79F8"/>
    <w:rsid w:val="00CA7B51"/>
    <w:rsid w:val="00CA7B93"/>
    <w:rsid w:val="00CA7CB5"/>
    <w:rsid w:val="00CA7D3F"/>
    <w:rsid w:val="00CA7DBA"/>
    <w:rsid w:val="00CA7EF2"/>
    <w:rsid w:val="00CA7F39"/>
    <w:rsid w:val="00CB0000"/>
    <w:rsid w:val="00CB001C"/>
    <w:rsid w:val="00CB0151"/>
    <w:rsid w:val="00CB021F"/>
    <w:rsid w:val="00CB039A"/>
    <w:rsid w:val="00CB03AB"/>
    <w:rsid w:val="00CB03D8"/>
    <w:rsid w:val="00CB0464"/>
    <w:rsid w:val="00CB050D"/>
    <w:rsid w:val="00CB0585"/>
    <w:rsid w:val="00CB0676"/>
    <w:rsid w:val="00CB075D"/>
    <w:rsid w:val="00CB07B9"/>
    <w:rsid w:val="00CB0CCB"/>
    <w:rsid w:val="00CB0DA2"/>
    <w:rsid w:val="00CB0DD9"/>
    <w:rsid w:val="00CB0E62"/>
    <w:rsid w:val="00CB0F33"/>
    <w:rsid w:val="00CB1012"/>
    <w:rsid w:val="00CB12DF"/>
    <w:rsid w:val="00CB13FA"/>
    <w:rsid w:val="00CB1452"/>
    <w:rsid w:val="00CB14B4"/>
    <w:rsid w:val="00CB1708"/>
    <w:rsid w:val="00CB17D7"/>
    <w:rsid w:val="00CB181B"/>
    <w:rsid w:val="00CB1851"/>
    <w:rsid w:val="00CB18D1"/>
    <w:rsid w:val="00CB18D5"/>
    <w:rsid w:val="00CB1982"/>
    <w:rsid w:val="00CB19B3"/>
    <w:rsid w:val="00CB19DB"/>
    <w:rsid w:val="00CB1BA5"/>
    <w:rsid w:val="00CB1C67"/>
    <w:rsid w:val="00CB1D8D"/>
    <w:rsid w:val="00CB21C3"/>
    <w:rsid w:val="00CB21C8"/>
    <w:rsid w:val="00CB21F3"/>
    <w:rsid w:val="00CB24DE"/>
    <w:rsid w:val="00CB25AD"/>
    <w:rsid w:val="00CB2607"/>
    <w:rsid w:val="00CB2627"/>
    <w:rsid w:val="00CB2973"/>
    <w:rsid w:val="00CB2A35"/>
    <w:rsid w:val="00CB2B37"/>
    <w:rsid w:val="00CB2C2B"/>
    <w:rsid w:val="00CB2D71"/>
    <w:rsid w:val="00CB2DD0"/>
    <w:rsid w:val="00CB2E3E"/>
    <w:rsid w:val="00CB2EDB"/>
    <w:rsid w:val="00CB2F15"/>
    <w:rsid w:val="00CB3059"/>
    <w:rsid w:val="00CB307C"/>
    <w:rsid w:val="00CB3350"/>
    <w:rsid w:val="00CB361A"/>
    <w:rsid w:val="00CB361B"/>
    <w:rsid w:val="00CB3654"/>
    <w:rsid w:val="00CB36AB"/>
    <w:rsid w:val="00CB36ED"/>
    <w:rsid w:val="00CB37C2"/>
    <w:rsid w:val="00CB384A"/>
    <w:rsid w:val="00CB3908"/>
    <w:rsid w:val="00CB3C9B"/>
    <w:rsid w:val="00CB3DC0"/>
    <w:rsid w:val="00CB3FF9"/>
    <w:rsid w:val="00CB4089"/>
    <w:rsid w:val="00CB4233"/>
    <w:rsid w:val="00CB4264"/>
    <w:rsid w:val="00CB42FA"/>
    <w:rsid w:val="00CB44B3"/>
    <w:rsid w:val="00CB45C0"/>
    <w:rsid w:val="00CB4689"/>
    <w:rsid w:val="00CB46C1"/>
    <w:rsid w:val="00CB4799"/>
    <w:rsid w:val="00CB4C22"/>
    <w:rsid w:val="00CB4D3B"/>
    <w:rsid w:val="00CB512E"/>
    <w:rsid w:val="00CB5203"/>
    <w:rsid w:val="00CB537C"/>
    <w:rsid w:val="00CB53DE"/>
    <w:rsid w:val="00CB54F7"/>
    <w:rsid w:val="00CB5545"/>
    <w:rsid w:val="00CB5655"/>
    <w:rsid w:val="00CB56A0"/>
    <w:rsid w:val="00CB56EB"/>
    <w:rsid w:val="00CB5899"/>
    <w:rsid w:val="00CB5928"/>
    <w:rsid w:val="00CB59B5"/>
    <w:rsid w:val="00CB59DB"/>
    <w:rsid w:val="00CB5E1C"/>
    <w:rsid w:val="00CB5EBB"/>
    <w:rsid w:val="00CB5F6B"/>
    <w:rsid w:val="00CB5F78"/>
    <w:rsid w:val="00CB5FF2"/>
    <w:rsid w:val="00CB6120"/>
    <w:rsid w:val="00CB6175"/>
    <w:rsid w:val="00CB61BD"/>
    <w:rsid w:val="00CB6824"/>
    <w:rsid w:val="00CB68EF"/>
    <w:rsid w:val="00CB6941"/>
    <w:rsid w:val="00CB6983"/>
    <w:rsid w:val="00CB6C38"/>
    <w:rsid w:val="00CB6E94"/>
    <w:rsid w:val="00CB6EA5"/>
    <w:rsid w:val="00CB6FDE"/>
    <w:rsid w:val="00CB7085"/>
    <w:rsid w:val="00CB718B"/>
    <w:rsid w:val="00CB7357"/>
    <w:rsid w:val="00CB7384"/>
    <w:rsid w:val="00CB7416"/>
    <w:rsid w:val="00CB75E3"/>
    <w:rsid w:val="00CB7674"/>
    <w:rsid w:val="00CB7859"/>
    <w:rsid w:val="00CB7B3B"/>
    <w:rsid w:val="00CB7B55"/>
    <w:rsid w:val="00CB7B62"/>
    <w:rsid w:val="00CB7BA9"/>
    <w:rsid w:val="00CB7BAC"/>
    <w:rsid w:val="00CB7D20"/>
    <w:rsid w:val="00CB7D48"/>
    <w:rsid w:val="00CB7D57"/>
    <w:rsid w:val="00CB7E52"/>
    <w:rsid w:val="00CC008B"/>
    <w:rsid w:val="00CC01C7"/>
    <w:rsid w:val="00CC0208"/>
    <w:rsid w:val="00CC0346"/>
    <w:rsid w:val="00CC04D7"/>
    <w:rsid w:val="00CC04DD"/>
    <w:rsid w:val="00CC068F"/>
    <w:rsid w:val="00CC078C"/>
    <w:rsid w:val="00CC0AD5"/>
    <w:rsid w:val="00CC0B40"/>
    <w:rsid w:val="00CC0CC4"/>
    <w:rsid w:val="00CC11C2"/>
    <w:rsid w:val="00CC1204"/>
    <w:rsid w:val="00CC128C"/>
    <w:rsid w:val="00CC12A0"/>
    <w:rsid w:val="00CC132D"/>
    <w:rsid w:val="00CC1618"/>
    <w:rsid w:val="00CC1687"/>
    <w:rsid w:val="00CC16E2"/>
    <w:rsid w:val="00CC173B"/>
    <w:rsid w:val="00CC17B0"/>
    <w:rsid w:val="00CC1948"/>
    <w:rsid w:val="00CC197C"/>
    <w:rsid w:val="00CC19B7"/>
    <w:rsid w:val="00CC1A35"/>
    <w:rsid w:val="00CC1ABF"/>
    <w:rsid w:val="00CC1E21"/>
    <w:rsid w:val="00CC1FE0"/>
    <w:rsid w:val="00CC2053"/>
    <w:rsid w:val="00CC216D"/>
    <w:rsid w:val="00CC21A4"/>
    <w:rsid w:val="00CC21CB"/>
    <w:rsid w:val="00CC2392"/>
    <w:rsid w:val="00CC241A"/>
    <w:rsid w:val="00CC2438"/>
    <w:rsid w:val="00CC24B5"/>
    <w:rsid w:val="00CC2626"/>
    <w:rsid w:val="00CC28F0"/>
    <w:rsid w:val="00CC2A7B"/>
    <w:rsid w:val="00CC2AD3"/>
    <w:rsid w:val="00CC2B1F"/>
    <w:rsid w:val="00CC2B3A"/>
    <w:rsid w:val="00CC2CB8"/>
    <w:rsid w:val="00CC2D26"/>
    <w:rsid w:val="00CC2E07"/>
    <w:rsid w:val="00CC2E0E"/>
    <w:rsid w:val="00CC30B0"/>
    <w:rsid w:val="00CC3180"/>
    <w:rsid w:val="00CC32CE"/>
    <w:rsid w:val="00CC339C"/>
    <w:rsid w:val="00CC34BD"/>
    <w:rsid w:val="00CC3539"/>
    <w:rsid w:val="00CC35EC"/>
    <w:rsid w:val="00CC373D"/>
    <w:rsid w:val="00CC3942"/>
    <w:rsid w:val="00CC3D21"/>
    <w:rsid w:val="00CC3E17"/>
    <w:rsid w:val="00CC3E49"/>
    <w:rsid w:val="00CC4173"/>
    <w:rsid w:val="00CC45DA"/>
    <w:rsid w:val="00CC47E4"/>
    <w:rsid w:val="00CC4869"/>
    <w:rsid w:val="00CC49E1"/>
    <w:rsid w:val="00CC4A02"/>
    <w:rsid w:val="00CC4AC6"/>
    <w:rsid w:val="00CC4C21"/>
    <w:rsid w:val="00CC4C42"/>
    <w:rsid w:val="00CC4CB4"/>
    <w:rsid w:val="00CC4F94"/>
    <w:rsid w:val="00CC50DF"/>
    <w:rsid w:val="00CC50FF"/>
    <w:rsid w:val="00CC5198"/>
    <w:rsid w:val="00CC51AC"/>
    <w:rsid w:val="00CC535A"/>
    <w:rsid w:val="00CC53F9"/>
    <w:rsid w:val="00CC559E"/>
    <w:rsid w:val="00CC55B5"/>
    <w:rsid w:val="00CC56E4"/>
    <w:rsid w:val="00CC58F2"/>
    <w:rsid w:val="00CC5947"/>
    <w:rsid w:val="00CC5A5E"/>
    <w:rsid w:val="00CC5AD2"/>
    <w:rsid w:val="00CC5D5D"/>
    <w:rsid w:val="00CC5EDC"/>
    <w:rsid w:val="00CC5F36"/>
    <w:rsid w:val="00CC6058"/>
    <w:rsid w:val="00CC6157"/>
    <w:rsid w:val="00CC61E3"/>
    <w:rsid w:val="00CC621E"/>
    <w:rsid w:val="00CC6236"/>
    <w:rsid w:val="00CC62D3"/>
    <w:rsid w:val="00CC6367"/>
    <w:rsid w:val="00CC64F9"/>
    <w:rsid w:val="00CC686E"/>
    <w:rsid w:val="00CC6A42"/>
    <w:rsid w:val="00CC6B2C"/>
    <w:rsid w:val="00CC6BEF"/>
    <w:rsid w:val="00CC6DE5"/>
    <w:rsid w:val="00CC6F3B"/>
    <w:rsid w:val="00CC716A"/>
    <w:rsid w:val="00CC717B"/>
    <w:rsid w:val="00CC71A1"/>
    <w:rsid w:val="00CC72A3"/>
    <w:rsid w:val="00CC7355"/>
    <w:rsid w:val="00CC7366"/>
    <w:rsid w:val="00CC7489"/>
    <w:rsid w:val="00CC754F"/>
    <w:rsid w:val="00CC7579"/>
    <w:rsid w:val="00CC7675"/>
    <w:rsid w:val="00CC7801"/>
    <w:rsid w:val="00CC7817"/>
    <w:rsid w:val="00CC78E0"/>
    <w:rsid w:val="00CC7A62"/>
    <w:rsid w:val="00CC7A75"/>
    <w:rsid w:val="00CC7A9E"/>
    <w:rsid w:val="00CC7ADA"/>
    <w:rsid w:val="00CC7B1F"/>
    <w:rsid w:val="00CC7B8E"/>
    <w:rsid w:val="00CC7BE9"/>
    <w:rsid w:val="00CC7DDD"/>
    <w:rsid w:val="00CC7E0C"/>
    <w:rsid w:val="00CC7ECF"/>
    <w:rsid w:val="00CC7ED1"/>
    <w:rsid w:val="00CC7EFF"/>
    <w:rsid w:val="00CD03AD"/>
    <w:rsid w:val="00CD0777"/>
    <w:rsid w:val="00CD078A"/>
    <w:rsid w:val="00CD091E"/>
    <w:rsid w:val="00CD0B1F"/>
    <w:rsid w:val="00CD0B78"/>
    <w:rsid w:val="00CD0C00"/>
    <w:rsid w:val="00CD0CBE"/>
    <w:rsid w:val="00CD0CCF"/>
    <w:rsid w:val="00CD0E0E"/>
    <w:rsid w:val="00CD118D"/>
    <w:rsid w:val="00CD11DB"/>
    <w:rsid w:val="00CD14A4"/>
    <w:rsid w:val="00CD14C5"/>
    <w:rsid w:val="00CD1612"/>
    <w:rsid w:val="00CD1725"/>
    <w:rsid w:val="00CD17CF"/>
    <w:rsid w:val="00CD18F9"/>
    <w:rsid w:val="00CD1901"/>
    <w:rsid w:val="00CD1999"/>
    <w:rsid w:val="00CD1AD5"/>
    <w:rsid w:val="00CD1DFB"/>
    <w:rsid w:val="00CD1FCC"/>
    <w:rsid w:val="00CD1FE7"/>
    <w:rsid w:val="00CD20D2"/>
    <w:rsid w:val="00CD2372"/>
    <w:rsid w:val="00CD240C"/>
    <w:rsid w:val="00CD2427"/>
    <w:rsid w:val="00CD264A"/>
    <w:rsid w:val="00CD291E"/>
    <w:rsid w:val="00CD2A3C"/>
    <w:rsid w:val="00CD2A89"/>
    <w:rsid w:val="00CD2B0F"/>
    <w:rsid w:val="00CD2BF5"/>
    <w:rsid w:val="00CD2CA1"/>
    <w:rsid w:val="00CD2CEA"/>
    <w:rsid w:val="00CD2D3E"/>
    <w:rsid w:val="00CD2D7B"/>
    <w:rsid w:val="00CD2FD2"/>
    <w:rsid w:val="00CD3417"/>
    <w:rsid w:val="00CD34FC"/>
    <w:rsid w:val="00CD35F5"/>
    <w:rsid w:val="00CD36E3"/>
    <w:rsid w:val="00CD381C"/>
    <w:rsid w:val="00CD3949"/>
    <w:rsid w:val="00CD396F"/>
    <w:rsid w:val="00CD3B69"/>
    <w:rsid w:val="00CD3BEA"/>
    <w:rsid w:val="00CD3F81"/>
    <w:rsid w:val="00CD407C"/>
    <w:rsid w:val="00CD425B"/>
    <w:rsid w:val="00CD4311"/>
    <w:rsid w:val="00CD43CE"/>
    <w:rsid w:val="00CD44A1"/>
    <w:rsid w:val="00CD478C"/>
    <w:rsid w:val="00CD48D5"/>
    <w:rsid w:val="00CD49AA"/>
    <w:rsid w:val="00CD4A47"/>
    <w:rsid w:val="00CD4AF2"/>
    <w:rsid w:val="00CD4D68"/>
    <w:rsid w:val="00CD4D93"/>
    <w:rsid w:val="00CD5098"/>
    <w:rsid w:val="00CD50A9"/>
    <w:rsid w:val="00CD52A1"/>
    <w:rsid w:val="00CD5353"/>
    <w:rsid w:val="00CD53C8"/>
    <w:rsid w:val="00CD54EB"/>
    <w:rsid w:val="00CD578C"/>
    <w:rsid w:val="00CD58FD"/>
    <w:rsid w:val="00CD5906"/>
    <w:rsid w:val="00CD5974"/>
    <w:rsid w:val="00CD59B6"/>
    <w:rsid w:val="00CD5A77"/>
    <w:rsid w:val="00CD5D17"/>
    <w:rsid w:val="00CD5F68"/>
    <w:rsid w:val="00CD5F70"/>
    <w:rsid w:val="00CD5F89"/>
    <w:rsid w:val="00CD6028"/>
    <w:rsid w:val="00CD6066"/>
    <w:rsid w:val="00CD638D"/>
    <w:rsid w:val="00CD65A2"/>
    <w:rsid w:val="00CD69BC"/>
    <w:rsid w:val="00CD6A43"/>
    <w:rsid w:val="00CD6B03"/>
    <w:rsid w:val="00CD6B9B"/>
    <w:rsid w:val="00CD6BDB"/>
    <w:rsid w:val="00CD6D0D"/>
    <w:rsid w:val="00CD6DDC"/>
    <w:rsid w:val="00CD6EBB"/>
    <w:rsid w:val="00CD6F60"/>
    <w:rsid w:val="00CD7000"/>
    <w:rsid w:val="00CD7081"/>
    <w:rsid w:val="00CD7430"/>
    <w:rsid w:val="00CD7AE6"/>
    <w:rsid w:val="00CD7CA4"/>
    <w:rsid w:val="00CD7EE4"/>
    <w:rsid w:val="00CE02F0"/>
    <w:rsid w:val="00CE03A6"/>
    <w:rsid w:val="00CE0586"/>
    <w:rsid w:val="00CE07F3"/>
    <w:rsid w:val="00CE08B1"/>
    <w:rsid w:val="00CE09FF"/>
    <w:rsid w:val="00CE0D34"/>
    <w:rsid w:val="00CE103A"/>
    <w:rsid w:val="00CE1083"/>
    <w:rsid w:val="00CE121D"/>
    <w:rsid w:val="00CE125F"/>
    <w:rsid w:val="00CE141C"/>
    <w:rsid w:val="00CE16BC"/>
    <w:rsid w:val="00CE183A"/>
    <w:rsid w:val="00CE1951"/>
    <w:rsid w:val="00CE197F"/>
    <w:rsid w:val="00CE19FC"/>
    <w:rsid w:val="00CE1BA0"/>
    <w:rsid w:val="00CE1DB1"/>
    <w:rsid w:val="00CE2169"/>
    <w:rsid w:val="00CE2392"/>
    <w:rsid w:val="00CE252A"/>
    <w:rsid w:val="00CE25AA"/>
    <w:rsid w:val="00CE261E"/>
    <w:rsid w:val="00CE26C5"/>
    <w:rsid w:val="00CE28C4"/>
    <w:rsid w:val="00CE2946"/>
    <w:rsid w:val="00CE2A89"/>
    <w:rsid w:val="00CE2AF5"/>
    <w:rsid w:val="00CE2AFC"/>
    <w:rsid w:val="00CE2D36"/>
    <w:rsid w:val="00CE2D46"/>
    <w:rsid w:val="00CE2E36"/>
    <w:rsid w:val="00CE2F17"/>
    <w:rsid w:val="00CE305E"/>
    <w:rsid w:val="00CE30D6"/>
    <w:rsid w:val="00CE3126"/>
    <w:rsid w:val="00CE31E5"/>
    <w:rsid w:val="00CE3372"/>
    <w:rsid w:val="00CE340A"/>
    <w:rsid w:val="00CE34D5"/>
    <w:rsid w:val="00CE3506"/>
    <w:rsid w:val="00CE3599"/>
    <w:rsid w:val="00CE3635"/>
    <w:rsid w:val="00CE36E3"/>
    <w:rsid w:val="00CE37B4"/>
    <w:rsid w:val="00CE3927"/>
    <w:rsid w:val="00CE3A58"/>
    <w:rsid w:val="00CE3A9E"/>
    <w:rsid w:val="00CE3B06"/>
    <w:rsid w:val="00CE3B5D"/>
    <w:rsid w:val="00CE3D1C"/>
    <w:rsid w:val="00CE3DCF"/>
    <w:rsid w:val="00CE3EB6"/>
    <w:rsid w:val="00CE3F32"/>
    <w:rsid w:val="00CE4016"/>
    <w:rsid w:val="00CE4125"/>
    <w:rsid w:val="00CE42B1"/>
    <w:rsid w:val="00CE42B8"/>
    <w:rsid w:val="00CE43B8"/>
    <w:rsid w:val="00CE446A"/>
    <w:rsid w:val="00CE44BE"/>
    <w:rsid w:val="00CE4705"/>
    <w:rsid w:val="00CE47EE"/>
    <w:rsid w:val="00CE4BB6"/>
    <w:rsid w:val="00CE4BF5"/>
    <w:rsid w:val="00CE4C1E"/>
    <w:rsid w:val="00CE4C31"/>
    <w:rsid w:val="00CE4F01"/>
    <w:rsid w:val="00CE5053"/>
    <w:rsid w:val="00CE515B"/>
    <w:rsid w:val="00CE5182"/>
    <w:rsid w:val="00CE519E"/>
    <w:rsid w:val="00CE52BB"/>
    <w:rsid w:val="00CE5368"/>
    <w:rsid w:val="00CE55B9"/>
    <w:rsid w:val="00CE5692"/>
    <w:rsid w:val="00CE578A"/>
    <w:rsid w:val="00CE589C"/>
    <w:rsid w:val="00CE58B5"/>
    <w:rsid w:val="00CE5929"/>
    <w:rsid w:val="00CE5980"/>
    <w:rsid w:val="00CE5988"/>
    <w:rsid w:val="00CE59F7"/>
    <w:rsid w:val="00CE5B42"/>
    <w:rsid w:val="00CE5E95"/>
    <w:rsid w:val="00CE5EA9"/>
    <w:rsid w:val="00CE5EDC"/>
    <w:rsid w:val="00CE6093"/>
    <w:rsid w:val="00CE61E1"/>
    <w:rsid w:val="00CE63E6"/>
    <w:rsid w:val="00CE6427"/>
    <w:rsid w:val="00CE645D"/>
    <w:rsid w:val="00CE6493"/>
    <w:rsid w:val="00CE64DA"/>
    <w:rsid w:val="00CE6621"/>
    <w:rsid w:val="00CE689C"/>
    <w:rsid w:val="00CE6B6E"/>
    <w:rsid w:val="00CE6BA2"/>
    <w:rsid w:val="00CE6C46"/>
    <w:rsid w:val="00CE6C71"/>
    <w:rsid w:val="00CE6D09"/>
    <w:rsid w:val="00CE6DB9"/>
    <w:rsid w:val="00CE6EC2"/>
    <w:rsid w:val="00CE6F60"/>
    <w:rsid w:val="00CE7242"/>
    <w:rsid w:val="00CE72DC"/>
    <w:rsid w:val="00CE73F2"/>
    <w:rsid w:val="00CE73F3"/>
    <w:rsid w:val="00CE751D"/>
    <w:rsid w:val="00CE7555"/>
    <w:rsid w:val="00CE76AD"/>
    <w:rsid w:val="00CE76FF"/>
    <w:rsid w:val="00CE7728"/>
    <w:rsid w:val="00CE79FD"/>
    <w:rsid w:val="00CE7B06"/>
    <w:rsid w:val="00CE7EC0"/>
    <w:rsid w:val="00CE7ECB"/>
    <w:rsid w:val="00CE7FDF"/>
    <w:rsid w:val="00CF012B"/>
    <w:rsid w:val="00CF017A"/>
    <w:rsid w:val="00CF021E"/>
    <w:rsid w:val="00CF0295"/>
    <w:rsid w:val="00CF0522"/>
    <w:rsid w:val="00CF0533"/>
    <w:rsid w:val="00CF0696"/>
    <w:rsid w:val="00CF06CA"/>
    <w:rsid w:val="00CF089C"/>
    <w:rsid w:val="00CF0959"/>
    <w:rsid w:val="00CF0A4C"/>
    <w:rsid w:val="00CF0C05"/>
    <w:rsid w:val="00CF0D3F"/>
    <w:rsid w:val="00CF0E3E"/>
    <w:rsid w:val="00CF0ECA"/>
    <w:rsid w:val="00CF0FA9"/>
    <w:rsid w:val="00CF10A0"/>
    <w:rsid w:val="00CF11A6"/>
    <w:rsid w:val="00CF12E9"/>
    <w:rsid w:val="00CF1460"/>
    <w:rsid w:val="00CF1479"/>
    <w:rsid w:val="00CF1691"/>
    <w:rsid w:val="00CF1737"/>
    <w:rsid w:val="00CF1867"/>
    <w:rsid w:val="00CF19AB"/>
    <w:rsid w:val="00CF1B81"/>
    <w:rsid w:val="00CF1BFC"/>
    <w:rsid w:val="00CF1C1A"/>
    <w:rsid w:val="00CF1CDB"/>
    <w:rsid w:val="00CF1D89"/>
    <w:rsid w:val="00CF1D97"/>
    <w:rsid w:val="00CF1DFA"/>
    <w:rsid w:val="00CF2397"/>
    <w:rsid w:val="00CF24DE"/>
    <w:rsid w:val="00CF2691"/>
    <w:rsid w:val="00CF26AF"/>
    <w:rsid w:val="00CF271C"/>
    <w:rsid w:val="00CF29AC"/>
    <w:rsid w:val="00CF2A2F"/>
    <w:rsid w:val="00CF2B80"/>
    <w:rsid w:val="00CF2B90"/>
    <w:rsid w:val="00CF2C53"/>
    <w:rsid w:val="00CF2C77"/>
    <w:rsid w:val="00CF2CF1"/>
    <w:rsid w:val="00CF2D4C"/>
    <w:rsid w:val="00CF2DAB"/>
    <w:rsid w:val="00CF2FE9"/>
    <w:rsid w:val="00CF31AE"/>
    <w:rsid w:val="00CF3232"/>
    <w:rsid w:val="00CF3316"/>
    <w:rsid w:val="00CF340D"/>
    <w:rsid w:val="00CF34CB"/>
    <w:rsid w:val="00CF3506"/>
    <w:rsid w:val="00CF381C"/>
    <w:rsid w:val="00CF389D"/>
    <w:rsid w:val="00CF3913"/>
    <w:rsid w:val="00CF3B3D"/>
    <w:rsid w:val="00CF3E02"/>
    <w:rsid w:val="00CF3F60"/>
    <w:rsid w:val="00CF40A1"/>
    <w:rsid w:val="00CF40B8"/>
    <w:rsid w:val="00CF418A"/>
    <w:rsid w:val="00CF4465"/>
    <w:rsid w:val="00CF446F"/>
    <w:rsid w:val="00CF44FF"/>
    <w:rsid w:val="00CF4503"/>
    <w:rsid w:val="00CF4575"/>
    <w:rsid w:val="00CF4600"/>
    <w:rsid w:val="00CF46C9"/>
    <w:rsid w:val="00CF4708"/>
    <w:rsid w:val="00CF4A0D"/>
    <w:rsid w:val="00CF4B09"/>
    <w:rsid w:val="00CF4CC7"/>
    <w:rsid w:val="00CF4DFB"/>
    <w:rsid w:val="00CF4EC7"/>
    <w:rsid w:val="00CF506C"/>
    <w:rsid w:val="00CF51BB"/>
    <w:rsid w:val="00CF5208"/>
    <w:rsid w:val="00CF52D8"/>
    <w:rsid w:val="00CF5431"/>
    <w:rsid w:val="00CF54BE"/>
    <w:rsid w:val="00CF5614"/>
    <w:rsid w:val="00CF574B"/>
    <w:rsid w:val="00CF579E"/>
    <w:rsid w:val="00CF57A6"/>
    <w:rsid w:val="00CF57AC"/>
    <w:rsid w:val="00CF5900"/>
    <w:rsid w:val="00CF59FC"/>
    <w:rsid w:val="00CF5A79"/>
    <w:rsid w:val="00CF5A8C"/>
    <w:rsid w:val="00CF5AF0"/>
    <w:rsid w:val="00CF5F76"/>
    <w:rsid w:val="00CF5FA0"/>
    <w:rsid w:val="00CF60AA"/>
    <w:rsid w:val="00CF6148"/>
    <w:rsid w:val="00CF62BD"/>
    <w:rsid w:val="00CF631D"/>
    <w:rsid w:val="00CF6332"/>
    <w:rsid w:val="00CF639B"/>
    <w:rsid w:val="00CF65DB"/>
    <w:rsid w:val="00CF6604"/>
    <w:rsid w:val="00CF6737"/>
    <w:rsid w:val="00CF682B"/>
    <w:rsid w:val="00CF68FD"/>
    <w:rsid w:val="00CF69BF"/>
    <w:rsid w:val="00CF6B0D"/>
    <w:rsid w:val="00CF6B19"/>
    <w:rsid w:val="00CF6B88"/>
    <w:rsid w:val="00CF6B8D"/>
    <w:rsid w:val="00CF6C0D"/>
    <w:rsid w:val="00CF6EFA"/>
    <w:rsid w:val="00CF70D0"/>
    <w:rsid w:val="00CF7279"/>
    <w:rsid w:val="00CF72A6"/>
    <w:rsid w:val="00CF7309"/>
    <w:rsid w:val="00CF74BE"/>
    <w:rsid w:val="00CF74FA"/>
    <w:rsid w:val="00CF7665"/>
    <w:rsid w:val="00CF7678"/>
    <w:rsid w:val="00CF77DD"/>
    <w:rsid w:val="00CF780E"/>
    <w:rsid w:val="00CF78D9"/>
    <w:rsid w:val="00CF7AB5"/>
    <w:rsid w:val="00CF7B3A"/>
    <w:rsid w:val="00CF7B4A"/>
    <w:rsid w:val="00CF7C31"/>
    <w:rsid w:val="00CF7C3D"/>
    <w:rsid w:val="00CF7C9F"/>
    <w:rsid w:val="00CF7CB9"/>
    <w:rsid w:val="00CF7E0C"/>
    <w:rsid w:val="00CF7E88"/>
    <w:rsid w:val="00CF7EE6"/>
    <w:rsid w:val="00CF7F87"/>
    <w:rsid w:val="00CF7F93"/>
    <w:rsid w:val="00D000BE"/>
    <w:rsid w:val="00D00216"/>
    <w:rsid w:val="00D00226"/>
    <w:rsid w:val="00D002AB"/>
    <w:rsid w:val="00D002CA"/>
    <w:rsid w:val="00D002D5"/>
    <w:rsid w:val="00D0037C"/>
    <w:rsid w:val="00D00490"/>
    <w:rsid w:val="00D00745"/>
    <w:rsid w:val="00D008F7"/>
    <w:rsid w:val="00D0094F"/>
    <w:rsid w:val="00D009C7"/>
    <w:rsid w:val="00D00B54"/>
    <w:rsid w:val="00D00B5D"/>
    <w:rsid w:val="00D00D51"/>
    <w:rsid w:val="00D00E74"/>
    <w:rsid w:val="00D00EC7"/>
    <w:rsid w:val="00D00EC8"/>
    <w:rsid w:val="00D00F19"/>
    <w:rsid w:val="00D0103B"/>
    <w:rsid w:val="00D01302"/>
    <w:rsid w:val="00D01319"/>
    <w:rsid w:val="00D013A4"/>
    <w:rsid w:val="00D01422"/>
    <w:rsid w:val="00D01439"/>
    <w:rsid w:val="00D0143C"/>
    <w:rsid w:val="00D01446"/>
    <w:rsid w:val="00D01496"/>
    <w:rsid w:val="00D01594"/>
    <w:rsid w:val="00D015A7"/>
    <w:rsid w:val="00D0176C"/>
    <w:rsid w:val="00D01886"/>
    <w:rsid w:val="00D01A22"/>
    <w:rsid w:val="00D01ABF"/>
    <w:rsid w:val="00D01BDB"/>
    <w:rsid w:val="00D01CC9"/>
    <w:rsid w:val="00D01D25"/>
    <w:rsid w:val="00D01F21"/>
    <w:rsid w:val="00D01F26"/>
    <w:rsid w:val="00D021DC"/>
    <w:rsid w:val="00D021E8"/>
    <w:rsid w:val="00D02282"/>
    <w:rsid w:val="00D025DC"/>
    <w:rsid w:val="00D02799"/>
    <w:rsid w:val="00D0286E"/>
    <w:rsid w:val="00D029BF"/>
    <w:rsid w:val="00D029FC"/>
    <w:rsid w:val="00D029FD"/>
    <w:rsid w:val="00D02A12"/>
    <w:rsid w:val="00D02B31"/>
    <w:rsid w:val="00D02B32"/>
    <w:rsid w:val="00D02BA1"/>
    <w:rsid w:val="00D02D85"/>
    <w:rsid w:val="00D02DC4"/>
    <w:rsid w:val="00D02E70"/>
    <w:rsid w:val="00D02FF2"/>
    <w:rsid w:val="00D03195"/>
    <w:rsid w:val="00D03244"/>
    <w:rsid w:val="00D03455"/>
    <w:rsid w:val="00D03556"/>
    <w:rsid w:val="00D03568"/>
    <w:rsid w:val="00D0363E"/>
    <w:rsid w:val="00D03733"/>
    <w:rsid w:val="00D0391C"/>
    <w:rsid w:val="00D03C5F"/>
    <w:rsid w:val="00D03C67"/>
    <w:rsid w:val="00D03CDB"/>
    <w:rsid w:val="00D03D5B"/>
    <w:rsid w:val="00D03E3C"/>
    <w:rsid w:val="00D03E94"/>
    <w:rsid w:val="00D04053"/>
    <w:rsid w:val="00D040F5"/>
    <w:rsid w:val="00D040FC"/>
    <w:rsid w:val="00D04104"/>
    <w:rsid w:val="00D04110"/>
    <w:rsid w:val="00D041D7"/>
    <w:rsid w:val="00D04383"/>
    <w:rsid w:val="00D043A4"/>
    <w:rsid w:val="00D0442D"/>
    <w:rsid w:val="00D04661"/>
    <w:rsid w:val="00D0475D"/>
    <w:rsid w:val="00D049A1"/>
    <w:rsid w:val="00D04A26"/>
    <w:rsid w:val="00D04AE3"/>
    <w:rsid w:val="00D04C79"/>
    <w:rsid w:val="00D04C85"/>
    <w:rsid w:val="00D04C91"/>
    <w:rsid w:val="00D04CA4"/>
    <w:rsid w:val="00D04D1C"/>
    <w:rsid w:val="00D04E48"/>
    <w:rsid w:val="00D04ECF"/>
    <w:rsid w:val="00D0538C"/>
    <w:rsid w:val="00D05390"/>
    <w:rsid w:val="00D053BF"/>
    <w:rsid w:val="00D053FF"/>
    <w:rsid w:val="00D0549F"/>
    <w:rsid w:val="00D054D6"/>
    <w:rsid w:val="00D0579D"/>
    <w:rsid w:val="00D05826"/>
    <w:rsid w:val="00D05A43"/>
    <w:rsid w:val="00D05A86"/>
    <w:rsid w:val="00D05AE8"/>
    <w:rsid w:val="00D05B0B"/>
    <w:rsid w:val="00D05BE9"/>
    <w:rsid w:val="00D05C7C"/>
    <w:rsid w:val="00D05CE5"/>
    <w:rsid w:val="00D05DDB"/>
    <w:rsid w:val="00D05FA6"/>
    <w:rsid w:val="00D0601C"/>
    <w:rsid w:val="00D06258"/>
    <w:rsid w:val="00D0626F"/>
    <w:rsid w:val="00D0635B"/>
    <w:rsid w:val="00D0636F"/>
    <w:rsid w:val="00D06417"/>
    <w:rsid w:val="00D065B4"/>
    <w:rsid w:val="00D065E2"/>
    <w:rsid w:val="00D0668D"/>
    <w:rsid w:val="00D067E9"/>
    <w:rsid w:val="00D068E6"/>
    <w:rsid w:val="00D06960"/>
    <w:rsid w:val="00D06A90"/>
    <w:rsid w:val="00D06B72"/>
    <w:rsid w:val="00D06BAD"/>
    <w:rsid w:val="00D06BEC"/>
    <w:rsid w:val="00D06C0C"/>
    <w:rsid w:val="00D06CD3"/>
    <w:rsid w:val="00D06FD8"/>
    <w:rsid w:val="00D07159"/>
    <w:rsid w:val="00D072C2"/>
    <w:rsid w:val="00D07308"/>
    <w:rsid w:val="00D0741C"/>
    <w:rsid w:val="00D07430"/>
    <w:rsid w:val="00D07775"/>
    <w:rsid w:val="00D0779B"/>
    <w:rsid w:val="00D077C4"/>
    <w:rsid w:val="00D078A3"/>
    <w:rsid w:val="00D07AF9"/>
    <w:rsid w:val="00D07C06"/>
    <w:rsid w:val="00D07C0D"/>
    <w:rsid w:val="00D07D64"/>
    <w:rsid w:val="00D07DF0"/>
    <w:rsid w:val="00D1001E"/>
    <w:rsid w:val="00D102BC"/>
    <w:rsid w:val="00D103CC"/>
    <w:rsid w:val="00D106A2"/>
    <w:rsid w:val="00D1079C"/>
    <w:rsid w:val="00D107B1"/>
    <w:rsid w:val="00D10916"/>
    <w:rsid w:val="00D1092A"/>
    <w:rsid w:val="00D10A44"/>
    <w:rsid w:val="00D10AAE"/>
    <w:rsid w:val="00D10CEE"/>
    <w:rsid w:val="00D10E2B"/>
    <w:rsid w:val="00D10E8C"/>
    <w:rsid w:val="00D10EC1"/>
    <w:rsid w:val="00D10F16"/>
    <w:rsid w:val="00D11034"/>
    <w:rsid w:val="00D110A5"/>
    <w:rsid w:val="00D111D5"/>
    <w:rsid w:val="00D1141C"/>
    <w:rsid w:val="00D11435"/>
    <w:rsid w:val="00D115A9"/>
    <w:rsid w:val="00D1165C"/>
    <w:rsid w:val="00D117F5"/>
    <w:rsid w:val="00D1185E"/>
    <w:rsid w:val="00D118E4"/>
    <w:rsid w:val="00D1197B"/>
    <w:rsid w:val="00D11999"/>
    <w:rsid w:val="00D11B75"/>
    <w:rsid w:val="00D11BFA"/>
    <w:rsid w:val="00D11C10"/>
    <w:rsid w:val="00D11CA0"/>
    <w:rsid w:val="00D11EE2"/>
    <w:rsid w:val="00D11FB6"/>
    <w:rsid w:val="00D11FDA"/>
    <w:rsid w:val="00D12013"/>
    <w:rsid w:val="00D120C2"/>
    <w:rsid w:val="00D121B5"/>
    <w:rsid w:val="00D12229"/>
    <w:rsid w:val="00D1242D"/>
    <w:rsid w:val="00D124BD"/>
    <w:rsid w:val="00D126C8"/>
    <w:rsid w:val="00D1285F"/>
    <w:rsid w:val="00D12928"/>
    <w:rsid w:val="00D129EE"/>
    <w:rsid w:val="00D12A83"/>
    <w:rsid w:val="00D12AE9"/>
    <w:rsid w:val="00D12BCC"/>
    <w:rsid w:val="00D12BFF"/>
    <w:rsid w:val="00D12C07"/>
    <w:rsid w:val="00D12D1B"/>
    <w:rsid w:val="00D12F4F"/>
    <w:rsid w:val="00D12F85"/>
    <w:rsid w:val="00D13158"/>
    <w:rsid w:val="00D131C2"/>
    <w:rsid w:val="00D131DE"/>
    <w:rsid w:val="00D13202"/>
    <w:rsid w:val="00D13604"/>
    <w:rsid w:val="00D13806"/>
    <w:rsid w:val="00D1385C"/>
    <w:rsid w:val="00D13944"/>
    <w:rsid w:val="00D13B9D"/>
    <w:rsid w:val="00D13E6B"/>
    <w:rsid w:val="00D13E71"/>
    <w:rsid w:val="00D13EB3"/>
    <w:rsid w:val="00D13F5E"/>
    <w:rsid w:val="00D13FFC"/>
    <w:rsid w:val="00D14106"/>
    <w:rsid w:val="00D1416B"/>
    <w:rsid w:val="00D141EF"/>
    <w:rsid w:val="00D14464"/>
    <w:rsid w:val="00D14554"/>
    <w:rsid w:val="00D147E4"/>
    <w:rsid w:val="00D1480F"/>
    <w:rsid w:val="00D14830"/>
    <w:rsid w:val="00D14A4E"/>
    <w:rsid w:val="00D14A9F"/>
    <w:rsid w:val="00D14AAB"/>
    <w:rsid w:val="00D14CBC"/>
    <w:rsid w:val="00D14E25"/>
    <w:rsid w:val="00D14F22"/>
    <w:rsid w:val="00D14F40"/>
    <w:rsid w:val="00D14F52"/>
    <w:rsid w:val="00D1511C"/>
    <w:rsid w:val="00D15143"/>
    <w:rsid w:val="00D15194"/>
    <w:rsid w:val="00D151CC"/>
    <w:rsid w:val="00D152CC"/>
    <w:rsid w:val="00D15385"/>
    <w:rsid w:val="00D15427"/>
    <w:rsid w:val="00D1548F"/>
    <w:rsid w:val="00D154EE"/>
    <w:rsid w:val="00D159A5"/>
    <w:rsid w:val="00D15D47"/>
    <w:rsid w:val="00D15DCC"/>
    <w:rsid w:val="00D15DD9"/>
    <w:rsid w:val="00D15EEA"/>
    <w:rsid w:val="00D15F7F"/>
    <w:rsid w:val="00D16284"/>
    <w:rsid w:val="00D16727"/>
    <w:rsid w:val="00D1682C"/>
    <w:rsid w:val="00D168F1"/>
    <w:rsid w:val="00D16968"/>
    <w:rsid w:val="00D169AC"/>
    <w:rsid w:val="00D16A1F"/>
    <w:rsid w:val="00D16D97"/>
    <w:rsid w:val="00D16DA4"/>
    <w:rsid w:val="00D16DBF"/>
    <w:rsid w:val="00D171B5"/>
    <w:rsid w:val="00D1743C"/>
    <w:rsid w:val="00D174AD"/>
    <w:rsid w:val="00D174D7"/>
    <w:rsid w:val="00D1752B"/>
    <w:rsid w:val="00D1757F"/>
    <w:rsid w:val="00D175B2"/>
    <w:rsid w:val="00D175DA"/>
    <w:rsid w:val="00D17735"/>
    <w:rsid w:val="00D17740"/>
    <w:rsid w:val="00D17984"/>
    <w:rsid w:val="00D17A48"/>
    <w:rsid w:val="00D17A8A"/>
    <w:rsid w:val="00D17AD4"/>
    <w:rsid w:val="00D17D23"/>
    <w:rsid w:val="00D17DC3"/>
    <w:rsid w:val="00D17E3F"/>
    <w:rsid w:val="00D17EDD"/>
    <w:rsid w:val="00D2007F"/>
    <w:rsid w:val="00D201A6"/>
    <w:rsid w:val="00D202C3"/>
    <w:rsid w:val="00D20656"/>
    <w:rsid w:val="00D2080C"/>
    <w:rsid w:val="00D2086F"/>
    <w:rsid w:val="00D20961"/>
    <w:rsid w:val="00D20A04"/>
    <w:rsid w:val="00D20B54"/>
    <w:rsid w:val="00D20CB6"/>
    <w:rsid w:val="00D20E54"/>
    <w:rsid w:val="00D20EA4"/>
    <w:rsid w:val="00D20F4E"/>
    <w:rsid w:val="00D210C1"/>
    <w:rsid w:val="00D21477"/>
    <w:rsid w:val="00D2147C"/>
    <w:rsid w:val="00D214C8"/>
    <w:rsid w:val="00D216CB"/>
    <w:rsid w:val="00D216FC"/>
    <w:rsid w:val="00D2172D"/>
    <w:rsid w:val="00D2176E"/>
    <w:rsid w:val="00D21833"/>
    <w:rsid w:val="00D21855"/>
    <w:rsid w:val="00D21914"/>
    <w:rsid w:val="00D21AD1"/>
    <w:rsid w:val="00D21C55"/>
    <w:rsid w:val="00D21E60"/>
    <w:rsid w:val="00D21FBA"/>
    <w:rsid w:val="00D22009"/>
    <w:rsid w:val="00D2204E"/>
    <w:rsid w:val="00D22410"/>
    <w:rsid w:val="00D225B0"/>
    <w:rsid w:val="00D22604"/>
    <w:rsid w:val="00D22675"/>
    <w:rsid w:val="00D2292F"/>
    <w:rsid w:val="00D22A77"/>
    <w:rsid w:val="00D22AC4"/>
    <w:rsid w:val="00D22B7B"/>
    <w:rsid w:val="00D22D6C"/>
    <w:rsid w:val="00D22EAB"/>
    <w:rsid w:val="00D22FC3"/>
    <w:rsid w:val="00D23029"/>
    <w:rsid w:val="00D2313C"/>
    <w:rsid w:val="00D2317E"/>
    <w:rsid w:val="00D231FD"/>
    <w:rsid w:val="00D23322"/>
    <w:rsid w:val="00D23551"/>
    <w:rsid w:val="00D2357F"/>
    <w:rsid w:val="00D235D4"/>
    <w:rsid w:val="00D235FB"/>
    <w:rsid w:val="00D236C2"/>
    <w:rsid w:val="00D238F5"/>
    <w:rsid w:val="00D23B9E"/>
    <w:rsid w:val="00D23CEA"/>
    <w:rsid w:val="00D23F01"/>
    <w:rsid w:val="00D240CC"/>
    <w:rsid w:val="00D241E7"/>
    <w:rsid w:val="00D242F5"/>
    <w:rsid w:val="00D242FC"/>
    <w:rsid w:val="00D24429"/>
    <w:rsid w:val="00D2449C"/>
    <w:rsid w:val="00D245B8"/>
    <w:rsid w:val="00D2474B"/>
    <w:rsid w:val="00D247E0"/>
    <w:rsid w:val="00D24A41"/>
    <w:rsid w:val="00D24B12"/>
    <w:rsid w:val="00D24B53"/>
    <w:rsid w:val="00D24C5F"/>
    <w:rsid w:val="00D24C8D"/>
    <w:rsid w:val="00D2505E"/>
    <w:rsid w:val="00D250AC"/>
    <w:rsid w:val="00D2536B"/>
    <w:rsid w:val="00D2576C"/>
    <w:rsid w:val="00D25811"/>
    <w:rsid w:val="00D25904"/>
    <w:rsid w:val="00D25B7C"/>
    <w:rsid w:val="00D25B9E"/>
    <w:rsid w:val="00D25BA6"/>
    <w:rsid w:val="00D25E19"/>
    <w:rsid w:val="00D25E82"/>
    <w:rsid w:val="00D25F24"/>
    <w:rsid w:val="00D2623F"/>
    <w:rsid w:val="00D262B0"/>
    <w:rsid w:val="00D26359"/>
    <w:rsid w:val="00D2655C"/>
    <w:rsid w:val="00D265F5"/>
    <w:rsid w:val="00D2689D"/>
    <w:rsid w:val="00D26A20"/>
    <w:rsid w:val="00D26BE1"/>
    <w:rsid w:val="00D26C65"/>
    <w:rsid w:val="00D26C92"/>
    <w:rsid w:val="00D26F83"/>
    <w:rsid w:val="00D27138"/>
    <w:rsid w:val="00D271EC"/>
    <w:rsid w:val="00D2739E"/>
    <w:rsid w:val="00D273BE"/>
    <w:rsid w:val="00D27645"/>
    <w:rsid w:val="00D2770D"/>
    <w:rsid w:val="00D278FD"/>
    <w:rsid w:val="00D279FA"/>
    <w:rsid w:val="00D27B6D"/>
    <w:rsid w:val="00D27B88"/>
    <w:rsid w:val="00D27C94"/>
    <w:rsid w:val="00D3004E"/>
    <w:rsid w:val="00D302F0"/>
    <w:rsid w:val="00D3033B"/>
    <w:rsid w:val="00D30414"/>
    <w:rsid w:val="00D304F9"/>
    <w:rsid w:val="00D305F8"/>
    <w:rsid w:val="00D30654"/>
    <w:rsid w:val="00D306B5"/>
    <w:rsid w:val="00D306E7"/>
    <w:rsid w:val="00D30702"/>
    <w:rsid w:val="00D30732"/>
    <w:rsid w:val="00D30747"/>
    <w:rsid w:val="00D30775"/>
    <w:rsid w:val="00D30794"/>
    <w:rsid w:val="00D308AC"/>
    <w:rsid w:val="00D30A39"/>
    <w:rsid w:val="00D30A58"/>
    <w:rsid w:val="00D30E89"/>
    <w:rsid w:val="00D30F7E"/>
    <w:rsid w:val="00D3103F"/>
    <w:rsid w:val="00D310C2"/>
    <w:rsid w:val="00D31101"/>
    <w:rsid w:val="00D311EB"/>
    <w:rsid w:val="00D312E3"/>
    <w:rsid w:val="00D31301"/>
    <w:rsid w:val="00D31410"/>
    <w:rsid w:val="00D31420"/>
    <w:rsid w:val="00D315DE"/>
    <w:rsid w:val="00D31763"/>
    <w:rsid w:val="00D31781"/>
    <w:rsid w:val="00D31910"/>
    <w:rsid w:val="00D3199C"/>
    <w:rsid w:val="00D319B6"/>
    <w:rsid w:val="00D31A01"/>
    <w:rsid w:val="00D31AC2"/>
    <w:rsid w:val="00D31C9F"/>
    <w:rsid w:val="00D31D2C"/>
    <w:rsid w:val="00D31EA0"/>
    <w:rsid w:val="00D3201C"/>
    <w:rsid w:val="00D320FB"/>
    <w:rsid w:val="00D3239B"/>
    <w:rsid w:val="00D32413"/>
    <w:rsid w:val="00D32419"/>
    <w:rsid w:val="00D325B6"/>
    <w:rsid w:val="00D326D8"/>
    <w:rsid w:val="00D32863"/>
    <w:rsid w:val="00D3288A"/>
    <w:rsid w:val="00D329EC"/>
    <w:rsid w:val="00D329F3"/>
    <w:rsid w:val="00D32A94"/>
    <w:rsid w:val="00D32AB9"/>
    <w:rsid w:val="00D32B0B"/>
    <w:rsid w:val="00D32B63"/>
    <w:rsid w:val="00D32BEE"/>
    <w:rsid w:val="00D32DFD"/>
    <w:rsid w:val="00D32E4E"/>
    <w:rsid w:val="00D32F6D"/>
    <w:rsid w:val="00D32FC3"/>
    <w:rsid w:val="00D33009"/>
    <w:rsid w:val="00D33011"/>
    <w:rsid w:val="00D330B3"/>
    <w:rsid w:val="00D331B7"/>
    <w:rsid w:val="00D33353"/>
    <w:rsid w:val="00D33366"/>
    <w:rsid w:val="00D334A0"/>
    <w:rsid w:val="00D335F2"/>
    <w:rsid w:val="00D338D6"/>
    <w:rsid w:val="00D338D9"/>
    <w:rsid w:val="00D33955"/>
    <w:rsid w:val="00D33959"/>
    <w:rsid w:val="00D3396E"/>
    <w:rsid w:val="00D339DE"/>
    <w:rsid w:val="00D33B7E"/>
    <w:rsid w:val="00D33C00"/>
    <w:rsid w:val="00D33E9F"/>
    <w:rsid w:val="00D33EAA"/>
    <w:rsid w:val="00D34307"/>
    <w:rsid w:val="00D3437E"/>
    <w:rsid w:val="00D3450A"/>
    <w:rsid w:val="00D3473B"/>
    <w:rsid w:val="00D347E7"/>
    <w:rsid w:val="00D348CF"/>
    <w:rsid w:val="00D34936"/>
    <w:rsid w:val="00D34A40"/>
    <w:rsid w:val="00D34A75"/>
    <w:rsid w:val="00D34E37"/>
    <w:rsid w:val="00D34F50"/>
    <w:rsid w:val="00D35085"/>
    <w:rsid w:val="00D3532A"/>
    <w:rsid w:val="00D353EF"/>
    <w:rsid w:val="00D35463"/>
    <w:rsid w:val="00D3556C"/>
    <w:rsid w:val="00D35618"/>
    <w:rsid w:val="00D35636"/>
    <w:rsid w:val="00D35754"/>
    <w:rsid w:val="00D357E3"/>
    <w:rsid w:val="00D3586E"/>
    <w:rsid w:val="00D35906"/>
    <w:rsid w:val="00D359AE"/>
    <w:rsid w:val="00D35A01"/>
    <w:rsid w:val="00D35B2A"/>
    <w:rsid w:val="00D35B89"/>
    <w:rsid w:val="00D35BD2"/>
    <w:rsid w:val="00D35D5E"/>
    <w:rsid w:val="00D35E82"/>
    <w:rsid w:val="00D35F1D"/>
    <w:rsid w:val="00D3605E"/>
    <w:rsid w:val="00D3609E"/>
    <w:rsid w:val="00D360B3"/>
    <w:rsid w:val="00D360BE"/>
    <w:rsid w:val="00D36165"/>
    <w:rsid w:val="00D36235"/>
    <w:rsid w:val="00D362D4"/>
    <w:rsid w:val="00D3632B"/>
    <w:rsid w:val="00D3633D"/>
    <w:rsid w:val="00D363EA"/>
    <w:rsid w:val="00D36432"/>
    <w:rsid w:val="00D3656F"/>
    <w:rsid w:val="00D3657D"/>
    <w:rsid w:val="00D3659E"/>
    <w:rsid w:val="00D365A9"/>
    <w:rsid w:val="00D36686"/>
    <w:rsid w:val="00D367BE"/>
    <w:rsid w:val="00D36A42"/>
    <w:rsid w:val="00D36AAD"/>
    <w:rsid w:val="00D36B10"/>
    <w:rsid w:val="00D36B6A"/>
    <w:rsid w:val="00D36BD2"/>
    <w:rsid w:val="00D36E5C"/>
    <w:rsid w:val="00D36FFD"/>
    <w:rsid w:val="00D3700B"/>
    <w:rsid w:val="00D37019"/>
    <w:rsid w:val="00D37022"/>
    <w:rsid w:val="00D3716B"/>
    <w:rsid w:val="00D37209"/>
    <w:rsid w:val="00D372A1"/>
    <w:rsid w:val="00D37365"/>
    <w:rsid w:val="00D37647"/>
    <w:rsid w:val="00D3776D"/>
    <w:rsid w:val="00D37866"/>
    <w:rsid w:val="00D37954"/>
    <w:rsid w:val="00D37AAA"/>
    <w:rsid w:val="00D37BBD"/>
    <w:rsid w:val="00D37CDE"/>
    <w:rsid w:val="00D37CFE"/>
    <w:rsid w:val="00D403EA"/>
    <w:rsid w:val="00D40439"/>
    <w:rsid w:val="00D404D1"/>
    <w:rsid w:val="00D40677"/>
    <w:rsid w:val="00D406D6"/>
    <w:rsid w:val="00D40809"/>
    <w:rsid w:val="00D409BE"/>
    <w:rsid w:val="00D40A05"/>
    <w:rsid w:val="00D40A40"/>
    <w:rsid w:val="00D40AA1"/>
    <w:rsid w:val="00D40BAC"/>
    <w:rsid w:val="00D40F8F"/>
    <w:rsid w:val="00D40FD9"/>
    <w:rsid w:val="00D40FF4"/>
    <w:rsid w:val="00D4103F"/>
    <w:rsid w:val="00D4109E"/>
    <w:rsid w:val="00D4116C"/>
    <w:rsid w:val="00D411DC"/>
    <w:rsid w:val="00D411E8"/>
    <w:rsid w:val="00D41345"/>
    <w:rsid w:val="00D41365"/>
    <w:rsid w:val="00D414A5"/>
    <w:rsid w:val="00D4162D"/>
    <w:rsid w:val="00D41734"/>
    <w:rsid w:val="00D41983"/>
    <w:rsid w:val="00D41A93"/>
    <w:rsid w:val="00D41CAB"/>
    <w:rsid w:val="00D41D82"/>
    <w:rsid w:val="00D41FF4"/>
    <w:rsid w:val="00D4204F"/>
    <w:rsid w:val="00D4206D"/>
    <w:rsid w:val="00D42109"/>
    <w:rsid w:val="00D4230E"/>
    <w:rsid w:val="00D424D7"/>
    <w:rsid w:val="00D42600"/>
    <w:rsid w:val="00D42661"/>
    <w:rsid w:val="00D42802"/>
    <w:rsid w:val="00D42D44"/>
    <w:rsid w:val="00D42D6E"/>
    <w:rsid w:val="00D42ED4"/>
    <w:rsid w:val="00D43061"/>
    <w:rsid w:val="00D4308E"/>
    <w:rsid w:val="00D430E2"/>
    <w:rsid w:val="00D4321F"/>
    <w:rsid w:val="00D432ED"/>
    <w:rsid w:val="00D433AC"/>
    <w:rsid w:val="00D4348D"/>
    <w:rsid w:val="00D43516"/>
    <w:rsid w:val="00D43523"/>
    <w:rsid w:val="00D435CE"/>
    <w:rsid w:val="00D4378A"/>
    <w:rsid w:val="00D43823"/>
    <w:rsid w:val="00D43996"/>
    <w:rsid w:val="00D439F5"/>
    <w:rsid w:val="00D43BFD"/>
    <w:rsid w:val="00D43C8E"/>
    <w:rsid w:val="00D43E48"/>
    <w:rsid w:val="00D43F18"/>
    <w:rsid w:val="00D43F32"/>
    <w:rsid w:val="00D43F56"/>
    <w:rsid w:val="00D44099"/>
    <w:rsid w:val="00D442C7"/>
    <w:rsid w:val="00D4447F"/>
    <w:rsid w:val="00D444FC"/>
    <w:rsid w:val="00D44648"/>
    <w:rsid w:val="00D446F2"/>
    <w:rsid w:val="00D44948"/>
    <w:rsid w:val="00D449CE"/>
    <w:rsid w:val="00D44A52"/>
    <w:rsid w:val="00D44A57"/>
    <w:rsid w:val="00D44C11"/>
    <w:rsid w:val="00D44C4A"/>
    <w:rsid w:val="00D44F38"/>
    <w:rsid w:val="00D45301"/>
    <w:rsid w:val="00D4537B"/>
    <w:rsid w:val="00D45538"/>
    <w:rsid w:val="00D456B7"/>
    <w:rsid w:val="00D458A4"/>
    <w:rsid w:val="00D458E0"/>
    <w:rsid w:val="00D45979"/>
    <w:rsid w:val="00D45A50"/>
    <w:rsid w:val="00D45A61"/>
    <w:rsid w:val="00D45B6F"/>
    <w:rsid w:val="00D45C0A"/>
    <w:rsid w:val="00D45C7A"/>
    <w:rsid w:val="00D45CB5"/>
    <w:rsid w:val="00D45D4E"/>
    <w:rsid w:val="00D45D82"/>
    <w:rsid w:val="00D45F31"/>
    <w:rsid w:val="00D46275"/>
    <w:rsid w:val="00D462AA"/>
    <w:rsid w:val="00D4638F"/>
    <w:rsid w:val="00D4643F"/>
    <w:rsid w:val="00D4644F"/>
    <w:rsid w:val="00D464A2"/>
    <w:rsid w:val="00D464B6"/>
    <w:rsid w:val="00D46661"/>
    <w:rsid w:val="00D4667C"/>
    <w:rsid w:val="00D4668D"/>
    <w:rsid w:val="00D4668F"/>
    <w:rsid w:val="00D46780"/>
    <w:rsid w:val="00D4685B"/>
    <w:rsid w:val="00D469D3"/>
    <w:rsid w:val="00D46AC3"/>
    <w:rsid w:val="00D46C4D"/>
    <w:rsid w:val="00D46E08"/>
    <w:rsid w:val="00D46EC3"/>
    <w:rsid w:val="00D46FA6"/>
    <w:rsid w:val="00D47087"/>
    <w:rsid w:val="00D4724A"/>
    <w:rsid w:val="00D472F3"/>
    <w:rsid w:val="00D473EE"/>
    <w:rsid w:val="00D47436"/>
    <w:rsid w:val="00D47485"/>
    <w:rsid w:val="00D474A6"/>
    <w:rsid w:val="00D47633"/>
    <w:rsid w:val="00D4763B"/>
    <w:rsid w:val="00D478AA"/>
    <w:rsid w:val="00D47AA4"/>
    <w:rsid w:val="00D47B64"/>
    <w:rsid w:val="00D47CD8"/>
    <w:rsid w:val="00D47D57"/>
    <w:rsid w:val="00D47DD4"/>
    <w:rsid w:val="00D50091"/>
    <w:rsid w:val="00D500C4"/>
    <w:rsid w:val="00D50158"/>
    <w:rsid w:val="00D50256"/>
    <w:rsid w:val="00D50339"/>
    <w:rsid w:val="00D5034F"/>
    <w:rsid w:val="00D50351"/>
    <w:rsid w:val="00D504BD"/>
    <w:rsid w:val="00D5050D"/>
    <w:rsid w:val="00D50634"/>
    <w:rsid w:val="00D506B8"/>
    <w:rsid w:val="00D50950"/>
    <w:rsid w:val="00D50A1A"/>
    <w:rsid w:val="00D50BC0"/>
    <w:rsid w:val="00D50C27"/>
    <w:rsid w:val="00D50DA1"/>
    <w:rsid w:val="00D50E36"/>
    <w:rsid w:val="00D50EE1"/>
    <w:rsid w:val="00D50F6B"/>
    <w:rsid w:val="00D50F83"/>
    <w:rsid w:val="00D50FC9"/>
    <w:rsid w:val="00D5121D"/>
    <w:rsid w:val="00D51222"/>
    <w:rsid w:val="00D51334"/>
    <w:rsid w:val="00D51371"/>
    <w:rsid w:val="00D51499"/>
    <w:rsid w:val="00D5149B"/>
    <w:rsid w:val="00D514F1"/>
    <w:rsid w:val="00D51626"/>
    <w:rsid w:val="00D51713"/>
    <w:rsid w:val="00D51714"/>
    <w:rsid w:val="00D51A90"/>
    <w:rsid w:val="00D51B87"/>
    <w:rsid w:val="00D51C20"/>
    <w:rsid w:val="00D51CF5"/>
    <w:rsid w:val="00D51DD6"/>
    <w:rsid w:val="00D51DFC"/>
    <w:rsid w:val="00D51ED7"/>
    <w:rsid w:val="00D51F08"/>
    <w:rsid w:val="00D51FFA"/>
    <w:rsid w:val="00D52099"/>
    <w:rsid w:val="00D52242"/>
    <w:rsid w:val="00D5228D"/>
    <w:rsid w:val="00D522E0"/>
    <w:rsid w:val="00D522EE"/>
    <w:rsid w:val="00D52427"/>
    <w:rsid w:val="00D52462"/>
    <w:rsid w:val="00D525E7"/>
    <w:rsid w:val="00D52610"/>
    <w:rsid w:val="00D52623"/>
    <w:rsid w:val="00D52658"/>
    <w:rsid w:val="00D5273E"/>
    <w:rsid w:val="00D52745"/>
    <w:rsid w:val="00D52775"/>
    <w:rsid w:val="00D529C5"/>
    <w:rsid w:val="00D529D8"/>
    <w:rsid w:val="00D52A51"/>
    <w:rsid w:val="00D52AD7"/>
    <w:rsid w:val="00D52DA6"/>
    <w:rsid w:val="00D52DA7"/>
    <w:rsid w:val="00D52DBE"/>
    <w:rsid w:val="00D52E6E"/>
    <w:rsid w:val="00D52FDD"/>
    <w:rsid w:val="00D53011"/>
    <w:rsid w:val="00D53147"/>
    <w:rsid w:val="00D5318D"/>
    <w:rsid w:val="00D5320C"/>
    <w:rsid w:val="00D532AA"/>
    <w:rsid w:val="00D533D1"/>
    <w:rsid w:val="00D5362A"/>
    <w:rsid w:val="00D536DC"/>
    <w:rsid w:val="00D536F0"/>
    <w:rsid w:val="00D537BE"/>
    <w:rsid w:val="00D5394B"/>
    <w:rsid w:val="00D539B9"/>
    <w:rsid w:val="00D539E0"/>
    <w:rsid w:val="00D53BC8"/>
    <w:rsid w:val="00D53CC8"/>
    <w:rsid w:val="00D53D00"/>
    <w:rsid w:val="00D53D62"/>
    <w:rsid w:val="00D53E47"/>
    <w:rsid w:val="00D53F1B"/>
    <w:rsid w:val="00D53F1D"/>
    <w:rsid w:val="00D5401A"/>
    <w:rsid w:val="00D540D8"/>
    <w:rsid w:val="00D54152"/>
    <w:rsid w:val="00D5430A"/>
    <w:rsid w:val="00D543AA"/>
    <w:rsid w:val="00D5442F"/>
    <w:rsid w:val="00D5449F"/>
    <w:rsid w:val="00D545CA"/>
    <w:rsid w:val="00D545CC"/>
    <w:rsid w:val="00D54686"/>
    <w:rsid w:val="00D5472E"/>
    <w:rsid w:val="00D547A1"/>
    <w:rsid w:val="00D54887"/>
    <w:rsid w:val="00D54943"/>
    <w:rsid w:val="00D549BB"/>
    <w:rsid w:val="00D54A4A"/>
    <w:rsid w:val="00D54AB0"/>
    <w:rsid w:val="00D54AB2"/>
    <w:rsid w:val="00D54B2E"/>
    <w:rsid w:val="00D54BA8"/>
    <w:rsid w:val="00D54D00"/>
    <w:rsid w:val="00D54D54"/>
    <w:rsid w:val="00D54D93"/>
    <w:rsid w:val="00D550E4"/>
    <w:rsid w:val="00D551B8"/>
    <w:rsid w:val="00D55359"/>
    <w:rsid w:val="00D5543A"/>
    <w:rsid w:val="00D5543C"/>
    <w:rsid w:val="00D555C4"/>
    <w:rsid w:val="00D55889"/>
    <w:rsid w:val="00D559AA"/>
    <w:rsid w:val="00D559DE"/>
    <w:rsid w:val="00D55A1D"/>
    <w:rsid w:val="00D55AEA"/>
    <w:rsid w:val="00D55AFC"/>
    <w:rsid w:val="00D55F00"/>
    <w:rsid w:val="00D55F70"/>
    <w:rsid w:val="00D56103"/>
    <w:rsid w:val="00D563F1"/>
    <w:rsid w:val="00D56574"/>
    <w:rsid w:val="00D566C0"/>
    <w:rsid w:val="00D56975"/>
    <w:rsid w:val="00D56C16"/>
    <w:rsid w:val="00D56DD6"/>
    <w:rsid w:val="00D56EEC"/>
    <w:rsid w:val="00D57262"/>
    <w:rsid w:val="00D572AD"/>
    <w:rsid w:val="00D573B0"/>
    <w:rsid w:val="00D573CD"/>
    <w:rsid w:val="00D57512"/>
    <w:rsid w:val="00D575E1"/>
    <w:rsid w:val="00D579C3"/>
    <w:rsid w:val="00D57A6F"/>
    <w:rsid w:val="00D57A7F"/>
    <w:rsid w:val="00D57B10"/>
    <w:rsid w:val="00D57B15"/>
    <w:rsid w:val="00D57CAA"/>
    <w:rsid w:val="00D57D23"/>
    <w:rsid w:val="00D57DA5"/>
    <w:rsid w:val="00D57E30"/>
    <w:rsid w:val="00D6018A"/>
    <w:rsid w:val="00D6054F"/>
    <w:rsid w:val="00D608FB"/>
    <w:rsid w:val="00D60A60"/>
    <w:rsid w:val="00D60B47"/>
    <w:rsid w:val="00D60DA3"/>
    <w:rsid w:val="00D60E73"/>
    <w:rsid w:val="00D60E82"/>
    <w:rsid w:val="00D60FD6"/>
    <w:rsid w:val="00D619D8"/>
    <w:rsid w:val="00D61A8D"/>
    <w:rsid w:val="00D61AD8"/>
    <w:rsid w:val="00D61BE5"/>
    <w:rsid w:val="00D61C8C"/>
    <w:rsid w:val="00D61D0B"/>
    <w:rsid w:val="00D61F26"/>
    <w:rsid w:val="00D62068"/>
    <w:rsid w:val="00D621CA"/>
    <w:rsid w:val="00D62382"/>
    <w:rsid w:val="00D62476"/>
    <w:rsid w:val="00D62596"/>
    <w:rsid w:val="00D62730"/>
    <w:rsid w:val="00D627D5"/>
    <w:rsid w:val="00D62874"/>
    <w:rsid w:val="00D628FC"/>
    <w:rsid w:val="00D62902"/>
    <w:rsid w:val="00D62A66"/>
    <w:rsid w:val="00D62C2E"/>
    <w:rsid w:val="00D62CF0"/>
    <w:rsid w:val="00D62DC5"/>
    <w:rsid w:val="00D62F2C"/>
    <w:rsid w:val="00D62F88"/>
    <w:rsid w:val="00D6310F"/>
    <w:rsid w:val="00D6382A"/>
    <w:rsid w:val="00D639A5"/>
    <w:rsid w:val="00D63A56"/>
    <w:rsid w:val="00D63CC8"/>
    <w:rsid w:val="00D63CEF"/>
    <w:rsid w:val="00D63EC0"/>
    <w:rsid w:val="00D64044"/>
    <w:rsid w:val="00D64129"/>
    <w:rsid w:val="00D6414E"/>
    <w:rsid w:val="00D64193"/>
    <w:rsid w:val="00D641BB"/>
    <w:rsid w:val="00D642E3"/>
    <w:rsid w:val="00D643AE"/>
    <w:rsid w:val="00D643D2"/>
    <w:rsid w:val="00D6440B"/>
    <w:rsid w:val="00D6448F"/>
    <w:rsid w:val="00D64552"/>
    <w:rsid w:val="00D64592"/>
    <w:rsid w:val="00D6498A"/>
    <w:rsid w:val="00D64A3B"/>
    <w:rsid w:val="00D6526E"/>
    <w:rsid w:val="00D65330"/>
    <w:rsid w:val="00D653F1"/>
    <w:rsid w:val="00D6552D"/>
    <w:rsid w:val="00D65607"/>
    <w:rsid w:val="00D65889"/>
    <w:rsid w:val="00D65AF9"/>
    <w:rsid w:val="00D65B84"/>
    <w:rsid w:val="00D65BA8"/>
    <w:rsid w:val="00D65E59"/>
    <w:rsid w:val="00D65F51"/>
    <w:rsid w:val="00D66018"/>
    <w:rsid w:val="00D66089"/>
    <w:rsid w:val="00D66303"/>
    <w:rsid w:val="00D66325"/>
    <w:rsid w:val="00D66464"/>
    <w:rsid w:val="00D6680A"/>
    <w:rsid w:val="00D66929"/>
    <w:rsid w:val="00D66A42"/>
    <w:rsid w:val="00D66A7D"/>
    <w:rsid w:val="00D66AD7"/>
    <w:rsid w:val="00D66D48"/>
    <w:rsid w:val="00D66E04"/>
    <w:rsid w:val="00D66E32"/>
    <w:rsid w:val="00D67005"/>
    <w:rsid w:val="00D671AA"/>
    <w:rsid w:val="00D67288"/>
    <w:rsid w:val="00D67371"/>
    <w:rsid w:val="00D679A9"/>
    <w:rsid w:val="00D679BD"/>
    <w:rsid w:val="00D67A2D"/>
    <w:rsid w:val="00D67A32"/>
    <w:rsid w:val="00D67B60"/>
    <w:rsid w:val="00D67D37"/>
    <w:rsid w:val="00D67F7D"/>
    <w:rsid w:val="00D70118"/>
    <w:rsid w:val="00D701DF"/>
    <w:rsid w:val="00D706E3"/>
    <w:rsid w:val="00D706E9"/>
    <w:rsid w:val="00D70AEC"/>
    <w:rsid w:val="00D70DA3"/>
    <w:rsid w:val="00D70EED"/>
    <w:rsid w:val="00D71153"/>
    <w:rsid w:val="00D71229"/>
    <w:rsid w:val="00D71325"/>
    <w:rsid w:val="00D71392"/>
    <w:rsid w:val="00D714A8"/>
    <w:rsid w:val="00D714FD"/>
    <w:rsid w:val="00D7158D"/>
    <w:rsid w:val="00D71893"/>
    <w:rsid w:val="00D718EC"/>
    <w:rsid w:val="00D71A4D"/>
    <w:rsid w:val="00D71A52"/>
    <w:rsid w:val="00D71A5A"/>
    <w:rsid w:val="00D71B00"/>
    <w:rsid w:val="00D71B20"/>
    <w:rsid w:val="00D71B5A"/>
    <w:rsid w:val="00D71C05"/>
    <w:rsid w:val="00D71D0D"/>
    <w:rsid w:val="00D71EA8"/>
    <w:rsid w:val="00D72040"/>
    <w:rsid w:val="00D721C5"/>
    <w:rsid w:val="00D722B6"/>
    <w:rsid w:val="00D72371"/>
    <w:rsid w:val="00D72426"/>
    <w:rsid w:val="00D7248C"/>
    <w:rsid w:val="00D724AD"/>
    <w:rsid w:val="00D724CE"/>
    <w:rsid w:val="00D726DA"/>
    <w:rsid w:val="00D72883"/>
    <w:rsid w:val="00D7295C"/>
    <w:rsid w:val="00D729EA"/>
    <w:rsid w:val="00D72B9E"/>
    <w:rsid w:val="00D72CF3"/>
    <w:rsid w:val="00D72E10"/>
    <w:rsid w:val="00D72EE2"/>
    <w:rsid w:val="00D72F98"/>
    <w:rsid w:val="00D73333"/>
    <w:rsid w:val="00D733EE"/>
    <w:rsid w:val="00D735AA"/>
    <w:rsid w:val="00D73763"/>
    <w:rsid w:val="00D73861"/>
    <w:rsid w:val="00D73994"/>
    <w:rsid w:val="00D73B75"/>
    <w:rsid w:val="00D73C29"/>
    <w:rsid w:val="00D73CBC"/>
    <w:rsid w:val="00D73E38"/>
    <w:rsid w:val="00D73E65"/>
    <w:rsid w:val="00D73E83"/>
    <w:rsid w:val="00D73F51"/>
    <w:rsid w:val="00D740EB"/>
    <w:rsid w:val="00D74262"/>
    <w:rsid w:val="00D743EF"/>
    <w:rsid w:val="00D7444A"/>
    <w:rsid w:val="00D744C1"/>
    <w:rsid w:val="00D744DA"/>
    <w:rsid w:val="00D746B7"/>
    <w:rsid w:val="00D74D32"/>
    <w:rsid w:val="00D74EA8"/>
    <w:rsid w:val="00D74FCB"/>
    <w:rsid w:val="00D75205"/>
    <w:rsid w:val="00D75212"/>
    <w:rsid w:val="00D75220"/>
    <w:rsid w:val="00D752EE"/>
    <w:rsid w:val="00D75376"/>
    <w:rsid w:val="00D7543F"/>
    <w:rsid w:val="00D7547C"/>
    <w:rsid w:val="00D754C0"/>
    <w:rsid w:val="00D75508"/>
    <w:rsid w:val="00D758F8"/>
    <w:rsid w:val="00D75A96"/>
    <w:rsid w:val="00D75B90"/>
    <w:rsid w:val="00D75DDB"/>
    <w:rsid w:val="00D75F62"/>
    <w:rsid w:val="00D75F6F"/>
    <w:rsid w:val="00D76016"/>
    <w:rsid w:val="00D7605D"/>
    <w:rsid w:val="00D76115"/>
    <w:rsid w:val="00D762B4"/>
    <w:rsid w:val="00D763E2"/>
    <w:rsid w:val="00D76502"/>
    <w:rsid w:val="00D76543"/>
    <w:rsid w:val="00D76678"/>
    <w:rsid w:val="00D76A8C"/>
    <w:rsid w:val="00D76C8B"/>
    <w:rsid w:val="00D76C98"/>
    <w:rsid w:val="00D76CFB"/>
    <w:rsid w:val="00D76D39"/>
    <w:rsid w:val="00D76D62"/>
    <w:rsid w:val="00D76DA5"/>
    <w:rsid w:val="00D76F53"/>
    <w:rsid w:val="00D77194"/>
    <w:rsid w:val="00D77308"/>
    <w:rsid w:val="00D77332"/>
    <w:rsid w:val="00D77479"/>
    <w:rsid w:val="00D775A7"/>
    <w:rsid w:val="00D77604"/>
    <w:rsid w:val="00D7765D"/>
    <w:rsid w:val="00D776A0"/>
    <w:rsid w:val="00D776C0"/>
    <w:rsid w:val="00D776EC"/>
    <w:rsid w:val="00D77716"/>
    <w:rsid w:val="00D778D1"/>
    <w:rsid w:val="00D7798F"/>
    <w:rsid w:val="00D779AA"/>
    <w:rsid w:val="00D77AB1"/>
    <w:rsid w:val="00D77B39"/>
    <w:rsid w:val="00D77CB7"/>
    <w:rsid w:val="00D77CFD"/>
    <w:rsid w:val="00D77EB0"/>
    <w:rsid w:val="00D77F5D"/>
    <w:rsid w:val="00D80065"/>
    <w:rsid w:val="00D8015D"/>
    <w:rsid w:val="00D80508"/>
    <w:rsid w:val="00D80684"/>
    <w:rsid w:val="00D80695"/>
    <w:rsid w:val="00D80704"/>
    <w:rsid w:val="00D8087F"/>
    <w:rsid w:val="00D808E1"/>
    <w:rsid w:val="00D808EE"/>
    <w:rsid w:val="00D80B8B"/>
    <w:rsid w:val="00D80BF8"/>
    <w:rsid w:val="00D80C97"/>
    <w:rsid w:val="00D80DE4"/>
    <w:rsid w:val="00D80EBF"/>
    <w:rsid w:val="00D811C9"/>
    <w:rsid w:val="00D811EA"/>
    <w:rsid w:val="00D814BD"/>
    <w:rsid w:val="00D8172D"/>
    <w:rsid w:val="00D8176A"/>
    <w:rsid w:val="00D81926"/>
    <w:rsid w:val="00D81BE4"/>
    <w:rsid w:val="00D81C09"/>
    <w:rsid w:val="00D81CBC"/>
    <w:rsid w:val="00D81D14"/>
    <w:rsid w:val="00D81D36"/>
    <w:rsid w:val="00D81EDD"/>
    <w:rsid w:val="00D821F3"/>
    <w:rsid w:val="00D822BC"/>
    <w:rsid w:val="00D82430"/>
    <w:rsid w:val="00D8247F"/>
    <w:rsid w:val="00D824DC"/>
    <w:rsid w:val="00D825FC"/>
    <w:rsid w:val="00D8266D"/>
    <w:rsid w:val="00D82767"/>
    <w:rsid w:val="00D827B9"/>
    <w:rsid w:val="00D82BAE"/>
    <w:rsid w:val="00D82D82"/>
    <w:rsid w:val="00D82EB8"/>
    <w:rsid w:val="00D82ED2"/>
    <w:rsid w:val="00D82EED"/>
    <w:rsid w:val="00D83008"/>
    <w:rsid w:val="00D83033"/>
    <w:rsid w:val="00D83067"/>
    <w:rsid w:val="00D83084"/>
    <w:rsid w:val="00D83132"/>
    <w:rsid w:val="00D83243"/>
    <w:rsid w:val="00D8353C"/>
    <w:rsid w:val="00D83581"/>
    <w:rsid w:val="00D83841"/>
    <w:rsid w:val="00D838A9"/>
    <w:rsid w:val="00D839FC"/>
    <w:rsid w:val="00D83B60"/>
    <w:rsid w:val="00D83DD3"/>
    <w:rsid w:val="00D83E2B"/>
    <w:rsid w:val="00D8411D"/>
    <w:rsid w:val="00D841EB"/>
    <w:rsid w:val="00D84246"/>
    <w:rsid w:val="00D8434F"/>
    <w:rsid w:val="00D845B6"/>
    <w:rsid w:val="00D8469D"/>
    <w:rsid w:val="00D8494E"/>
    <w:rsid w:val="00D84C05"/>
    <w:rsid w:val="00D84DD9"/>
    <w:rsid w:val="00D85207"/>
    <w:rsid w:val="00D8527A"/>
    <w:rsid w:val="00D852AD"/>
    <w:rsid w:val="00D8533A"/>
    <w:rsid w:val="00D854FD"/>
    <w:rsid w:val="00D856B0"/>
    <w:rsid w:val="00D857BD"/>
    <w:rsid w:val="00D858A3"/>
    <w:rsid w:val="00D8591A"/>
    <w:rsid w:val="00D85A47"/>
    <w:rsid w:val="00D85C2C"/>
    <w:rsid w:val="00D85CDA"/>
    <w:rsid w:val="00D86057"/>
    <w:rsid w:val="00D863B7"/>
    <w:rsid w:val="00D8655B"/>
    <w:rsid w:val="00D865E1"/>
    <w:rsid w:val="00D8673B"/>
    <w:rsid w:val="00D867F2"/>
    <w:rsid w:val="00D86956"/>
    <w:rsid w:val="00D86990"/>
    <w:rsid w:val="00D86B49"/>
    <w:rsid w:val="00D86B81"/>
    <w:rsid w:val="00D86BA4"/>
    <w:rsid w:val="00D86C94"/>
    <w:rsid w:val="00D86D07"/>
    <w:rsid w:val="00D86D7C"/>
    <w:rsid w:val="00D86D83"/>
    <w:rsid w:val="00D86DE9"/>
    <w:rsid w:val="00D86F2E"/>
    <w:rsid w:val="00D86F75"/>
    <w:rsid w:val="00D87113"/>
    <w:rsid w:val="00D87417"/>
    <w:rsid w:val="00D875F1"/>
    <w:rsid w:val="00D875F9"/>
    <w:rsid w:val="00D87673"/>
    <w:rsid w:val="00D876B8"/>
    <w:rsid w:val="00D876CE"/>
    <w:rsid w:val="00D8770B"/>
    <w:rsid w:val="00D877BC"/>
    <w:rsid w:val="00D8795C"/>
    <w:rsid w:val="00D87BF8"/>
    <w:rsid w:val="00D87D33"/>
    <w:rsid w:val="00D87E29"/>
    <w:rsid w:val="00D87F5B"/>
    <w:rsid w:val="00D902B8"/>
    <w:rsid w:val="00D903F9"/>
    <w:rsid w:val="00D90636"/>
    <w:rsid w:val="00D90734"/>
    <w:rsid w:val="00D908E7"/>
    <w:rsid w:val="00D909E2"/>
    <w:rsid w:val="00D90A60"/>
    <w:rsid w:val="00D90A7F"/>
    <w:rsid w:val="00D90E2D"/>
    <w:rsid w:val="00D90FF7"/>
    <w:rsid w:val="00D911D2"/>
    <w:rsid w:val="00D911FF"/>
    <w:rsid w:val="00D91281"/>
    <w:rsid w:val="00D914D2"/>
    <w:rsid w:val="00D915C7"/>
    <w:rsid w:val="00D9173F"/>
    <w:rsid w:val="00D917A2"/>
    <w:rsid w:val="00D91895"/>
    <w:rsid w:val="00D91945"/>
    <w:rsid w:val="00D91E0A"/>
    <w:rsid w:val="00D91E85"/>
    <w:rsid w:val="00D91FF4"/>
    <w:rsid w:val="00D920C6"/>
    <w:rsid w:val="00D92107"/>
    <w:rsid w:val="00D9218D"/>
    <w:rsid w:val="00D922D5"/>
    <w:rsid w:val="00D924E5"/>
    <w:rsid w:val="00D92511"/>
    <w:rsid w:val="00D92524"/>
    <w:rsid w:val="00D925C3"/>
    <w:rsid w:val="00D927EE"/>
    <w:rsid w:val="00D92B16"/>
    <w:rsid w:val="00D92B76"/>
    <w:rsid w:val="00D92C29"/>
    <w:rsid w:val="00D92CF9"/>
    <w:rsid w:val="00D92F42"/>
    <w:rsid w:val="00D92F58"/>
    <w:rsid w:val="00D92FFC"/>
    <w:rsid w:val="00D93011"/>
    <w:rsid w:val="00D93631"/>
    <w:rsid w:val="00D936B4"/>
    <w:rsid w:val="00D93726"/>
    <w:rsid w:val="00D93748"/>
    <w:rsid w:val="00D93823"/>
    <w:rsid w:val="00D93867"/>
    <w:rsid w:val="00D939E8"/>
    <w:rsid w:val="00D93A9C"/>
    <w:rsid w:val="00D93B3B"/>
    <w:rsid w:val="00D93BFB"/>
    <w:rsid w:val="00D93E7C"/>
    <w:rsid w:val="00D94086"/>
    <w:rsid w:val="00D9427D"/>
    <w:rsid w:val="00D942C6"/>
    <w:rsid w:val="00D9430A"/>
    <w:rsid w:val="00D94388"/>
    <w:rsid w:val="00D943CB"/>
    <w:rsid w:val="00D94477"/>
    <w:rsid w:val="00D9455D"/>
    <w:rsid w:val="00D945BB"/>
    <w:rsid w:val="00D9462A"/>
    <w:rsid w:val="00D94766"/>
    <w:rsid w:val="00D94848"/>
    <w:rsid w:val="00D94865"/>
    <w:rsid w:val="00D9488E"/>
    <w:rsid w:val="00D94A23"/>
    <w:rsid w:val="00D94AF2"/>
    <w:rsid w:val="00D94B6B"/>
    <w:rsid w:val="00D94C12"/>
    <w:rsid w:val="00D94C6E"/>
    <w:rsid w:val="00D94FEF"/>
    <w:rsid w:val="00D95189"/>
    <w:rsid w:val="00D95272"/>
    <w:rsid w:val="00D952AB"/>
    <w:rsid w:val="00D95386"/>
    <w:rsid w:val="00D9541A"/>
    <w:rsid w:val="00D95445"/>
    <w:rsid w:val="00D954B5"/>
    <w:rsid w:val="00D95534"/>
    <w:rsid w:val="00D95590"/>
    <w:rsid w:val="00D95592"/>
    <w:rsid w:val="00D956D5"/>
    <w:rsid w:val="00D957AA"/>
    <w:rsid w:val="00D95B93"/>
    <w:rsid w:val="00D95BBB"/>
    <w:rsid w:val="00D95D9C"/>
    <w:rsid w:val="00D95EBE"/>
    <w:rsid w:val="00D95F7A"/>
    <w:rsid w:val="00D96030"/>
    <w:rsid w:val="00D9615F"/>
    <w:rsid w:val="00D96463"/>
    <w:rsid w:val="00D96583"/>
    <w:rsid w:val="00D96586"/>
    <w:rsid w:val="00D9661C"/>
    <w:rsid w:val="00D967F3"/>
    <w:rsid w:val="00D968A2"/>
    <w:rsid w:val="00D96A11"/>
    <w:rsid w:val="00D96BB9"/>
    <w:rsid w:val="00D96F0E"/>
    <w:rsid w:val="00D96F2E"/>
    <w:rsid w:val="00D97027"/>
    <w:rsid w:val="00D972F9"/>
    <w:rsid w:val="00D97330"/>
    <w:rsid w:val="00D97379"/>
    <w:rsid w:val="00D97525"/>
    <w:rsid w:val="00D975FD"/>
    <w:rsid w:val="00D976E4"/>
    <w:rsid w:val="00D9777D"/>
    <w:rsid w:val="00D97901"/>
    <w:rsid w:val="00D979A9"/>
    <w:rsid w:val="00D979D7"/>
    <w:rsid w:val="00D97B27"/>
    <w:rsid w:val="00D97B3C"/>
    <w:rsid w:val="00D97B89"/>
    <w:rsid w:val="00D97D30"/>
    <w:rsid w:val="00D97EA7"/>
    <w:rsid w:val="00D97FAD"/>
    <w:rsid w:val="00DA00C2"/>
    <w:rsid w:val="00DA0186"/>
    <w:rsid w:val="00DA0202"/>
    <w:rsid w:val="00DA026B"/>
    <w:rsid w:val="00DA02E2"/>
    <w:rsid w:val="00DA038C"/>
    <w:rsid w:val="00DA061A"/>
    <w:rsid w:val="00DA0761"/>
    <w:rsid w:val="00DA0857"/>
    <w:rsid w:val="00DA0922"/>
    <w:rsid w:val="00DA0A4A"/>
    <w:rsid w:val="00DA0AEF"/>
    <w:rsid w:val="00DA0C0A"/>
    <w:rsid w:val="00DA0D0F"/>
    <w:rsid w:val="00DA0D29"/>
    <w:rsid w:val="00DA0D99"/>
    <w:rsid w:val="00DA0EEA"/>
    <w:rsid w:val="00DA0FEF"/>
    <w:rsid w:val="00DA102F"/>
    <w:rsid w:val="00DA10B9"/>
    <w:rsid w:val="00DA126A"/>
    <w:rsid w:val="00DA12D8"/>
    <w:rsid w:val="00DA15B5"/>
    <w:rsid w:val="00DA170A"/>
    <w:rsid w:val="00DA17F3"/>
    <w:rsid w:val="00DA1880"/>
    <w:rsid w:val="00DA1949"/>
    <w:rsid w:val="00DA1995"/>
    <w:rsid w:val="00DA199B"/>
    <w:rsid w:val="00DA19EC"/>
    <w:rsid w:val="00DA1A4C"/>
    <w:rsid w:val="00DA1B9B"/>
    <w:rsid w:val="00DA1BFF"/>
    <w:rsid w:val="00DA1CAC"/>
    <w:rsid w:val="00DA1D06"/>
    <w:rsid w:val="00DA2049"/>
    <w:rsid w:val="00DA2053"/>
    <w:rsid w:val="00DA21CA"/>
    <w:rsid w:val="00DA2212"/>
    <w:rsid w:val="00DA22F3"/>
    <w:rsid w:val="00DA25AD"/>
    <w:rsid w:val="00DA26D4"/>
    <w:rsid w:val="00DA2A39"/>
    <w:rsid w:val="00DA2CF7"/>
    <w:rsid w:val="00DA2E1E"/>
    <w:rsid w:val="00DA2F09"/>
    <w:rsid w:val="00DA3090"/>
    <w:rsid w:val="00DA30A8"/>
    <w:rsid w:val="00DA3132"/>
    <w:rsid w:val="00DA316E"/>
    <w:rsid w:val="00DA31ED"/>
    <w:rsid w:val="00DA320B"/>
    <w:rsid w:val="00DA330E"/>
    <w:rsid w:val="00DA3400"/>
    <w:rsid w:val="00DA344E"/>
    <w:rsid w:val="00DA3562"/>
    <w:rsid w:val="00DA3624"/>
    <w:rsid w:val="00DA36B4"/>
    <w:rsid w:val="00DA38B3"/>
    <w:rsid w:val="00DA3935"/>
    <w:rsid w:val="00DA3A32"/>
    <w:rsid w:val="00DA3ADC"/>
    <w:rsid w:val="00DA3CCF"/>
    <w:rsid w:val="00DA3D51"/>
    <w:rsid w:val="00DA3E0F"/>
    <w:rsid w:val="00DA3F33"/>
    <w:rsid w:val="00DA40A4"/>
    <w:rsid w:val="00DA4184"/>
    <w:rsid w:val="00DA43BE"/>
    <w:rsid w:val="00DA4400"/>
    <w:rsid w:val="00DA471B"/>
    <w:rsid w:val="00DA48FF"/>
    <w:rsid w:val="00DA495B"/>
    <w:rsid w:val="00DA4C0B"/>
    <w:rsid w:val="00DA4CDF"/>
    <w:rsid w:val="00DA4F42"/>
    <w:rsid w:val="00DA4FE9"/>
    <w:rsid w:val="00DA5009"/>
    <w:rsid w:val="00DA5047"/>
    <w:rsid w:val="00DA5098"/>
    <w:rsid w:val="00DA515F"/>
    <w:rsid w:val="00DA5193"/>
    <w:rsid w:val="00DA53E0"/>
    <w:rsid w:val="00DA54CC"/>
    <w:rsid w:val="00DA55A5"/>
    <w:rsid w:val="00DA55C6"/>
    <w:rsid w:val="00DA5635"/>
    <w:rsid w:val="00DA588B"/>
    <w:rsid w:val="00DA58B5"/>
    <w:rsid w:val="00DA5906"/>
    <w:rsid w:val="00DA5AB2"/>
    <w:rsid w:val="00DA5B00"/>
    <w:rsid w:val="00DA5B49"/>
    <w:rsid w:val="00DA5FD3"/>
    <w:rsid w:val="00DA60D6"/>
    <w:rsid w:val="00DA610E"/>
    <w:rsid w:val="00DA6146"/>
    <w:rsid w:val="00DA61E4"/>
    <w:rsid w:val="00DA6554"/>
    <w:rsid w:val="00DA65AA"/>
    <w:rsid w:val="00DA6668"/>
    <w:rsid w:val="00DA6770"/>
    <w:rsid w:val="00DA6909"/>
    <w:rsid w:val="00DA69DD"/>
    <w:rsid w:val="00DA6A42"/>
    <w:rsid w:val="00DA6B6E"/>
    <w:rsid w:val="00DA6CE3"/>
    <w:rsid w:val="00DA6DAC"/>
    <w:rsid w:val="00DA6F02"/>
    <w:rsid w:val="00DA6F42"/>
    <w:rsid w:val="00DA70F6"/>
    <w:rsid w:val="00DA7284"/>
    <w:rsid w:val="00DA72A4"/>
    <w:rsid w:val="00DA72C0"/>
    <w:rsid w:val="00DA7339"/>
    <w:rsid w:val="00DA73D3"/>
    <w:rsid w:val="00DA7459"/>
    <w:rsid w:val="00DA75C3"/>
    <w:rsid w:val="00DA7701"/>
    <w:rsid w:val="00DA7722"/>
    <w:rsid w:val="00DA7782"/>
    <w:rsid w:val="00DA7BCC"/>
    <w:rsid w:val="00DA7C19"/>
    <w:rsid w:val="00DA7C4C"/>
    <w:rsid w:val="00DA7D5A"/>
    <w:rsid w:val="00DA7E87"/>
    <w:rsid w:val="00DA7F3D"/>
    <w:rsid w:val="00DB0405"/>
    <w:rsid w:val="00DB06C3"/>
    <w:rsid w:val="00DB079D"/>
    <w:rsid w:val="00DB08BB"/>
    <w:rsid w:val="00DB08C9"/>
    <w:rsid w:val="00DB094A"/>
    <w:rsid w:val="00DB0A3F"/>
    <w:rsid w:val="00DB0B1D"/>
    <w:rsid w:val="00DB0B75"/>
    <w:rsid w:val="00DB0DD9"/>
    <w:rsid w:val="00DB0F8C"/>
    <w:rsid w:val="00DB10D7"/>
    <w:rsid w:val="00DB1161"/>
    <w:rsid w:val="00DB1391"/>
    <w:rsid w:val="00DB14E0"/>
    <w:rsid w:val="00DB153D"/>
    <w:rsid w:val="00DB1568"/>
    <w:rsid w:val="00DB16D5"/>
    <w:rsid w:val="00DB181D"/>
    <w:rsid w:val="00DB1843"/>
    <w:rsid w:val="00DB18E7"/>
    <w:rsid w:val="00DB1945"/>
    <w:rsid w:val="00DB1998"/>
    <w:rsid w:val="00DB1B82"/>
    <w:rsid w:val="00DB1CAB"/>
    <w:rsid w:val="00DB1CD9"/>
    <w:rsid w:val="00DB1CE0"/>
    <w:rsid w:val="00DB1DE6"/>
    <w:rsid w:val="00DB1E46"/>
    <w:rsid w:val="00DB1EA0"/>
    <w:rsid w:val="00DB1F0B"/>
    <w:rsid w:val="00DB2113"/>
    <w:rsid w:val="00DB232C"/>
    <w:rsid w:val="00DB24F7"/>
    <w:rsid w:val="00DB2562"/>
    <w:rsid w:val="00DB2606"/>
    <w:rsid w:val="00DB26D4"/>
    <w:rsid w:val="00DB2885"/>
    <w:rsid w:val="00DB28EA"/>
    <w:rsid w:val="00DB2922"/>
    <w:rsid w:val="00DB29E8"/>
    <w:rsid w:val="00DB2B98"/>
    <w:rsid w:val="00DB2DD4"/>
    <w:rsid w:val="00DB2E06"/>
    <w:rsid w:val="00DB3089"/>
    <w:rsid w:val="00DB3571"/>
    <w:rsid w:val="00DB37BD"/>
    <w:rsid w:val="00DB37FB"/>
    <w:rsid w:val="00DB38F7"/>
    <w:rsid w:val="00DB3902"/>
    <w:rsid w:val="00DB3916"/>
    <w:rsid w:val="00DB3B67"/>
    <w:rsid w:val="00DB3B77"/>
    <w:rsid w:val="00DB3C40"/>
    <w:rsid w:val="00DB3C8E"/>
    <w:rsid w:val="00DB3CA4"/>
    <w:rsid w:val="00DB3F0D"/>
    <w:rsid w:val="00DB432E"/>
    <w:rsid w:val="00DB4365"/>
    <w:rsid w:val="00DB438D"/>
    <w:rsid w:val="00DB44ED"/>
    <w:rsid w:val="00DB4521"/>
    <w:rsid w:val="00DB47FC"/>
    <w:rsid w:val="00DB489E"/>
    <w:rsid w:val="00DB494B"/>
    <w:rsid w:val="00DB4A8C"/>
    <w:rsid w:val="00DB4D15"/>
    <w:rsid w:val="00DB4F00"/>
    <w:rsid w:val="00DB4F52"/>
    <w:rsid w:val="00DB4F57"/>
    <w:rsid w:val="00DB511C"/>
    <w:rsid w:val="00DB5159"/>
    <w:rsid w:val="00DB526D"/>
    <w:rsid w:val="00DB5285"/>
    <w:rsid w:val="00DB54A6"/>
    <w:rsid w:val="00DB5509"/>
    <w:rsid w:val="00DB56C2"/>
    <w:rsid w:val="00DB57A9"/>
    <w:rsid w:val="00DB57D7"/>
    <w:rsid w:val="00DB587C"/>
    <w:rsid w:val="00DB59C9"/>
    <w:rsid w:val="00DB5A5D"/>
    <w:rsid w:val="00DB5A98"/>
    <w:rsid w:val="00DB5B2C"/>
    <w:rsid w:val="00DB5D0A"/>
    <w:rsid w:val="00DB5E69"/>
    <w:rsid w:val="00DB5EB0"/>
    <w:rsid w:val="00DB5EE6"/>
    <w:rsid w:val="00DB60D6"/>
    <w:rsid w:val="00DB61FC"/>
    <w:rsid w:val="00DB6328"/>
    <w:rsid w:val="00DB65C0"/>
    <w:rsid w:val="00DB65CA"/>
    <w:rsid w:val="00DB68FA"/>
    <w:rsid w:val="00DB6AC6"/>
    <w:rsid w:val="00DB6B9C"/>
    <w:rsid w:val="00DB6E80"/>
    <w:rsid w:val="00DB6E9C"/>
    <w:rsid w:val="00DB6F93"/>
    <w:rsid w:val="00DB6FC0"/>
    <w:rsid w:val="00DB700B"/>
    <w:rsid w:val="00DB723D"/>
    <w:rsid w:val="00DB72AB"/>
    <w:rsid w:val="00DB72DE"/>
    <w:rsid w:val="00DB72E4"/>
    <w:rsid w:val="00DB72E7"/>
    <w:rsid w:val="00DB73D7"/>
    <w:rsid w:val="00DB7567"/>
    <w:rsid w:val="00DB7606"/>
    <w:rsid w:val="00DB7722"/>
    <w:rsid w:val="00DB77AB"/>
    <w:rsid w:val="00DB79D1"/>
    <w:rsid w:val="00DB7A62"/>
    <w:rsid w:val="00DB7CC3"/>
    <w:rsid w:val="00DB7D0C"/>
    <w:rsid w:val="00DB7DF8"/>
    <w:rsid w:val="00DB7EF2"/>
    <w:rsid w:val="00DC01C2"/>
    <w:rsid w:val="00DC01EA"/>
    <w:rsid w:val="00DC030E"/>
    <w:rsid w:val="00DC03C4"/>
    <w:rsid w:val="00DC0420"/>
    <w:rsid w:val="00DC0539"/>
    <w:rsid w:val="00DC0922"/>
    <w:rsid w:val="00DC0B41"/>
    <w:rsid w:val="00DC0C2D"/>
    <w:rsid w:val="00DC0C35"/>
    <w:rsid w:val="00DC0DB7"/>
    <w:rsid w:val="00DC1096"/>
    <w:rsid w:val="00DC127B"/>
    <w:rsid w:val="00DC12F6"/>
    <w:rsid w:val="00DC138C"/>
    <w:rsid w:val="00DC1469"/>
    <w:rsid w:val="00DC153C"/>
    <w:rsid w:val="00DC15AF"/>
    <w:rsid w:val="00DC165B"/>
    <w:rsid w:val="00DC17EF"/>
    <w:rsid w:val="00DC1A9E"/>
    <w:rsid w:val="00DC1BEE"/>
    <w:rsid w:val="00DC1ED1"/>
    <w:rsid w:val="00DC1F04"/>
    <w:rsid w:val="00DC1F1F"/>
    <w:rsid w:val="00DC1F5E"/>
    <w:rsid w:val="00DC1F68"/>
    <w:rsid w:val="00DC207E"/>
    <w:rsid w:val="00DC2096"/>
    <w:rsid w:val="00DC2231"/>
    <w:rsid w:val="00DC230B"/>
    <w:rsid w:val="00DC24F6"/>
    <w:rsid w:val="00DC25B0"/>
    <w:rsid w:val="00DC26EF"/>
    <w:rsid w:val="00DC272F"/>
    <w:rsid w:val="00DC278B"/>
    <w:rsid w:val="00DC2959"/>
    <w:rsid w:val="00DC29FA"/>
    <w:rsid w:val="00DC2AB7"/>
    <w:rsid w:val="00DC2B3D"/>
    <w:rsid w:val="00DC2B44"/>
    <w:rsid w:val="00DC2EA1"/>
    <w:rsid w:val="00DC2EA6"/>
    <w:rsid w:val="00DC3168"/>
    <w:rsid w:val="00DC3266"/>
    <w:rsid w:val="00DC32BD"/>
    <w:rsid w:val="00DC349F"/>
    <w:rsid w:val="00DC34B9"/>
    <w:rsid w:val="00DC3551"/>
    <w:rsid w:val="00DC3676"/>
    <w:rsid w:val="00DC36AB"/>
    <w:rsid w:val="00DC374A"/>
    <w:rsid w:val="00DC3932"/>
    <w:rsid w:val="00DC3A2B"/>
    <w:rsid w:val="00DC3BB0"/>
    <w:rsid w:val="00DC3C0A"/>
    <w:rsid w:val="00DC3E14"/>
    <w:rsid w:val="00DC3F53"/>
    <w:rsid w:val="00DC3F88"/>
    <w:rsid w:val="00DC3F93"/>
    <w:rsid w:val="00DC42BD"/>
    <w:rsid w:val="00DC43E4"/>
    <w:rsid w:val="00DC450E"/>
    <w:rsid w:val="00DC451D"/>
    <w:rsid w:val="00DC4682"/>
    <w:rsid w:val="00DC4A29"/>
    <w:rsid w:val="00DC4AD1"/>
    <w:rsid w:val="00DC4B0B"/>
    <w:rsid w:val="00DC4F4B"/>
    <w:rsid w:val="00DC5167"/>
    <w:rsid w:val="00DC5402"/>
    <w:rsid w:val="00DC5407"/>
    <w:rsid w:val="00DC558A"/>
    <w:rsid w:val="00DC5687"/>
    <w:rsid w:val="00DC5967"/>
    <w:rsid w:val="00DC5A2D"/>
    <w:rsid w:val="00DC5A64"/>
    <w:rsid w:val="00DC5A70"/>
    <w:rsid w:val="00DC5B18"/>
    <w:rsid w:val="00DC5C35"/>
    <w:rsid w:val="00DC5C87"/>
    <w:rsid w:val="00DC5CBA"/>
    <w:rsid w:val="00DC5DE2"/>
    <w:rsid w:val="00DC5F05"/>
    <w:rsid w:val="00DC5F9D"/>
    <w:rsid w:val="00DC6164"/>
    <w:rsid w:val="00DC6265"/>
    <w:rsid w:val="00DC634E"/>
    <w:rsid w:val="00DC637B"/>
    <w:rsid w:val="00DC63E9"/>
    <w:rsid w:val="00DC66CD"/>
    <w:rsid w:val="00DC689F"/>
    <w:rsid w:val="00DC6943"/>
    <w:rsid w:val="00DC6A0E"/>
    <w:rsid w:val="00DC6AA9"/>
    <w:rsid w:val="00DC6B92"/>
    <w:rsid w:val="00DC6CAA"/>
    <w:rsid w:val="00DC6CD9"/>
    <w:rsid w:val="00DC6E2C"/>
    <w:rsid w:val="00DC6E2D"/>
    <w:rsid w:val="00DC6E41"/>
    <w:rsid w:val="00DC6E95"/>
    <w:rsid w:val="00DC7123"/>
    <w:rsid w:val="00DC71EF"/>
    <w:rsid w:val="00DC72C6"/>
    <w:rsid w:val="00DC73F3"/>
    <w:rsid w:val="00DC759A"/>
    <w:rsid w:val="00DC764B"/>
    <w:rsid w:val="00DC773D"/>
    <w:rsid w:val="00DC776D"/>
    <w:rsid w:val="00DC77AE"/>
    <w:rsid w:val="00DC7824"/>
    <w:rsid w:val="00DC796B"/>
    <w:rsid w:val="00DC7984"/>
    <w:rsid w:val="00DC7ACE"/>
    <w:rsid w:val="00DC7AF3"/>
    <w:rsid w:val="00DC7B32"/>
    <w:rsid w:val="00DC7C34"/>
    <w:rsid w:val="00DC7C5B"/>
    <w:rsid w:val="00DC7C6D"/>
    <w:rsid w:val="00DC7CE2"/>
    <w:rsid w:val="00DD0231"/>
    <w:rsid w:val="00DD028B"/>
    <w:rsid w:val="00DD0584"/>
    <w:rsid w:val="00DD079B"/>
    <w:rsid w:val="00DD0831"/>
    <w:rsid w:val="00DD08F2"/>
    <w:rsid w:val="00DD0911"/>
    <w:rsid w:val="00DD0AD9"/>
    <w:rsid w:val="00DD0B81"/>
    <w:rsid w:val="00DD1450"/>
    <w:rsid w:val="00DD14DC"/>
    <w:rsid w:val="00DD1BB5"/>
    <w:rsid w:val="00DD1D46"/>
    <w:rsid w:val="00DD1D6C"/>
    <w:rsid w:val="00DD1DDC"/>
    <w:rsid w:val="00DD1E14"/>
    <w:rsid w:val="00DD1E84"/>
    <w:rsid w:val="00DD1FDA"/>
    <w:rsid w:val="00DD2067"/>
    <w:rsid w:val="00DD2068"/>
    <w:rsid w:val="00DD226E"/>
    <w:rsid w:val="00DD23F4"/>
    <w:rsid w:val="00DD2581"/>
    <w:rsid w:val="00DD266A"/>
    <w:rsid w:val="00DD2676"/>
    <w:rsid w:val="00DD28FD"/>
    <w:rsid w:val="00DD2CB6"/>
    <w:rsid w:val="00DD2CF7"/>
    <w:rsid w:val="00DD2D43"/>
    <w:rsid w:val="00DD2F99"/>
    <w:rsid w:val="00DD3042"/>
    <w:rsid w:val="00DD30A0"/>
    <w:rsid w:val="00DD343A"/>
    <w:rsid w:val="00DD34B7"/>
    <w:rsid w:val="00DD3572"/>
    <w:rsid w:val="00DD36BC"/>
    <w:rsid w:val="00DD36DF"/>
    <w:rsid w:val="00DD38DF"/>
    <w:rsid w:val="00DD3BE0"/>
    <w:rsid w:val="00DD3C53"/>
    <w:rsid w:val="00DD3C69"/>
    <w:rsid w:val="00DD3CE5"/>
    <w:rsid w:val="00DD3DC1"/>
    <w:rsid w:val="00DD3E1D"/>
    <w:rsid w:val="00DD3FC1"/>
    <w:rsid w:val="00DD41CB"/>
    <w:rsid w:val="00DD48EE"/>
    <w:rsid w:val="00DD4953"/>
    <w:rsid w:val="00DD4A4E"/>
    <w:rsid w:val="00DD4AB0"/>
    <w:rsid w:val="00DD4B28"/>
    <w:rsid w:val="00DD4B5C"/>
    <w:rsid w:val="00DD4D5C"/>
    <w:rsid w:val="00DD4DD8"/>
    <w:rsid w:val="00DD4E3D"/>
    <w:rsid w:val="00DD4E83"/>
    <w:rsid w:val="00DD50C1"/>
    <w:rsid w:val="00DD519F"/>
    <w:rsid w:val="00DD51E0"/>
    <w:rsid w:val="00DD552D"/>
    <w:rsid w:val="00DD554B"/>
    <w:rsid w:val="00DD5660"/>
    <w:rsid w:val="00DD57D7"/>
    <w:rsid w:val="00DD58E0"/>
    <w:rsid w:val="00DD5954"/>
    <w:rsid w:val="00DD5A2C"/>
    <w:rsid w:val="00DD5B88"/>
    <w:rsid w:val="00DD5ECA"/>
    <w:rsid w:val="00DD5F89"/>
    <w:rsid w:val="00DD60B4"/>
    <w:rsid w:val="00DD6228"/>
    <w:rsid w:val="00DD6261"/>
    <w:rsid w:val="00DD62F6"/>
    <w:rsid w:val="00DD637C"/>
    <w:rsid w:val="00DD643B"/>
    <w:rsid w:val="00DD6465"/>
    <w:rsid w:val="00DD65C1"/>
    <w:rsid w:val="00DD69B3"/>
    <w:rsid w:val="00DD6A45"/>
    <w:rsid w:val="00DD6BF2"/>
    <w:rsid w:val="00DD6C79"/>
    <w:rsid w:val="00DD6CBA"/>
    <w:rsid w:val="00DD6DFC"/>
    <w:rsid w:val="00DD6E77"/>
    <w:rsid w:val="00DD72BA"/>
    <w:rsid w:val="00DD74D5"/>
    <w:rsid w:val="00DD7500"/>
    <w:rsid w:val="00DD76A4"/>
    <w:rsid w:val="00DD7869"/>
    <w:rsid w:val="00DD7895"/>
    <w:rsid w:val="00DD7908"/>
    <w:rsid w:val="00DD7A7A"/>
    <w:rsid w:val="00DD7A7D"/>
    <w:rsid w:val="00DD7C34"/>
    <w:rsid w:val="00DD7C4D"/>
    <w:rsid w:val="00DD7C64"/>
    <w:rsid w:val="00DD7CAC"/>
    <w:rsid w:val="00DD7CDE"/>
    <w:rsid w:val="00DD7E12"/>
    <w:rsid w:val="00DD7EB3"/>
    <w:rsid w:val="00DD7F26"/>
    <w:rsid w:val="00DE003E"/>
    <w:rsid w:val="00DE009E"/>
    <w:rsid w:val="00DE00F3"/>
    <w:rsid w:val="00DE0212"/>
    <w:rsid w:val="00DE02BA"/>
    <w:rsid w:val="00DE030A"/>
    <w:rsid w:val="00DE050C"/>
    <w:rsid w:val="00DE051B"/>
    <w:rsid w:val="00DE061A"/>
    <w:rsid w:val="00DE0703"/>
    <w:rsid w:val="00DE070A"/>
    <w:rsid w:val="00DE07A5"/>
    <w:rsid w:val="00DE0845"/>
    <w:rsid w:val="00DE088D"/>
    <w:rsid w:val="00DE08BF"/>
    <w:rsid w:val="00DE08C5"/>
    <w:rsid w:val="00DE0A12"/>
    <w:rsid w:val="00DE0A98"/>
    <w:rsid w:val="00DE0B7B"/>
    <w:rsid w:val="00DE0DF1"/>
    <w:rsid w:val="00DE0EF1"/>
    <w:rsid w:val="00DE13DC"/>
    <w:rsid w:val="00DE157C"/>
    <w:rsid w:val="00DE15F7"/>
    <w:rsid w:val="00DE1635"/>
    <w:rsid w:val="00DE1711"/>
    <w:rsid w:val="00DE18A6"/>
    <w:rsid w:val="00DE18AF"/>
    <w:rsid w:val="00DE18F8"/>
    <w:rsid w:val="00DE19DB"/>
    <w:rsid w:val="00DE1AC0"/>
    <w:rsid w:val="00DE1BE7"/>
    <w:rsid w:val="00DE1D0E"/>
    <w:rsid w:val="00DE1D19"/>
    <w:rsid w:val="00DE1DBF"/>
    <w:rsid w:val="00DE2069"/>
    <w:rsid w:val="00DE2188"/>
    <w:rsid w:val="00DE219C"/>
    <w:rsid w:val="00DE2245"/>
    <w:rsid w:val="00DE2289"/>
    <w:rsid w:val="00DE247D"/>
    <w:rsid w:val="00DE2577"/>
    <w:rsid w:val="00DE27CD"/>
    <w:rsid w:val="00DE2833"/>
    <w:rsid w:val="00DE290A"/>
    <w:rsid w:val="00DE2C87"/>
    <w:rsid w:val="00DE2D26"/>
    <w:rsid w:val="00DE2D38"/>
    <w:rsid w:val="00DE2DB8"/>
    <w:rsid w:val="00DE2F4F"/>
    <w:rsid w:val="00DE340E"/>
    <w:rsid w:val="00DE3728"/>
    <w:rsid w:val="00DE378C"/>
    <w:rsid w:val="00DE3804"/>
    <w:rsid w:val="00DE38C0"/>
    <w:rsid w:val="00DE390D"/>
    <w:rsid w:val="00DE3ABF"/>
    <w:rsid w:val="00DE3BD2"/>
    <w:rsid w:val="00DE3D09"/>
    <w:rsid w:val="00DE3D46"/>
    <w:rsid w:val="00DE3DA3"/>
    <w:rsid w:val="00DE3DE3"/>
    <w:rsid w:val="00DE3FE0"/>
    <w:rsid w:val="00DE4080"/>
    <w:rsid w:val="00DE4088"/>
    <w:rsid w:val="00DE4133"/>
    <w:rsid w:val="00DE41C8"/>
    <w:rsid w:val="00DE43A7"/>
    <w:rsid w:val="00DE4402"/>
    <w:rsid w:val="00DE45DC"/>
    <w:rsid w:val="00DE47A4"/>
    <w:rsid w:val="00DE49C9"/>
    <w:rsid w:val="00DE4A52"/>
    <w:rsid w:val="00DE4D30"/>
    <w:rsid w:val="00DE4E76"/>
    <w:rsid w:val="00DE524F"/>
    <w:rsid w:val="00DE5379"/>
    <w:rsid w:val="00DE54A4"/>
    <w:rsid w:val="00DE54E2"/>
    <w:rsid w:val="00DE5704"/>
    <w:rsid w:val="00DE5A3E"/>
    <w:rsid w:val="00DE5BE6"/>
    <w:rsid w:val="00DE5CDD"/>
    <w:rsid w:val="00DE5DB5"/>
    <w:rsid w:val="00DE5DCE"/>
    <w:rsid w:val="00DE610B"/>
    <w:rsid w:val="00DE63B4"/>
    <w:rsid w:val="00DE64D7"/>
    <w:rsid w:val="00DE6518"/>
    <w:rsid w:val="00DE6636"/>
    <w:rsid w:val="00DE675A"/>
    <w:rsid w:val="00DE6773"/>
    <w:rsid w:val="00DE6B77"/>
    <w:rsid w:val="00DE6C75"/>
    <w:rsid w:val="00DE6C82"/>
    <w:rsid w:val="00DE6D24"/>
    <w:rsid w:val="00DE6FA4"/>
    <w:rsid w:val="00DE71F2"/>
    <w:rsid w:val="00DE7203"/>
    <w:rsid w:val="00DE7226"/>
    <w:rsid w:val="00DE723C"/>
    <w:rsid w:val="00DE7476"/>
    <w:rsid w:val="00DE7500"/>
    <w:rsid w:val="00DE76B8"/>
    <w:rsid w:val="00DE76B9"/>
    <w:rsid w:val="00DE76F5"/>
    <w:rsid w:val="00DE78D7"/>
    <w:rsid w:val="00DE797E"/>
    <w:rsid w:val="00DE79D1"/>
    <w:rsid w:val="00DE79E1"/>
    <w:rsid w:val="00DE79F5"/>
    <w:rsid w:val="00DE7A40"/>
    <w:rsid w:val="00DE7A7F"/>
    <w:rsid w:val="00DE7AED"/>
    <w:rsid w:val="00DE7CE3"/>
    <w:rsid w:val="00DE7D2E"/>
    <w:rsid w:val="00DE7E08"/>
    <w:rsid w:val="00DE7ED4"/>
    <w:rsid w:val="00DF0076"/>
    <w:rsid w:val="00DF014C"/>
    <w:rsid w:val="00DF017F"/>
    <w:rsid w:val="00DF0287"/>
    <w:rsid w:val="00DF02F8"/>
    <w:rsid w:val="00DF05DE"/>
    <w:rsid w:val="00DF06C3"/>
    <w:rsid w:val="00DF0732"/>
    <w:rsid w:val="00DF0B28"/>
    <w:rsid w:val="00DF0C89"/>
    <w:rsid w:val="00DF0D39"/>
    <w:rsid w:val="00DF0D70"/>
    <w:rsid w:val="00DF0F1C"/>
    <w:rsid w:val="00DF0FF3"/>
    <w:rsid w:val="00DF101A"/>
    <w:rsid w:val="00DF10D9"/>
    <w:rsid w:val="00DF113B"/>
    <w:rsid w:val="00DF11C6"/>
    <w:rsid w:val="00DF1489"/>
    <w:rsid w:val="00DF14D3"/>
    <w:rsid w:val="00DF17B1"/>
    <w:rsid w:val="00DF17E0"/>
    <w:rsid w:val="00DF1815"/>
    <w:rsid w:val="00DF1931"/>
    <w:rsid w:val="00DF1938"/>
    <w:rsid w:val="00DF19E2"/>
    <w:rsid w:val="00DF19F5"/>
    <w:rsid w:val="00DF1C06"/>
    <w:rsid w:val="00DF1CAA"/>
    <w:rsid w:val="00DF1CD9"/>
    <w:rsid w:val="00DF1CE9"/>
    <w:rsid w:val="00DF1E45"/>
    <w:rsid w:val="00DF1F38"/>
    <w:rsid w:val="00DF20A4"/>
    <w:rsid w:val="00DF212E"/>
    <w:rsid w:val="00DF224B"/>
    <w:rsid w:val="00DF22F6"/>
    <w:rsid w:val="00DF237C"/>
    <w:rsid w:val="00DF2609"/>
    <w:rsid w:val="00DF26BC"/>
    <w:rsid w:val="00DF2720"/>
    <w:rsid w:val="00DF276F"/>
    <w:rsid w:val="00DF2899"/>
    <w:rsid w:val="00DF2ABD"/>
    <w:rsid w:val="00DF2B71"/>
    <w:rsid w:val="00DF2C28"/>
    <w:rsid w:val="00DF2C6E"/>
    <w:rsid w:val="00DF2CEF"/>
    <w:rsid w:val="00DF2D2C"/>
    <w:rsid w:val="00DF2E7B"/>
    <w:rsid w:val="00DF2ECB"/>
    <w:rsid w:val="00DF2FEF"/>
    <w:rsid w:val="00DF3157"/>
    <w:rsid w:val="00DF33A9"/>
    <w:rsid w:val="00DF33DB"/>
    <w:rsid w:val="00DF35E8"/>
    <w:rsid w:val="00DF3613"/>
    <w:rsid w:val="00DF363C"/>
    <w:rsid w:val="00DF3663"/>
    <w:rsid w:val="00DF36D7"/>
    <w:rsid w:val="00DF3737"/>
    <w:rsid w:val="00DF382F"/>
    <w:rsid w:val="00DF3835"/>
    <w:rsid w:val="00DF3840"/>
    <w:rsid w:val="00DF3993"/>
    <w:rsid w:val="00DF3E08"/>
    <w:rsid w:val="00DF3E7E"/>
    <w:rsid w:val="00DF41B5"/>
    <w:rsid w:val="00DF4508"/>
    <w:rsid w:val="00DF4594"/>
    <w:rsid w:val="00DF468B"/>
    <w:rsid w:val="00DF48FE"/>
    <w:rsid w:val="00DF49E3"/>
    <w:rsid w:val="00DF4ACB"/>
    <w:rsid w:val="00DF4BD5"/>
    <w:rsid w:val="00DF4C31"/>
    <w:rsid w:val="00DF4E34"/>
    <w:rsid w:val="00DF4ED8"/>
    <w:rsid w:val="00DF5082"/>
    <w:rsid w:val="00DF52ED"/>
    <w:rsid w:val="00DF53D5"/>
    <w:rsid w:val="00DF5734"/>
    <w:rsid w:val="00DF57EA"/>
    <w:rsid w:val="00DF5902"/>
    <w:rsid w:val="00DF5931"/>
    <w:rsid w:val="00DF59E1"/>
    <w:rsid w:val="00DF5C51"/>
    <w:rsid w:val="00DF6063"/>
    <w:rsid w:val="00DF6126"/>
    <w:rsid w:val="00DF62C7"/>
    <w:rsid w:val="00DF647B"/>
    <w:rsid w:val="00DF660A"/>
    <w:rsid w:val="00DF66CE"/>
    <w:rsid w:val="00DF6798"/>
    <w:rsid w:val="00DF679B"/>
    <w:rsid w:val="00DF6ABD"/>
    <w:rsid w:val="00DF6C56"/>
    <w:rsid w:val="00DF6CB8"/>
    <w:rsid w:val="00DF6DF3"/>
    <w:rsid w:val="00DF6E88"/>
    <w:rsid w:val="00DF6F0F"/>
    <w:rsid w:val="00DF708B"/>
    <w:rsid w:val="00DF7099"/>
    <w:rsid w:val="00DF7194"/>
    <w:rsid w:val="00DF728F"/>
    <w:rsid w:val="00DF733F"/>
    <w:rsid w:val="00DF739B"/>
    <w:rsid w:val="00DF765C"/>
    <w:rsid w:val="00DF78A5"/>
    <w:rsid w:val="00DF7960"/>
    <w:rsid w:val="00DF7AEB"/>
    <w:rsid w:val="00DF7AEF"/>
    <w:rsid w:val="00DF7CAF"/>
    <w:rsid w:val="00E00185"/>
    <w:rsid w:val="00E0035C"/>
    <w:rsid w:val="00E003D3"/>
    <w:rsid w:val="00E00613"/>
    <w:rsid w:val="00E0066F"/>
    <w:rsid w:val="00E0075A"/>
    <w:rsid w:val="00E007A4"/>
    <w:rsid w:val="00E007F2"/>
    <w:rsid w:val="00E0085B"/>
    <w:rsid w:val="00E00906"/>
    <w:rsid w:val="00E0091F"/>
    <w:rsid w:val="00E00AC2"/>
    <w:rsid w:val="00E00B3E"/>
    <w:rsid w:val="00E00B6B"/>
    <w:rsid w:val="00E00C3D"/>
    <w:rsid w:val="00E00C5D"/>
    <w:rsid w:val="00E00C6C"/>
    <w:rsid w:val="00E00C75"/>
    <w:rsid w:val="00E00C7D"/>
    <w:rsid w:val="00E00C84"/>
    <w:rsid w:val="00E00CB3"/>
    <w:rsid w:val="00E00E2D"/>
    <w:rsid w:val="00E011F2"/>
    <w:rsid w:val="00E012E8"/>
    <w:rsid w:val="00E01539"/>
    <w:rsid w:val="00E01758"/>
    <w:rsid w:val="00E019A4"/>
    <w:rsid w:val="00E01A8A"/>
    <w:rsid w:val="00E01C16"/>
    <w:rsid w:val="00E01DD4"/>
    <w:rsid w:val="00E01DDE"/>
    <w:rsid w:val="00E02017"/>
    <w:rsid w:val="00E0221A"/>
    <w:rsid w:val="00E022CA"/>
    <w:rsid w:val="00E02399"/>
    <w:rsid w:val="00E02554"/>
    <w:rsid w:val="00E0256B"/>
    <w:rsid w:val="00E02789"/>
    <w:rsid w:val="00E02889"/>
    <w:rsid w:val="00E028B5"/>
    <w:rsid w:val="00E029D8"/>
    <w:rsid w:val="00E02A9B"/>
    <w:rsid w:val="00E02B46"/>
    <w:rsid w:val="00E02B6B"/>
    <w:rsid w:val="00E02BD0"/>
    <w:rsid w:val="00E02C48"/>
    <w:rsid w:val="00E02E29"/>
    <w:rsid w:val="00E02E8D"/>
    <w:rsid w:val="00E02FB0"/>
    <w:rsid w:val="00E0301F"/>
    <w:rsid w:val="00E03062"/>
    <w:rsid w:val="00E03495"/>
    <w:rsid w:val="00E034A6"/>
    <w:rsid w:val="00E03671"/>
    <w:rsid w:val="00E03708"/>
    <w:rsid w:val="00E03818"/>
    <w:rsid w:val="00E03AA5"/>
    <w:rsid w:val="00E03AD1"/>
    <w:rsid w:val="00E03B81"/>
    <w:rsid w:val="00E03CFA"/>
    <w:rsid w:val="00E03D3B"/>
    <w:rsid w:val="00E0403F"/>
    <w:rsid w:val="00E0411E"/>
    <w:rsid w:val="00E0419C"/>
    <w:rsid w:val="00E04229"/>
    <w:rsid w:val="00E04252"/>
    <w:rsid w:val="00E04934"/>
    <w:rsid w:val="00E0495F"/>
    <w:rsid w:val="00E049C9"/>
    <w:rsid w:val="00E04D41"/>
    <w:rsid w:val="00E04D64"/>
    <w:rsid w:val="00E05010"/>
    <w:rsid w:val="00E050D8"/>
    <w:rsid w:val="00E050F6"/>
    <w:rsid w:val="00E05439"/>
    <w:rsid w:val="00E05465"/>
    <w:rsid w:val="00E054B8"/>
    <w:rsid w:val="00E054FA"/>
    <w:rsid w:val="00E0566D"/>
    <w:rsid w:val="00E05774"/>
    <w:rsid w:val="00E05873"/>
    <w:rsid w:val="00E059D7"/>
    <w:rsid w:val="00E059FF"/>
    <w:rsid w:val="00E05AA1"/>
    <w:rsid w:val="00E05C41"/>
    <w:rsid w:val="00E05D52"/>
    <w:rsid w:val="00E05DEE"/>
    <w:rsid w:val="00E05E57"/>
    <w:rsid w:val="00E05E9D"/>
    <w:rsid w:val="00E06157"/>
    <w:rsid w:val="00E0620C"/>
    <w:rsid w:val="00E0625A"/>
    <w:rsid w:val="00E062B6"/>
    <w:rsid w:val="00E065D0"/>
    <w:rsid w:val="00E065F5"/>
    <w:rsid w:val="00E06738"/>
    <w:rsid w:val="00E06953"/>
    <w:rsid w:val="00E06AB3"/>
    <w:rsid w:val="00E06C66"/>
    <w:rsid w:val="00E06C9E"/>
    <w:rsid w:val="00E06CDF"/>
    <w:rsid w:val="00E06E5E"/>
    <w:rsid w:val="00E06F58"/>
    <w:rsid w:val="00E071A4"/>
    <w:rsid w:val="00E07292"/>
    <w:rsid w:val="00E072FC"/>
    <w:rsid w:val="00E075D4"/>
    <w:rsid w:val="00E07645"/>
    <w:rsid w:val="00E07872"/>
    <w:rsid w:val="00E07940"/>
    <w:rsid w:val="00E07A94"/>
    <w:rsid w:val="00E07AF2"/>
    <w:rsid w:val="00E07CD8"/>
    <w:rsid w:val="00E07CEF"/>
    <w:rsid w:val="00E07D42"/>
    <w:rsid w:val="00E07E61"/>
    <w:rsid w:val="00E07E91"/>
    <w:rsid w:val="00E1002A"/>
    <w:rsid w:val="00E100B0"/>
    <w:rsid w:val="00E102B2"/>
    <w:rsid w:val="00E103F6"/>
    <w:rsid w:val="00E1047C"/>
    <w:rsid w:val="00E10520"/>
    <w:rsid w:val="00E1052E"/>
    <w:rsid w:val="00E106C1"/>
    <w:rsid w:val="00E107CC"/>
    <w:rsid w:val="00E10864"/>
    <w:rsid w:val="00E1091D"/>
    <w:rsid w:val="00E10A21"/>
    <w:rsid w:val="00E10B04"/>
    <w:rsid w:val="00E10C66"/>
    <w:rsid w:val="00E10EE5"/>
    <w:rsid w:val="00E10FF0"/>
    <w:rsid w:val="00E11022"/>
    <w:rsid w:val="00E11050"/>
    <w:rsid w:val="00E1130D"/>
    <w:rsid w:val="00E1152A"/>
    <w:rsid w:val="00E115BA"/>
    <w:rsid w:val="00E11630"/>
    <w:rsid w:val="00E11722"/>
    <w:rsid w:val="00E11779"/>
    <w:rsid w:val="00E11823"/>
    <w:rsid w:val="00E11878"/>
    <w:rsid w:val="00E118CB"/>
    <w:rsid w:val="00E119B2"/>
    <w:rsid w:val="00E11A4F"/>
    <w:rsid w:val="00E11B0F"/>
    <w:rsid w:val="00E11D47"/>
    <w:rsid w:val="00E11DD4"/>
    <w:rsid w:val="00E11E29"/>
    <w:rsid w:val="00E12086"/>
    <w:rsid w:val="00E121E7"/>
    <w:rsid w:val="00E122B6"/>
    <w:rsid w:val="00E12514"/>
    <w:rsid w:val="00E125C1"/>
    <w:rsid w:val="00E126C7"/>
    <w:rsid w:val="00E127BA"/>
    <w:rsid w:val="00E12926"/>
    <w:rsid w:val="00E12A61"/>
    <w:rsid w:val="00E12D72"/>
    <w:rsid w:val="00E12E1A"/>
    <w:rsid w:val="00E12F6A"/>
    <w:rsid w:val="00E12FE7"/>
    <w:rsid w:val="00E130C5"/>
    <w:rsid w:val="00E13108"/>
    <w:rsid w:val="00E13147"/>
    <w:rsid w:val="00E131CF"/>
    <w:rsid w:val="00E1320B"/>
    <w:rsid w:val="00E13286"/>
    <w:rsid w:val="00E132F8"/>
    <w:rsid w:val="00E13351"/>
    <w:rsid w:val="00E13422"/>
    <w:rsid w:val="00E1346C"/>
    <w:rsid w:val="00E13516"/>
    <w:rsid w:val="00E1358F"/>
    <w:rsid w:val="00E135A0"/>
    <w:rsid w:val="00E13879"/>
    <w:rsid w:val="00E13899"/>
    <w:rsid w:val="00E13B81"/>
    <w:rsid w:val="00E13C7B"/>
    <w:rsid w:val="00E13CF2"/>
    <w:rsid w:val="00E13D34"/>
    <w:rsid w:val="00E1404C"/>
    <w:rsid w:val="00E14175"/>
    <w:rsid w:val="00E14355"/>
    <w:rsid w:val="00E143EB"/>
    <w:rsid w:val="00E14864"/>
    <w:rsid w:val="00E14962"/>
    <w:rsid w:val="00E149C9"/>
    <w:rsid w:val="00E14A22"/>
    <w:rsid w:val="00E14ACA"/>
    <w:rsid w:val="00E14C01"/>
    <w:rsid w:val="00E14C3D"/>
    <w:rsid w:val="00E14C45"/>
    <w:rsid w:val="00E14C5A"/>
    <w:rsid w:val="00E14C72"/>
    <w:rsid w:val="00E14E67"/>
    <w:rsid w:val="00E15006"/>
    <w:rsid w:val="00E1508A"/>
    <w:rsid w:val="00E151A6"/>
    <w:rsid w:val="00E151DF"/>
    <w:rsid w:val="00E1520E"/>
    <w:rsid w:val="00E1527E"/>
    <w:rsid w:val="00E15328"/>
    <w:rsid w:val="00E1541F"/>
    <w:rsid w:val="00E156A4"/>
    <w:rsid w:val="00E156AD"/>
    <w:rsid w:val="00E1572F"/>
    <w:rsid w:val="00E15846"/>
    <w:rsid w:val="00E1593D"/>
    <w:rsid w:val="00E15991"/>
    <w:rsid w:val="00E15B0F"/>
    <w:rsid w:val="00E15B2C"/>
    <w:rsid w:val="00E15CDD"/>
    <w:rsid w:val="00E15D9D"/>
    <w:rsid w:val="00E15E4A"/>
    <w:rsid w:val="00E15FA0"/>
    <w:rsid w:val="00E16107"/>
    <w:rsid w:val="00E16171"/>
    <w:rsid w:val="00E161F7"/>
    <w:rsid w:val="00E161F9"/>
    <w:rsid w:val="00E16308"/>
    <w:rsid w:val="00E16328"/>
    <w:rsid w:val="00E1632F"/>
    <w:rsid w:val="00E16533"/>
    <w:rsid w:val="00E1659A"/>
    <w:rsid w:val="00E1661F"/>
    <w:rsid w:val="00E1669A"/>
    <w:rsid w:val="00E16740"/>
    <w:rsid w:val="00E16791"/>
    <w:rsid w:val="00E167EC"/>
    <w:rsid w:val="00E169FA"/>
    <w:rsid w:val="00E16A34"/>
    <w:rsid w:val="00E16B96"/>
    <w:rsid w:val="00E16CE0"/>
    <w:rsid w:val="00E16CEE"/>
    <w:rsid w:val="00E16EB9"/>
    <w:rsid w:val="00E170DC"/>
    <w:rsid w:val="00E1716E"/>
    <w:rsid w:val="00E171C2"/>
    <w:rsid w:val="00E172A8"/>
    <w:rsid w:val="00E1746C"/>
    <w:rsid w:val="00E174AB"/>
    <w:rsid w:val="00E1760B"/>
    <w:rsid w:val="00E176B4"/>
    <w:rsid w:val="00E176B9"/>
    <w:rsid w:val="00E17901"/>
    <w:rsid w:val="00E17C36"/>
    <w:rsid w:val="00E17E18"/>
    <w:rsid w:val="00E17E7C"/>
    <w:rsid w:val="00E17EA7"/>
    <w:rsid w:val="00E2016E"/>
    <w:rsid w:val="00E201B4"/>
    <w:rsid w:val="00E20281"/>
    <w:rsid w:val="00E2035D"/>
    <w:rsid w:val="00E203BA"/>
    <w:rsid w:val="00E20462"/>
    <w:rsid w:val="00E20793"/>
    <w:rsid w:val="00E207A6"/>
    <w:rsid w:val="00E20866"/>
    <w:rsid w:val="00E20AAC"/>
    <w:rsid w:val="00E20C08"/>
    <w:rsid w:val="00E20EF9"/>
    <w:rsid w:val="00E20FBE"/>
    <w:rsid w:val="00E2100C"/>
    <w:rsid w:val="00E21178"/>
    <w:rsid w:val="00E211E5"/>
    <w:rsid w:val="00E21222"/>
    <w:rsid w:val="00E21397"/>
    <w:rsid w:val="00E2158F"/>
    <w:rsid w:val="00E215A0"/>
    <w:rsid w:val="00E21655"/>
    <w:rsid w:val="00E217CC"/>
    <w:rsid w:val="00E2185F"/>
    <w:rsid w:val="00E218BD"/>
    <w:rsid w:val="00E21999"/>
    <w:rsid w:val="00E219C1"/>
    <w:rsid w:val="00E219CF"/>
    <w:rsid w:val="00E21AB5"/>
    <w:rsid w:val="00E21FEB"/>
    <w:rsid w:val="00E2207D"/>
    <w:rsid w:val="00E220A4"/>
    <w:rsid w:val="00E220C0"/>
    <w:rsid w:val="00E220DF"/>
    <w:rsid w:val="00E2215A"/>
    <w:rsid w:val="00E22172"/>
    <w:rsid w:val="00E22344"/>
    <w:rsid w:val="00E2237B"/>
    <w:rsid w:val="00E223DA"/>
    <w:rsid w:val="00E22417"/>
    <w:rsid w:val="00E224CB"/>
    <w:rsid w:val="00E224D2"/>
    <w:rsid w:val="00E22596"/>
    <w:rsid w:val="00E22648"/>
    <w:rsid w:val="00E22686"/>
    <w:rsid w:val="00E226E8"/>
    <w:rsid w:val="00E228CC"/>
    <w:rsid w:val="00E228D8"/>
    <w:rsid w:val="00E22940"/>
    <w:rsid w:val="00E229C0"/>
    <w:rsid w:val="00E22B51"/>
    <w:rsid w:val="00E22C5D"/>
    <w:rsid w:val="00E22C83"/>
    <w:rsid w:val="00E22CF0"/>
    <w:rsid w:val="00E22D5E"/>
    <w:rsid w:val="00E22E91"/>
    <w:rsid w:val="00E22FE7"/>
    <w:rsid w:val="00E230D6"/>
    <w:rsid w:val="00E231EC"/>
    <w:rsid w:val="00E232AB"/>
    <w:rsid w:val="00E2362E"/>
    <w:rsid w:val="00E23664"/>
    <w:rsid w:val="00E238ED"/>
    <w:rsid w:val="00E23940"/>
    <w:rsid w:val="00E23A5B"/>
    <w:rsid w:val="00E23B22"/>
    <w:rsid w:val="00E23B59"/>
    <w:rsid w:val="00E23C10"/>
    <w:rsid w:val="00E23D4B"/>
    <w:rsid w:val="00E240A5"/>
    <w:rsid w:val="00E240BD"/>
    <w:rsid w:val="00E2426E"/>
    <w:rsid w:val="00E242DD"/>
    <w:rsid w:val="00E24336"/>
    <w:rsid w:val="00E244C2"/>
    <w:rsid w:val="00E24550"/>
    <w:rsid w:val="00E24666"/>
    <w:rsid w:val="00E246AB"/>
    <w:rsid w:val="00E24749"/>
    <w:rsid w:val="00E248AD"/>
    <w:rsid w:val="00E24AA6"/>
    <w:rsid w:val="00E24B88"/>
    <w:rsid w:val="00E24C5C"/>
    <w:rsid w:val="00E24D07"/>
    <w:rsid w:val="00E24FAD"/>
    <w:rsid w:val="00E24FE9"/>
    <w:rsid w:val="00E250D1"/>
    <w:rsid w:val="00E25102"/>
    <w:rsid w:val="00E2515D"/>
    <w:rsid w:val="00E25180"/>
    <w:rsid w:val="00E251E7"/>
    <w:rsid w:val="00E252FD"/>
    <w:rsid w:val="00E2534D"/>
    <w:rsid w:val="00E253AF"/>
    <w:rsid w:val="00E25461"/>
    <w:rsid w:val="00E2548F"/>
    <w:rsid w:val="00E257CB"/>
    <w:rsid w:val="00E25B10"/>
    <w:rsid w:val="00E25C85"/>
    <w:rsid w:val="00E25F38"/>
    <w:rsid w:val="00E25F68"/>
    <w:rsid w:val="00E25F81"/>
    <w:rsid w:val="00E26153"/>
    <w:rsid w:val="00E26167"/>
    <w:rsid w:val="00E261DB"/>
    <w:rsid w:val="00E2629F"/>
    <w:rsid w:val="00E263E4"/>
    <w:rsid w:val="00E26499"/>
    <w:rsid w:val="00E264A0"/>
    <w:rsid w:val="00E26502"/>
    <w:rsid w:val="00E265AB"/>
    <w:rsid w:val="00E265DE"/>
    <w:rsid w:val="00E2679B"/>
    <w:rsid w:val="00E26972"/>
    <w:rsid w:val="00E2699D"/>
    <w:rsid w:val="00E269D7"/>
    <w:rsid w:val="00E269F3"/>
    <w:rsid w:val="00E26CCA"/>
    <w:rsid w:val="00E26CE1"/>
    <w:rsid w:val="00E27080"/>
    <w:rsid w:val="00E27151"/>
    <w:rsid w:val="00E27285"/>
    <w:rsid w:val="00E274D7"/>
    <w:rsid w:val="00E27890"/>
    <w:rsid w:val="00E278BD"/>
    <w:rsid w:val="00E27996"/>
    <w:rsid w:val="00E279DD"/>
    <w:rsid w:val="00E27AC4"/>
    <w:rsid w:val="00E27BA1"/>
    <w:rsid w:val="00E27C94"/>
    <w:rsid w:val="00E27CEE"/>
    <w:rsid w:val="00E27EBE"/>
    <w:rsid w:val="00E300A4"/>
    <w:rsid w:val="00E300B1"/>
    <w:rsid w:val="00E3034D"/>
    <w:rsid w:val="00E3049D"/>
    <w:rsid w:val="00E30743"/>
    <w:rsid w:val="00E307F9"/>
    <w:rsid w:val="00E30914"/>
    <w:rsid w:val="00E309D3"/>
    <w:rsid w:val="00E309F1"/>
    <w:rsid w:val="00E30B4A"/>
    <w:rsid w:val="00E30B66"/>
    <w:rsid w:val="00E30EB8"/>
    <w:rsid w:val="00E30EE0"/>
    <w:rsid w:val="00E3134B"/>
    <w:rsid w:val="00E31682"/>
    <w:rsid w:val="00E31749"/>
    <w:rsid w:val="00E318BA"/>
    <w:rsid w:val="00E31934"/>
    <w:rsid w:val="00E31964"/>
    <w:rsid w:val="00E320CD"/>
    <w:rsid w:val="00E322F8"/>
    <w:rsid w:val="00E32367"/>
    <w:rsid w:val="00E32555"/>
    <w:rsid w:val="00E327EB"/>
    <w:rsid w:val="00E32908"/>
    <w:rsid w:val="00E3290F"/>
    <w:rsid w:val="00E32988"/>
    <w:rsid w:val="00E329C2"/>
    <w:rsid w:val="00E32A62"/>
    <w:rsid w:val="00E32BA6"/>
    <w:rsid w:val="00E32C69"/>
    <w:rsid w:val="00E32C9B"/>
    <w:rsid w:val="00E32CD0"/>
    <w:rsid w:val="00E32D55"/>
    <w:rsid w:val="00E32F2C"/>
    <w:rsid w:val="00E32FBC"/>
    <w:rsid w:val="00E32FC0"/>
    <w:rsid w:val="00E3305A"/>
    <w:rsid w:val="00E3309E"/>
    <w:rsid w:val="00E3317B"/>
    <w:rsid w:val="00E33214"/>
    <w:rsid w:val="00E33417"/>
    <w:rsid w:val="00E33537"/>
    <w:rsid w:val="00E3385D"/>
    <w:rsid w:val="00E338C3"/>
    <w:rsid w:val="00E339B1"/>
    <w:rsid w:val="00E33A27"/>
    <w:rsid w:val="00E33BDF"/>
    <w:rsid w:val="00E33CA1"/>
    <w:rsid w:val="00E33EE9"/>
    <w:rsid w:val="00E33F09"/>
    <w:rsid w:val="00E33FA4"/>
    <w:rsid w:val="00E34194"/>
    <w:rsid w:val="00E341A2"/>
    <w:rsid w:val="00E341B9"/>
    <w:rsid w:val="00E341FB"/>
    <w:rsid w:val="00E342A1"/>
    <w:rsid w:val="00E34451"/>
    <w:rsid w:val="00E34478"/>
    <w:rsid w:val="00E3459F"/>
    <w:rsid w:val="00E34642"/>
    <w:rsid w:val="00E34AF8"/>
    <w:rsid w:val="00E34D34"/>
    <w:rsid w:val="00E34D6F"/>
    <w:rsid w:val="00E34EC8"/>
    <w:rsid w:val="00E34F14"/>
    <w:rsid w:val="00E35251"/>
    <w:rsid w:val="00E355CB"/>
    <w:rsid w:val="00E35849"/>
    <w:rsid w:val="00E35991"/>
    <w:rsid w:val="00E359D4"/>
    <w:rsid w:val="00E35A4C"/>
    <w:rsid w:val="00E35C42"/>
    <w:rsid w:val="00E35D0F"/>
    <w:rsid w:val="00E35EE9"/>
    <w:rsid w:val="00E35EF8"/>
    <w:rsid w:val="00E360FC"/>
    <w:rsid w:val="00E36141"/>
    <w:rsid w:val="00E3624A"/>
    <w:rsid w:val="00E364A0"/>
    <w:rsid w:val="00E364A8"/>
    <w:rsid w:val="00E3681B"/>
    <w:rsid w:val="00E36829"/>
    <w:rsid w:val="00E3691F"/>
    <w:rsid w:val="00E36933"/>
    <w:rsid w:val="00E36940"/>
    <w:rsid w:val="00E369F1"/>
    <w:rsid w:val="00E36B4B"/>
    <w:rsid w:val="00E36B87"/>
    <w:rsid w:val="00E36CF5"/>
    <w:rsid w:val="00E36D2F"/>
    <w:rsid w:val="00E36D4E"/>
    <w:rsid w:val="00E36D7C"/>
    <w:rsid w:val="00E36E50"/>
    <w:rsid w:val="00E36F3C"/>
    <w:rsid w:val="00E36F83"/>
    <w:rsid w:val="00E36FFE"/>
    <w:rsid w:val="00E37031"/>
    <w:rsid w:val="00E370EB"/>
    <w:rsid w:val="00E372B8"/>
    <w:rsid w:val="00E372D7"/>
    <w:rsid w:val="00E37436"/>
    <w:rsid w:val="00E374CF"/>
    <w:rsid w:val="00E377D0"/>
    <w:rsid w:val="00E377F8"/>
    <w:rsid w:val="00E3780C"/>
    <w:rsid w:val="00E37901"/>
    <w:rsid w:val="00E37C39"/>
    <w:rsid w:val="00E37E7C"/>
    <w:rsid w:val="00E37E90"/>
    <w:rsid w:val="00E40172"/>
    <w:rsid w:val="00E401D2"/>
    <w:rsid w:val="00E401F5"/>
    <w:rsid w:val="00E40210"/>
    <w:rsid w:val="00E4037A"/>
    <w:rsid w:val="00E404D1"/>
    <w:rsid w:val="00E4052F"/>
    <w:rsid w:val="00E406BD"/>
    <w:rsid w:val="00E406D6"/>
    <w:rsid w:val="00E4091D"/>
    <w:rsid w:val="00E40A79"/>
    <w:rsid w:val="00E40CD1"/>
    <w:rsid w:val="00E40E5F"/>
    <w:rsid w:val="00E40F68"/>
    <w:rsid w:val="00E40FE5"/>
    <w:rsid w:val="00E41150"/>
    <w:rsid w:val="00E4146F"/>
    <w:rsid w:val="00E414A6"/>
    <w:rsid w:val="00E415C2"/>
    <w:rsid w:val="00E415D3"/>
    <w:rsid w:val="00E41930"/>
    <w:rsid w:val="00E41961"/>
    <w:rsid w:val="00E41A52"/>
    <w:rsid w:val="00E41B70"/>
    <w:rsid w:val="00E41C01"/>
    <w:rsid w:val="00E41C42"/>
    <w:rsid w:val="00E41D0F"/>
    <w:rsid w:val="00E41D57"/>
    <w:rsid w:val="00E42015"/>
    <w:rsid w:val="00E4204F"/>
    <w:rsid w:val="00E42120"/>
    <w:rsid w:val="00E4224A"/>
    <w:rsid w:val="00E4226C"/>
    <w:rsid w:val="00E42328"/>
    <w:rsid w:val="00E423D5"/>
    <w:rsid w:val="00E42459"/>
    <w:rsid w:val="00E424A4"/>
    <w:rsid w:val="00E424E4"/>
    <w:rsid w:val="00E424FD"/>
    <w:rsid w:val="00E425ED"/>
    <w:rsid w:val="00E4264A"/>
    <w:rsid w:val="00E42672"/>
    <w:rsid w:val="00E428F8"/>
    <w:rsid w:val="00E42C5F"/>
    <w:rsid w:val="00E42CD5"/>
    <w:rsid w:val="00E42EC7"/>
    <w:rsid w:val="00E42F64"/>
    <w:rsid w:val="00E430F6"/>
    <w:rsid w:val="00E431B0"/>
    <w:rsid w:val="00E4341E"/>
    <w:rsid w:val="00E43476"/>
    <w:rsid w:val="00E434AC"/>
    <w:rsid w:val="00E434E2"/>
    <w:rsid w:val="00E4362E"/>
    <w:rsid w:val="00E437C9"/>
    <w:rsid w:val="00E4391E"/>
    <w:rsid w:val="00E43939"/>
    <w:rsid w:val="00E43C39"/>
    <w:rsid w:val="00E43D62"/>
    <w:rsid w:val="00E440B9"/>
    <w:rsid w:val="00E44123"/>
    <w:rsid w:val="00E4413D"/>
    <w:rsid w:val="00E44682"/>
    <w:rsid w:val="00E446DA"/>
    <w:rsid w:val="00E446ED"/>
    <w:rsid w:val="00E4475F"/>
    <w:rsid w:val="00E44877"/>
    <w:rsid w:val="00E44878"/>
    <w:rsid w:val="00E44BDF"/>
    <w:rsid w:val="00E44CC1"/>
    <w:rsid w:val="00E44E6D"/>
    <w:rsid w:val="00E44F34"/>
    <w:rsid w:val="00E44F76"/>
    <w:rsid w:val="00E4513A"/>
    <w:rsid w:val="00E451B6"/>
    <w:rsid w:val="00E45244"/>
    <w:rsid w:val="00E45308"/>
    <w:rsid w:val="00E4535F"/>
    <w:rsid w:val="00E45404"/>
    <w:rsid w:val="00E45645"/>
    <w:rsid w:val="00E456CD"/>
    <w:rsid w:val="00E45870"/>
    <w:rsid w:val="00E458E0"/>
    <w:rsid w:val="00E4594A"/>
    <w:rsid w:val="00E45B16"/>
    <w:rsid w:val="00E45B74"/>
    <w:rsid w:val="00E45D0D"/>
    <w:rsid w:val="00E45E61"/>
    <w:rsid w:val="00E45EA4"/>
    <w:rsid w:val="00E460F1"/>
    <w:rsid w:val="00E46198"/>
    <w:rsid w:val="00E46247"/>
    <w:rsid w:val="00E4633A"/>
    <w:rsid w:val="00E46399"/>
    <w:rsid w:val="00E463B7"/>
    <w:rsid w:val="00E46480"/>
    <w:rsid w:val="00E4665A"/>
    <w:rsid w:val="00E46869"/>
    <w:rsid w:val="00E468BA"/>
    <w:rsid w:val="00E469E1"/>
    <w:rsid w:val="00E46A34"/>
    <w:rsid w:val="00E46D2D"/>
    <w:rsid w:val="00E46DBE"/>
    <w:rsid w:val="00E46FFC"/>
    <w:rsid w:val="00E47049"/>
    <w:rsid w:val="00E47244"/>
    <w:rsid w:val="00E4739D"/>
    <w:rsid w:val="00E473F0"/>
    <w:rsid w:val="00E4740A"/>
    <w:rsid w:val="00E47427"/>
    <w:rsid w:val="00E475EB"/>
    <w:rsid w:val="00E477BF"/>
    <w:rsid w:val="00E477E2"/>
    <w:rsid w:val="00E47802"/>
    <w:rsid w:val="00E479B8"/>
    <w:rsid w:val="00E47A76"/>
    <w:rsid w:val="00E47D84"/>
    <w:rsid w:val="00E47E0E"/>
    <w:rsid w:val="00E47F25"/>
    <w:rsid w:val="00E47FAE"/>
    <w:rsid w:val="00E50121"/>
    <w:rsid w:val="00E502EB"/>
    <w:rsid w:val="00E50317"/>
    <w:rsid w:val="00E5034C"/>
    <w:rsid w:val="00E504F7"/>
    <w:rsid w:val="00E50501"/>
    <w:rsid w:val="00E50593"/>
    <w:rsid w:val="00E50753"/>
    <w:rsid w:val="00E5088D"/>
    <w:rsid w:val="00E509D6"/>
    <w:rsid w:val="00E50ABC"/>
    <w:rsid w:val="00E50B3A"/>
    <w:rsid w:val="00E50D50"/>
    <w:rsid w:val="00E512E3"/>
    <w:rsid w:val="00E515BF"/>
    <w:rsid w:val="00E515E9"/>
    <w:rsid w:val="00E516C6"/>
    <w:rsid w:val="00E51A26"/>
    <w:rsid w:val="00E51A54"/>
    <w:rsid w:val="00E51A59"/>
    <w:rsid w:val="00E51AE8"/>
    <w:rsid w:val="00E51BF7"/>
    <w:rsid w:val="00E51C33"/>
    <w:rsid w:val="00E51D3B"/>
    <w:rsid w:val="00E526EF"/>
    <w:rsid w:val="00E529EC"/>
    <w:rsid w:val="00E52AC8"/>
    <w:rsid w:val="00E52D5A"/>
    <w:rsid w:val="00E52FE2"/>
    <w:rsid w:val="00E53007"/>
    <w:rsid w:val="00E53215"/>
    <w:rsid w:val="00E53352"/>
    <w:rsid w:val="00E534AA"/>
    <w:rsid w:val="00E535EC"/>
    <w:rsid w:val="00E53640"/>
    <w:rsid w:val="00E5377C"/>
    <w:rsid w:val="00E538D3"/>
    <w:rsid w:val="00E53A06"/>
    <w:rsid w:val="00E53A2E"/>
    <w:rsid w:val="00E53AED"/>
    <w:rsid w:val="00E53B32"/>
    <w:rsid w:val="00E53BD7"/>
    <w:rsid w:val="00E53CE6"/>
    <w:rsid w:val="00E53DDB"/>
    <w:rsid w:val="00E5405A"/>
    <w:rsid w:val="00E54116"/>
    <w:rsid w:val="00E5421B"/>
    <w:rsid w:val="00E5423A"/>
    <w:rsid w:val="00E542CD"/>
    <w:rsid w:val="00E544F0"/>
    <w:rsid w:val="00E544F6"/>
    <w:rsid w:val="00E545FD"/>
    <w:rsid w:val="00E5483F"/>
    <w:rsid w:val="00E5489F"/>
    <w:rsid w:val="00E5493D"/>
    <w:rsid w:val="00E549DE"/>
    <w:rsid w:val="00E54B0D"/>
    <w:rsid w:val="00E54BC6"/>
    <w:rsid w:val="00E54D0B"/>
    <w:rsid w:val="00E54D2C"/>
    <w:rsid w:val="00E54D6D"/>
    <w:rsid w:val="00E54E54"/>
    <w:rsid w:val="00E54F9F"/>
    <w:rsid w:val="00E54FE7"/>
    <w:rsid w:val="00E550EC"/>
    <w:rsid w:val="00E55184"/>
    <w:rsid w:val="00E552D6"/>
    <w:rsid w:val="00E5549E"/>
    <w:rsid w:val="00E5554F"/>
    <w:rsid w:val="00E555FD"/>
    <w:rsid w:val="00E5569B"/>
    <w:rsid w:val="00E556E5"/>
    <w:rsid w:val="00E55A54"/>
    <w:rsid w:val="00E55B0C"/>
    <w:rsid w:val="00E55C45"/>
    <w:rsid w:val="00E55C7A"/>
    <w:rsid w:val="00E55DD8"/>
    <w:rsid w:val="00E55E95"/>
    <w:rsid w:val="00E55FCB"/>
    <w:rsid w:val="00E560C6"/>
    <w:rsid w:val="00E5618C"/>
    <w:rsid w:val="00E562D0"/>
    <w:rsid w:val="00E56375"/>
    <w:rsid w:val="00E56747"/>
    <w:rsid w:val="00E56788"/>
    <w:rsid w:val="00E5686C"/>
    <w:rsid w:val="00E568E8"/>
    <w:rsid w:val="00E56CEB"/>
    <w:rsid w:val="00E56EAE"/>
    <w:rsid w:val="00E570CD"/>
    <w:rsid w:val="00E5726F"/>
    <w:rsid w:val="00E573D3"/>
    <w:rsid w:val="00E57434"/>
    <w:rsid w:val="00E57480"/>
    <w:rsid w:val="00E57560"/>
    <w:rsid w:val="00E5767B"/>
    <w:rsid w:val="00E57749"/>
    <w:rsid w:val="00E577E6"/>
    <w:rsid w:val="00E5788C"/>
    <w:rsid w:val="00E57A3E"/>
    <w:rsid w:val="00E57B7E"/>
    <w:rsid w:val="00E57BF4"/>
    <w:rsid w:val="00E57E5F"/>
    <w:rsid w:val="00E57EC3"/>
    <w:rsid w:val="00E6009B"/>
    <w:rsid w:val="00E601B9"/>
    <w:rsid w:val="00E601EA"/>
    <w:rsid w:val="00E60213"/>
    <w:rsid w:val="00E6025C"/>
    <w:rsid w:val="00E6034B"/>
    <w:rsid w:val="00E60537"/>
    <w:rsid w:val="00E605FE"/>
    <w:rsid w:val="00E6089F"/>
    <w:rsid w:val="00E608CE"/>
    <w:rsid w:val="00E608D4"/>
    <w:rsid w:val="00E6092E"/>
    <w:rsid w:val="00E60A67"/>
    <w:rsid w:val="00E60CC0"/>
    <w:rsid w:val="00E60D82"/>
    <w:rsid w:val="00E60DEA"/>
    <w:rsid w:val="00E610C2"/>
    <w:rsid w:val="00E6112F"/>
    <w:rsid w:val="00E61334"/>
    <w:rsid w:val="00E613BC"/>
    <w:rsid w:val="00E613E6"/>
    <w:rsid w:val="00E614C0"/>
    <w:rsid w:val="00E6153F"/>
    <w:rsid w:val="00E615B0"/>
    <w:rsid w:val="00E616C5"/>
    <w:rsid w:val="00E618DF"/>
    <w:rsid w:val="00E61943"/>
    <w:rsid w:val="00E61AD7"/>
    <w:rsid w:val="00E61AF4"/>
    <w:rsid w:val="00E61BA8"/>
    <w:rsid w:val="00E61D61"/>
    <w:rsid w:val="00E61E4F"/>
    <w:rsid w:val="00E61EC0"/>
    <w:rsid w:val="00E6203D"/>
    <w:rsid w:val="00E620B3"/>
    <w:rsid w:val="00E62147"/>
    <w:rsid w:val="00E62229"/>
    <w:rsid w:val="00E6237A"/>
    <w:rsid w:val="00E62486"/>
    <w:rsid w:val="00E62487"/>
    <w:rsid w:val="00E6252F"/>
    <w:rsid w:val="00E625E3"/>
    <w:rsid w:val="00E62613"/>
    <w:rsid w:val="00E62680"/>
    <w:rsid w:val="00E6270A"/>
    <w:rsid w:val="00E628F0"/>
    <w:rsid w:val="00E6294A"/>
    <w:rsid w:val="00E62AD3"/>
    <w:rsid w:val="00E62B22"/>
    <w:rsid w:val="00E62BAE"/>
    <w:rsid w:val="00E62C4C"/>
    <w:rsid w:val="00E62E05"/>
    <w:rsid w:val="00E62E72"/>
    <w:rsid w:val="00E62FB3"/>
    <w:rsid w:val="00E62FD5"/>
    <w:rsid w:val="00E6316B"/>
    <w:rsid w:val="00E63431"/>
    <w:rsid w:val="00E634F3"/>
    <w:rsid w:val="00E63579"/>
    <w:rsid w:val="00E63601"/>
    <w:rsid w:val="00E63623"/>
    <w:rsid w:val="00E6367C"/>
    <w:rsid w:val="00E639A5"/>
    <w:rsid w:val="00E63ACC"/>
    <w:rsid w:val="00E63AFB"/>
    <w:rsid w:val="00E63DC9"/>
    <w:rsid w:val="00E63EAD"/>
    <w:rsid w:val="00E63FC9"/>
    <w:rsid w:val="00E6425D"/>
    <w:rsid w:val="00E64281"/>
    <w:rsid w:val="00E642D2"/>
    <w:rsid w:val="00E64498"/>
    <w:rsid w:val="00E644EF"/>
    <w:rsid w:val="00E645CB"/>
    <w:rsid w:val="00E645E7"/>
    <w:rsid w:val="00E64614"/>
    <w:rsid w:val="00E6462C"/>
    <w:rsid w:val="00E6475F"/>
    <w:rsid w:val="00E64A74"/>
    <w:rsid w:val="00E64B97"/>
    <w:rsid w:val="00E64D2B"/>
    <w:rsid w:val="00E64D53"/>
    <w:rsid w:val="00E64DC7"/>
    <w:rsid w:val="00E64EB4"/>
    <w:rsid w:val="00E6501F"/>
    <w:rsid w:val="00E65022"/>
    <w:rsid w:val="00E65053"/>
    <w:rsid w:val="00E65128"/>
    <w:rsid w:val="00E65419"/>
    <w:rsid w:val="00E65618"/>
    <w:rsid w:val="00E65960"/>
    <w:rsid w:val="00E65AEF"/>
    <w:rsid w:val="00E65AFC"/>
    <w:rsid w:val="00E65C01"/>
    <w:rsid w:val="00E65C6F"/>
    <w:rsid w:val="00E65E3D"/>
    <w:rsid w:val="00E65ECF"/>
    <w:rsid w:val="00E65FA7"/>
    <w:rsid w:val="00E66162"/>
    <w:rsid w:val="00E66169"/>
    <w:rsid w:val="00E66189"/>
    <w:rsid w:val="00E663C1"/>
    <w:rsid w:val="00E664B1"/>
    <w:rsid w:val="00E6669E"/>
    <w:rsid w:val="00E66718"/>
    <w:rsid w:val="00E66951"/>
    <w:rsid w:val="00E669C6"/>
    <w:rsid w:val="00E66AC1"/>
    <w:rsid w:val="00E66B2C"/>
    <w:rsid w:val="00E6708C"/>
    <w:rsid w:val="00E6744E"/>
    <w:rsid w:val="00E675FA"/>
    <w:rsid w:val="00E67A05"/>
    <w:rsid w:val="00E67A48"/>
    <w:rsid w:val="00E67AD0"/>
    <w:rsid w:val="00E67D2E"/>
    <w:rsid w:val="00E67ED6"/>
    <w:rsid w:val="00E67F37"/>
    <w:rsid w:val="00E7025C"/>
    <w:rsid w:val="00E70380"/>
    <w:rsid w:val="00E70418"/>
    <w:rsid w:val="00E705A3"/>
    <w:rsid w:val="00E705B3"/>
    <w:rsid w:val="00E7072C"/>
    <w:rsid w:val="00E70A65"/>
    <w:rsid w:val="00E70A8F"/>
    <w:rsid w:val="00E70AA4"/>
    <w:rsid w:val="00E70B6F"/>
    <w:rsid w:val="00E70CB4"/>
    <w:rsid w:val="00E70ED0"/>
    <w:rsid w:val="00E70F42"/>
    <w:rsid w:val="00E71137"/>
    <w:rsid w:val="00E711BD"/>
    <w:rsid w:val="00E71309"/>
    <w:rsid w:val="00E71318"/>
    <w:rsid w:val="00E715AE"/>
    <w:rsid w:val="00E71685"/>
    <w:rsid w:val="00E716D6"/>
    <w:rsid w:val="00E71740"/>
    <w:rsid w:val="00E717A3"/>
    <w:rsid w:val="00E717FC"/>
    <w:rsid w:val="00E71973"/>
    <w:rsid w:val="00E71A16"/>
    <w:rsid w:val="00E71A25"/>
    <w:rsid w:val="00E71D11"/>
    <w:rsid w:val="00E72084"/>
    <w:rsid w:val="00E7217E"/>
    <w:rsid w:val="00E721FA"/>
    <w:rsid w:val="00E72235"/>
    <w:rsid w:val="00E7229F"/>
    <w:rsid w:val="00E724DB"/>
    <w:rsid w:val="00E726D4"/>
    <w:rsid w:val="00E7278C"/>
    <w:rsid w:val="00E729B6"/>
    <w:rsid w:val="00E72AC3"/>
    <w:rsid w:val="00E72B04"/>
    <w:rsid w:val="00E72E0E"/>
    <w:rsid w:val="00E730B6"/>
    <w:rsid w:val="00E7318A"/>
    <w:rsid w:val="00E73377"/>
    <w:rsid w:val="00E734B3"/>
    <w:rsid w:val="00E7361A"/>
    <w:rsid w:val="00E73C6F"/>
    <w:rsid w:val="00E73D38"/>
    <w:rsid w:val="00E73E5B"/>
    <w:rsid w:val="00E73E95"/>
    <w:rsid w:val="00E73EDC"/>
    <w:rsid w:val="00E740B9"/>
    <w:rsid w:val="00E74106"/>
    <w:rsid w:val="00E74373"/>
    <w:rsid w:val="00E74420"/>
    <w:rsid w:val="00E7455E"/>
    <w:rsid w:val="00E745AB"/>
    <w:rsid w:val="00E74745"/>
    <w:rsid w:val="00E7491C"/>
    <w:rsid w:val="00E74988"/>
    <w:rsid w:val="00E74A56"/>
    <w:rsid w:val="00E74C8F"/>
    <w:rsid w:val="00E74DE5"/>
    <w:rsid w:val="00E74F6C"/>
    <w:rsid w:val="00E74F71"/>
    <w:rsid w:val="00E7502B"/>
    <w:rsid w:val="00E75099"/>
    <w:rsid w:val="00E751B9"/>
    <w:rsid w:val="00E753B9"/>
    <w:rsid w:val="00E75562"/>
    <w:rsid w:val="00E75626"/>
    <w:rsid w:val="00E75819"/>
    <w:rsid w:val="00E75892"/>
    <w:rsid w:val="00E7594E"/>
    <w:rsid w:val="00E75B37"/>
    <w:rsid w:val="00E75C24"/>
    <w:rsid w:val="00E75C50"/>
    <w:rsid w:val="00E75C93"/>
    <w:rsid w:val="00E75D58"/>
    <w:rsid w:val="00E75DDE"/>
    <w:rsid w:val="00E75E30"/>
    <w:rsid w:val="00E75E43"/>
    <w:rsid w:val="00E75F80"/>
    <w:rsid w:val="00E75FA2"/>
    <w:rsid w:val="00E76030"/>
    <w:rsid w:val="00E76168"/>
    <w:rsid w:val="00E76425"/>
    <w:rsid w:val="00E76505"/>
    <w:rsid w:val="00E76553"/>
    <w:rsid w:val="00E76704"/>
    <w:rsid w:val="00E7676E"/>
    <w:rsid w:val="00E76942"/>
    <w:rsid w:val="00E76969"/>
    <w:rsid w:val="00E76A0E"/>
    <w:rsid w:val="00E76B53"/>
    <w:rsid w:val="00E76C52"/>
    <w:rsid w:val="00E76EF4"/>
    <w:rsid w:val="00E770A7"/>
    <w:rsid w:val="00E77156"/>
    <w:rsid w:val="00E7721A"/>
    <w:rsid w:val="00E772F5"/>
    <w:rsid w:val="00E77486"/>
    <w:rsid w:val="00E77488"/>
    <w:rsid w:val="00E77537"/>
    <w:rsid w:val="00E7774A"/>
    <w:rsid w:val="00E77782"/>
    <w:rsid w:val="00E77813"/>
    <w:rsid w:val="00E778CA"/>
    <w:rsid w:val="00E77918"/>
    <w:rsid w:val="00E77AB3"/>
    <w:rsid w:val="00E77CD6"/>
    <w:rsid w:val="00E77D9A"/>
    <w:rsid w:val="00E77DA3"/>
    <w:rsid w:val="00E77E78"/>
    <w:rsid w:val="00E80130"/>
    <w:rsid w:val="00E80396"/>
    <w:rsid w:val="00E803D1"/>
    <w:rsid w:val="00E80449"/>
    <w:rsid w:val="00E80577"/>
    <w:rsid w:val="00E80647"/>
    <w:rsid w:val="00E806DA"/>
    <w:rsid w:val="00E80803"/>
    <w:rsid w:val="00E808AC"/>
    <w:rsid w:val="00E80A3B"/>
    <w:rsid w:val="00E80AEA"/>
    <w:rsid w:val="00E80EA0"/>
    <w:rsid w:val="00E8137C"/>
    <w:rsid w:val="00E8145D"/>
    <w:rsid w:val="00E8149D"/>
    <w:rsid w:val="00E814C7"/>
    <w:rsid w:val="00E8151E"/>
    <w:rsid w:val="00E81579"/>
    <w:rsid w:val="00E81753"/>
    <w:rsid w:val="00E81C8F"/>
    <w:rsid w:val="00E81CC7"/>
    <w:rsid w:val="00E81DA0"/>
    <w:rsid w:val="00E81E2A"/>
    <w:rsid w:val="00E81E61"/>
    <w:rsid w:val="00E81F0A"/>
    <w:rsid w:val="00E82234"/>
    <w:rsid w:val="00E8226F"/>
    <w:rsid w:val="00E8298E"/>
    <w:rsid w:val="00E829A4"/>
    <w:rsid w:val="00E82A83"/>
    <w:rsid w:val="00E82B39"/>
    <w:rsid w:val="00E82BA7"/>
    <w:rsid w:val="00E82CBF"/>
    <w:rsid w:val="00E82E22"/>
    <w:rsid w:val="00E83058"/>
    <w:rsid w:val="00E832DC"/>
    <w:rsid w:val="00E833D7"/>
    <w:rsid w:val="00E833E2"/>
    <w:rsid w:val="00E837CE"/>
    <w:rsid w:val="00E83820"/>
    <w:rsid w:val="00E83A94"/>
    <w:rsid w:val="00E83BFC"/>
    <w:rsid w:val="00E83D64"/>
    <w:rsid w:val="00E83F33"/>
    <w:rsid w:val="00E83F85"/>
    <w:rsid w:val="00E83FCE"/>
    <w:rsid w:val="00E840C2"/>
    <w:rsid w:val="00E840D8"/>
    <w:rsid w:val="00E841E5"/>
    <w:rsid w:val="00E842CD"/>
    <w:rsid w:val="00E844FE"/>
    <w:rsid w:val="00E84825"/>
    <w:rsid w:val="00E84A71"/>
    <w:rsid w:val="00E84D30"/>
    <w:rsid w:val="00E851C6"/>
    <w:rsid w:val="00E8534D"/>
    <w:rsid w:val="00E8546A"/>
    <w:rsid w:val="00E85490"/>
    <w:rsid w:val="00E854B8"/>
    <w:rsid w:val="00E8566E"/>
    <w:rsid w:val="00E8570E"/>
    <w:rsid w:val="00E857CF"/>
    <w:rsid w:val="00E85956"/>
    <w:rsid w:val="00E85A15"/>
    <w:rsid w:val="00E85A31"/>
    <w:rsid w:val="00E85ACB"/>
    <w:rsid w:val="00E85BF7"/>
    <w:rsid w:val="00E85CDF"/>
    <w:rsid w:val="00E85D2F"/>
    <w:rsid w:val="00E85EB2"/>
    <w:rsid w:val="00E85EFD"/>
    <w:rsid w:val="00E85F0F"/>
    <w:rsid w:val="00E86002"/>
    <w:rsid w:val="00E86027"/>
    <w:rsid w:val="00E8604B"/>
    <w:rsid w:val="00E861A7"/>
    <w:rsid w:val="00E86222"/>
    <w:rsid w:val="00E8627B"/>
    <w:rsid w:val="00E862E0"/>
    <w:rsid w:val="00E863B4"/>
    <w:rsid w:val="00E86482"/>
    <w:rsid w:val="00E86497"/>
    <w:rsid w:val="00E86505"/>
    <w:rsid w:val="00E8671B"/>
    <w:rsid w:val="00E8680E"/>
    <w:rsid w:val="00E86BC9"/>
    <w:rsid w:val="00E86DB5"/>
    <w:rsid w:val="00E86E56"/>
    <w:rsid w:val="00E870B5"/>
    <w:rsid w:val="00E8722D"/>
    <w:rsid w:val="00E873DA"/>
    <w:rsid w:val="00E873ED"/>
    <w:rsid w:val="00E8751D"/>
    <w:rsid w:val="00E87629"/>
    <w:rsid w:val="00E87632"/>
    <w:rsid w:val="00E8770B"/>
    <w:rsid w:val="00E87849"/>
    <w:rsid w:val="00E878C5"/>
    <w:rsid w:val="00E87AF9"/>
    <w:rsid w:val="00E9000E"/>
    <w:rsid w:val="00E900DA"/>
    <w:rsid w:val="00E901FD"/>
    <w:rsid w:val="00E90371"/>
    <w:rsid w:val="00E9039B"/>
    <w:rsid w:val="00E90432"/>
    <w:rsid w:val="00E90465"/>
    <w:rsid w:val="00E90484"/>
    <w:rsid w:val="00E90519"/>
    <w:rsid w:val="00E90542"/>
    <w:rsid w:val="00E90543"/>
    <w:rsid w:val="00E90629"/>
    <w:rsid w:val="00E907F2"/>
    <w:rsid w:val="00E90825"/>
    <w:rsid w:val="00E908D8"/>
    <w:rsid w:val="00E9096C"/>
    <w:rsid w:val="00E91078"/>
    <w:rsid w:val="00E910CE"/>
    <w:rsid w:val="00E9133E"/>
    <w:rsid w:val="00E91434"/>
    <w:rsid w:val="00E9147B"/>
    <w:rsid w:val="00E91545"/>
    <w:rsid w:val="00E916C4"/>
    <w:rsid w:val="00E916ED"/>
    <w:rsid w:val="00E9182D"/>
    <w:rsid w:val="00E91917"/>
    <w:rsid w:val="00E91978"/>
    <w:rsid w:val="00E91A5F"/>
    <w:rsid w:val="00E91AF7"/>
    <w:rsid w:val="00E91BE2"/>
    <w:rsid w:val="00E91E21"/>
    <w:rsid w:val="00E91F66"/>
    <w:rsid w:val="00E920EF"/>
    <w:rsid w:val="00E92151"/>
    <w:rsid w:val="00E92189"/>
    <w:rsid w:val="00E922EF"/>
    <w:rsid w:val="00E9263F"/>
    <w:rsid w:val="00E926D8"/>
    <w:rsid w:val="00E92764"/>
    <w:rsid w:val="00E92785"/>
    <w:rsid w:val="00E927DF"/>
    <w:rsid w:val="00E928BC"/>
    <w:rsid w:val="00E92C19"/>
    <w:rsid w:val="00E92C22"/>
    <w:rsid w:val="00E92C86"/>
    <w:rsid w:val="00E92EBA"/>
    <w:rsid w:val="00E92F08"/>
    <w:rsid w:val="00E92F9E"/>
    <w:rsid w:val="00E930EC"/>
    <w:rsid w:val="00E93149"/>
    <w:rsid w:val="00E931C7"/>
    <w:rsid w:val="00E931CD"/>
    <w:rsid w:val="00E932F9"/>
    <w:rsid w:val="00E933AA"/>
    <w:rsid w:val="00E93421"/>
    <w:rsid w:val="00E9353E"/>
    <w:rsid w:val="00E93727"/>
    <w:rsid w:val="00E93883"/>
    <w:rsid w:val="00E938BF"/>
    <w:rsid w:val="00E938D1"/>
    <w:rsid w:val="00E93C53"/>
    <w:rsid w:val="00E93C94"/>
    <w:rsid w:val="00E93D02"/>
    <w:rsid w:val="00E93DC5"/>
    <w:rsid w:val="00E93DEF"/>
    <w:rsid w:val="00E93ECC"/>
    <w:rsid w:val="00E94069"/>
    <w:rsid w:val="00E94170"/>
    <w:rsid w:val="00E9421D"/>
    <w:rsid w:val="00E94276"/>
    <w:rsid w:val="00E942A1"/>
    <w:rsid w:val="00E9444D"/>
    <w:rsid w:val="00E9449A"/>
    <w:rsid w:val="00E9462F"/>
    <w:rsid w:val="00E946A2"/>
    <w:rsid w:val="00E946B8"/>
    <w:rsid w:val="00E94855"/>
    <w:rsid w:val="00E94899"/>
    <w:rsid w:val="00E949B3"/>
    <w:rsid w:val="00E94A95"/>
    <w:rsid w:val="00E94AA5"/>
    <w:rsid w:val="00E94AAB"/>
    <w:rsid w:val="00E94CFB"/>
    <w:rsid w:val="00E94E12"/>
    <w:rsid w:val="00E94ECE"/>
    <w:rsid w:val="00E95183"/>
    <w:rsid w:val="00E95276"/>
    <w:rsid w:val="00E95297"/>
    <w:rsid w:val="00E95307"/>
    <w:rsid w:val="00E953EE"/>
    <w:rsid w:val="00E955C9"/>
    <w:rsid w:val="00E956B2"/>
    <w:rsid w:val="00E95937"/>
    <w:rsid w:val="00E95A96"/>
    <w:rsid w:val="00E95C5E"/>
    <w:rsid w:val="00E95E58"/>
    <w:rsid w:val="00E95E5C"/>
    <w:rsid w:val="00E95FC2"/>
    <w:rsid w:val="00E96277"/>
    <w:rsid w:val="00E96320"/>
    <w:rsid w:val="00E963C6"/>
    <w:rsid w:val="00E9644D"/>
    <w:rsid w:val="00E965CB"/>
    <w:rsid w:val="00E96640"/>
    <w:rsid w:val="00E967DB"/>
    <w:rsid w:val="00E9698E"/>
    <w:rsid w:val="00E96A2A"/>
    <w:rsid w:val="00E96A51"/>
    <w:rsid w:val="00E96CA0"/>
    <w:rsid w:val="00E96E52"/>
    <w:rsid w:val="00E96F73"/>
    <w:rsid w:val="00E96F77"/>
    <w:rsid w:val="00E97108"/>
    <w:rsid w:val="00E971BA"/>
    <w:rsid w:val="00E97281"/>
    <w:rsid w:val="00E97305"/>
    <w:rsid w:val="00E97317"/>
    <w:rsid w:val="00E97371"/>
    <w:rsid w:val="00E9760F"/>
    <w:rsid w:val="00E97670"/>
    <w:rsid w:val="00E977BF"/>
    <w:rsid w:val="00E97928"/>
    <w:rsid w:val="00E97A15"/>
    <w:rsid w:val="00E97ADF"/>
    <w:rsid w:val="00E97C2E"/>
    <w:rsid w:val="00E97CB9"/>
    <w:rsid w:val="00E97CF2"/>
    <w:rsid w:val="00E97D34"/>
    <w:rsid w:val="00E97DEC"/>
    <w:rsid w:val="00EA0062"/>
    <w:rsid w:val="00EA01A2"/>
    <w:rsid w:val="00EA029E"/>
    <w:rsid w:val="00EA059D"/>
    <w:rsid w:val="00EA05F7"/>
    <w:rsid w:val="00EA065C"/>
    <w:rsid w:val="00EA065D"/>
    <w:rsid w:val="00EA074C"/>
    <w:rsid w:val="00EA086D"/>
    <w:rsid w:val="00EA0943"/>
    <w:rsid w:val="00EA0A2E"/>
    <w:rsid w:val="00EA0AB2"/>
    <w:rsid w:val="00EA0B5C"/>
    <w:rsid w:val="00EA0C09"/>
    <w:rsid w:val="00EA0FD2"/>
    <w:rsid w:val="00EA1094"/>
    <w:rsid w:val="00EA13C7"/>
    <w:rsid w:val="00EA14E4"/>
    <w:rsid w:val="00EA154B"/>
    <w:rsid w:val="00EA1553"/>
    <w:rsid w:val="00EA1604"/>
    <w:rsid w:val="00EA1659"/>
    <w:rsid w:val="00EA167B"/>
    <w:rsid w:val="00EA171D"/>
    <w:rsid w:val="00EA17E4"/>
    <w:rsid w:val="00EA1873"/>
    <w:rsid w:val="00EA18A4"/>
    <w:rsid w:val="00EA1A09"/>
    <w:rsid w:val="00EA1AFF"/>
    <w:rsid w:val="00EA1C4A"/>
    <w:rsid w:val="00EA1CDF"/>
    <w:rsid w:val="00EA1D28"/>
    <w:rsid w:val="00EA1D48"/>
    <w:rsid w:val="00EA1DCB"/>
    <w:rsid w:val="00EA1F89"/>
    <w:rsid w:val="00EA216F"/>
    <w:rsid w:val="00EA21E4"/>
    <w:rsid w:val="00EA22AB"/>
    <w:rsid w:val="00EA2418"/>
    <w:rsid w:val="00EA274C"/>
    <w:rsid w:val="00EA2866"/>
    <w:rsid w:val="00EA2957"/>
    <w:rsid w:val="00EA2A52"/>
    <w:rsid w:val="00EA2A6F"/>
    <w:rsid w:val="00EA2A7E"/>
    <w:rsid w:val="00EA2C74"/>
    <w:rsid w:val="00EA2E86"/>
    <w:rsid w:val="00EA2F94"/>
    <w:rsid w:val="00EA3003"/>
    <w:rsid w:val="00EA3033"/>
    <w:rsid w:val="00EA327B"/>
    <w:rsid w:val="00EA3438"/>
    <w:rsid w:val="00EA3647"/>
    <w:rsid w:val="00EA3761"/>
    <w:rsid w:val="00EA37B4"/>
    <w:rsid w:val="00EA37D9"/>
    <w:rsid w:val="00EA3949"/>
    <w:rsid w:val="00EA3A34"/>
    <w:rsid w:val="00EA3BCE"/>
    <w:rsid w:val="00EA3BCF"/>
    <w:rsid w:val="00EA3C0B"/>
    <w:rsid w:val="00EA3C41"/>
    <w:rsid w:val="00EA3E47"/>
    <w:rsid w:val="00EA3E67"/>
    <w:rsid w:val="00EA4010"/>
    <w:rsid w:val="00EA4085"/>
    <w:rsid w:val="00EA41C8"/>
    <w:rsid w:val="00EA42DA"/>
    <w:rsid w:val="00EA4339"/>
    <w:rsid w:val="00EA4371"/>
    <w:rsid w:val="00EA43C6"/>
    <w:rsid w:val="00EA4408"/>
    <w:rsid w:val="00EA448C"/>
    <w:rsid w:val="00EA449D"/>
    <w:rsid w:val="00EA4643"/>
    <w:rsid w:val="00EA4813"/>
    <w:rsid w:val="00EA486D"/>
    <w:rsid w:val="00EA4893"/>
    <w:rsid w:val="00EA499F"/>
    <w:rsid w:val="00EA4B79"/>
    <w:rsid w:val="00EA4CC2"/>
    <w:rsid w:val="00EA4DB6"/>
    <w:rsid w:val="00EA4DFA"/>
    <w:rsid w:val="00EA4E2A"/>
    <w:rsid w:val="00EA4E99"/>
    <w:rsid w:val="00EA4ED2"/>
    <w:rsid w:val="00EA4F19"/>
    <w:rsid w:val="00EA4F54"/>
    <w:rsid w:val="00EA4FD4"/>
    <w:rsid w:val="00EA504F"/>
    <w:rsid w:val="00EA506A"/>
    <w:rsid w:val="00EA51CA"/>
    <w:rsid w:val="00EA552E"/>
    <w:rsid w:val="00EA554A"/>
    <w:rsid w:val="00EA559C"/>
    <w:rsid w:val="00EA56A8"/>
    <w:rsid w:val="00EA5751"/>
    <w:rsid w:val="00EA588F"/>
    <w:rsid w:val="00EA59FA"/>
    <w:rsid w:val="00EA5AF5"/>
    <w:rsid w:val="00EA5BA8"/>
    <w:rsid w:val="00EA5C77"/>
    <w:rsid w:val="00EA5CF8"/>
    <w:rsid w:val="00EA5CFF"/>
    <w:rsid w:val="00EA5E28"/>
    <w:rsid w:val="00EA5FCE"/>
    <w:rsid w:val="00EA675D"/>
    <w:rsid w:val="00EA6773"/>
    <w:rsid w:val="00EA68BC"/>
    <w:rsid w:val="00EA6984"/>
    <w:rsid w:val="00EA69D1"/>
    <w:rsid w:val="00EA69D3"/>
    <w:rsid w:val="00EA69DB"/>
    <w:rsid w:val="00EA69E2"/>
    <w:rsid w:val="00EA6A4D"/>
    <w:rsid w:val="00EA6A77"/>
    <w:rsid w:val="00EA6A8B"/>
    <w:rsid w:val="00EA6A9F"/>
    <w:rsid w:val="00EA6C55"/>
    <w:rsid w:val="00EA6C83"/>
    <w:rsid w:val="00EA705E"/>
    <w:rsid w:val="00EA719E"/>
    <w:rsid w:val="00EA72EA"/>
    <w:rsid w:val="00EA736A"/>
    <w:rsid w:val="00EA7440"/>
    <w:rsid w:val="00EA74B8"/>
    <w:rsid w:val="00EA75F6"/>
    <w:rsid w:val="00EA78A2"/>
    <w:rsid w:val="00EA78ED"/>
    <w:rsid w:val="00EA790A"/>
    <w:rsid w:val="00EA79D6"/>
    <w:rsid w:val="00EA7AAF"/>
    <w:rsid w:val="00EA7C03"/>
    <w:rsid w:val="00EA7D71"/>
    <w:rsid w:val="00EA7EC8"/>
    <w:rsid w:val="00EB0039"/>
    <w:rsid w:val="00EB02A4"/>
    <w:rsid w:val="00EB03D5"/>
    <w:rsid w:val="00EB061B"/>
    <w:rsid w:val="00EB067B"/>
    <w:rsid w:val="00EB08E3"/>
    <w:rsid w:val="00EB0910"/>
    <w:rsid w:val="00EB0929"/>
    <w:rsid w:val="00EB0A98"/>
    <w:rsid w:val="00EB0B4B"/>
    <w:rsid w:val="00EB0C9C"/>
    <w:rsid w:val="00EB0D6C"/>
    <w:rsid w:val="00EB0DA6"/>
    <w:rsid w:val="00EB0E1C"/>
    <w:rsid w:val="00EB0E72"/>
    <w:rsid w:val="00EB0EE4"/>
    <w:rsid w:val="00EB0F42"/>
    <w:rsid w:val="00EB1258"/>
    <w:rsid w:val="00EB1290"/>
    <w:rsid w:val="00EB12B4"/>
    <w:rsid w:val="00EB14B5"/>
    <w:rsid w:val="00EB1511"/>
    <w:rsid w:val="00EB1599"/>
    <w:rsid w:val="00EB182A"/>
    <w:rsid w:val="00EB186A"/>
    <w:rsid w:val="00EB1875"/>
    <w:rsid w:val="00EB19C9"/>
    <w:rsid w:val="00EB1A47"/>
    <w:rsid w:val="00EB1EA3"/>
    <w:rsid w:val="00EB1FC5"/>
    <w:rsid w:val="00EB2007"/>
    <w:rsid w:val="00EB2055"/>
    <w:rsid w:val="00EB2430"/>
    <w:rsid w:val="00EB2569"/>
    <w:rsid w:val="00EB2614"/>
    <w:rsid w:val="00EB2977"/>
    <w:rsid w:val="00EB2996"/>
    <w:rsid w:val="00EB2A90"/>
    <w:rsid w:val="00EB2B00"/>
    <w:rsid w:val="00EB2B3D"/>
    <w:rsid w:val="00EB2BEA"/>
    <w:rsid w:val="00EB2C59"/>
    <w:rsid w:val="00EB2CB5"/>
    <w:rsid w:val="00EB2E01"/>
    <w:rsid w:val="00EB2E86"/>
    <w:rsid w:val="00EB2FA1"/>
    <w:rsid w:val="00EB3022"/>
    <w:rsid w:val="00EB3031"/>
    <w:rsid w:val="00EB30AE"/>
    <w:rsid w:val="00EB30B4"/>
    <w:rsid w:val="00EB340B"/>
    <w:rsid w:val="00EB3546"/>
    <w:rsid w:val="00EB36F5"/>
    <w:rsid w:val="00EB389B"/>
    <w:rsid w:val="00EB39F9"/>
    <w:rsid w:val="00EB3A1B"/>
    <w:rsid w:val="00EB3AA4"/>
    <w:rsid w:val="00EB3AD1"/>
    <w:rsid w:val="00EB3D7D"/>
    <w:rsid w:val="00EB3DE1"/>
    <w:rsid w:val="00EB3E48"/>
    <w:rsid w:val="00EB3E8E"/>
    <w:rsid w:val="00EB3EAA"/>
    <w:rsid w:val="00EB3F80"/>
    <w:rsid w:val="00EB4128"/>
    <w:rsid w:val="00EB4154"/>
    <w:rsid w:val="00EB4197"/>
    <w:rsid w:val="00EB41B7"/>
    <w:rsid w:val="00EB42EB"/>
    <w:rsid w:val="00EB453D"/>
    <w:rsid w:val="00EB45D6"/>
    <w:rsid w:val="00EB4692"/>
    <w:rsid w:val="00EB46E9"/>
    <w:rsid w:val="00EB49CD"/>
    <w:rsid w:val="00EB4B2D"/>
    <w:rsid w:val="00EB4B3D"/>
    <w:rsid w:val="00EB4BDB"/>
    <w:rsid w:val="00EB4C50"/>
    <w:rsid w:val="00EB4C98"/>
    <w:rsid w:val="00EB4EEA"/>
    <w:rsid w:val="00EB5053"/>
    <w:rsid w:val="00EB52D7"/>
    <w:rsid w:val="00EB52EB"/>
    <w:rsid w:val="00EB53CF"/>
    <w:rsid w:val="00EB54DF"/>
    <w:rsid w:val="00EB551D"/>
    <w:rsid w:val="00EB55B3"/>
    <w:rsid w:val="00EB55B4"/>
    <w:rsid w:val="00EB55E6"/>
    <w:rsid w:val="00EB5888"/>
    <w:rsid w:val="00EB590C"/>
    <w:rsid w:val="00EB5981"/>
    <w:rsid w:val="00EB5C7E"/>
    <w:rsid w:val="00EB5C95"/>
    <w:rsid w:val="00EB5D2F"/>
    <w:rsid w:val="00EB5D31"/>
    <w:rsid w:val="00EB5F0B"/>
    <w:rsid w:val="00EB5F38"/>
    <w:rsid w:val="00EB6092"/>
    <w:rsid w:val="00EB6374"/>
    <w:rsid w:val="00EB6459"/>
    <w:rsid w:val="00EB661A"/>
    <w:rsid w:val="00EB6941"/>
    <w:rsid w:val="00EB6EFD"/>
    <w:rsid w:val="00EB6F07"/>
    <w:rsid w:val="00EB6F79"/>
    <w:rsid w:val="00EB7471"/>
    <w:rsid w:val="00EB74B7"/>
    <w:rsid w:val="00EB7890"/>
    <w:rsid w:val="00EB78FE"/>
    <w:rsid w:val="00EB79B1"/>
    <w:rsid w:val="00EB7A12"/>
    <w:rsid w:val="00EB7C0D"/>
    <w:rsid w:val="00EB7D26"/>
    <w:rsid w:val="00EB7D66"/>
    <w:rsid w:val="00EB7E78"/>
    <w:rsid w:val="00EC0172"/>
    <w:rsid w:val="00EC01E5"/>
    <w:rsid w:val="00EC021D"/>
    <w:rsid w:val="00EC0286"/>
    <w:rsid w:val="00EC0536"/>
    <w:rsid w:val="00EC076A"/>
    <w:rsid w:val="00EC0BC3"/>
    <w:rsid w:val="00EC0CB5"/>
    <w:rsid w:val="00EC0D07"/>
    <w:rsid w:val="00EC0D4D"/>
    <w:rsid w:val="00EC0D56"/>
    <w:rsid w:val="00EC118E"/>
    <w:rsid w:val="00EC128B"/>
    <w:rsid w:val="00EC14F8"/>
    <w:rsid w:val="00EC160F"/>
    <w:rsid w:val="00EC16EB"/>
    <w:rsid w:val="00EC1853"/>
    <w:rsid w:val="00EC19E7"/>
    <w:rsid w:val="00EC1AFA"/>
    <w:rsid w:val="00EC1BA3"/>
    <w:rsid w:val="00EC1D09"/>
    <w:rsid w:val="00EC1D0B"/>
    <w:rsid w:val="00EC1E19"/>
    <w:rsid w:val="00EC1F49"/>
    <w:rsid w:val="00EC1FD4"/>
    <w:rsid w:val="00EC2035"/>
    <w:rsid w:val="00EC208C"/>
    <w:rsid w:val="00EC2441"/>
    <w:rsid w:val="00EC2479"/>
    <w:rsid w:val="00EC2671"/>
    <w:rsid w:val="00EC28A4"/>
    <w:rsid w:val="00EC28E9"/>
    <w:rsid w:val="00EC2974"/>
    <w:rsid w:val="00EC29B8"/>
    <w:rsid w:val="00EC2ACA"/>
    <w:rsid w:val="00EC2AF2"/>
    <w:rsid w:val="00EC2B49"/>
    <w:rsid w:val="00EC2B81"/>
    <w:rsid w:val="00EC2B8E"/>
    <w:rsid w:val="00EC2CA2"/>
    <w:rsid w:val="00EC2D03"/>
    <w:rsid w:val="00EC2D45"/>
    <w:rsid w:val="00EC30AA"/>
    <w:rsid w:val="00EC30D6"/>
    <w:rsid w:val="00EC3111"/>
    <w:rsid w:val="00EC311E"/>
    <w:rsid w:val="00EC3584"/>
    <w:rsid w:val="00EC360B"/>
    <w:rsid w:val="00EC36B3"/>
    <w:rsid w:val="00EC3709"/>
    <w:rsid w:val="00EC38F7"/>
    <w:rsid w:val="00EC3917"/>
    <w:rsid w:val="00EC3B1C"/>
    <w:rsid w:val="00EC3B89"/>
    <w:rsid w:val="00EC3E53"/>
    <w:rsid w:val="00EC3FBF"/>
    <w:rsid w:val="00EC41E5"/>
    <w:rsid w:val="00EC41E6"/>
    <w:rsid w:val="00EC4378"/>
    <w:rsid w:val="00EC4406"/>
    <w:rsid w:val="00EC44A2"/>
    <w:rsid w:val="00EC4564"/>
    <w:rsid w:val="00EC46BE"/>
    <w:rsid w:val="00EC474A"/>
    <w:rsid w:val="00EC4B39"/>
    <w:rsid w:val="00EC4B7A"/>
    <w:rsid w:val="00EC4DB0"/>
    <w:rsid w:val="00EC4DB9"/>
    <w:rsid w:val="00EC4E8C"/>
    <w:rsid w:val="00EC5060"/>
    <w:rsid w:val="00EC5193"/>
    <w:rsid w:val="00EC5215"/>
    <w:rsid w:val="00EC52E2"/>
    <w:rsid w:val="00EC532C"/>
    <w:rsid w:val="00EC5360"/>
    <w:rsid w:val="00EC56E8"/>
    <w:rsid w:val="00EC58EE"/>
    <w:rsid w:val="00EC5903"/>
    <w:rsid w:val="00EC5ABB"/>
    <w:rsid w:val="00EC5CB1"/>
    <w:rsid w:val="00EC5E4A"/>
    <w:rsid w:val="00EC5E84"/>
    <w:rsid w:val="00EC5EB9"/>
    <w:rsid w:val="00EC5EF3"/>
    <w:rsid w:val="00EC5F2C"/>
    <w:rsid w:val="00EC61E9"/>
    <w:rsid w:val="00EC63C9"/>
    <w:rsid w:val="00EC63E2"/>
    <w:rsid w:val="00EC6465"/>
    <w:rsid w:val="00EC6513"/>
    <w:rsid w:val="00EC6517"/>
    <w:rsid w:val="00EC6624"/>
    <w:rsid w:val="00EC66BF"/>
    <w:rsid w:val="00EC6774"/>
    <w:rsid w:val="00EC6840"/>
    <w:rsid w:val="00EC68F6"/>
    <w:rsid w:val="00EC6AEA"/>
    <w:rsid w:val="00EC6B94"/>
    <w:rsid w:val="00EC6C2B"/>
    <w:rsid w:val="00EC6D64"/>
    <w:rsid w:val="00EC6E74"/>
    <w:rsid w:val="00EC7248"/>
    <w:rsid w:val="00EC724D"/>
    <w:rsid w:val="00EC73FB"/>
    <w:rsid w:val="00EC7488"/>
    <w:rsid w:val="00EC75D9"/>
    <w:rsid w:val="00EC78D6"/>
    <w:rsid w:val="00EC792B"/>
    <w:rsid w:val="00EC79C6"/>
    <w:rsid w:val="00EC7A33"/>
    <w:rsid w:val="00EC7C8F"/>
    <w:rsid w:val="00ED0018"/>
    <w:rsid w:val="00ED0242"/>
    <w:rsid w:val="00ED0397"/>
    <w:rsid w:val="00ED03B6"/>
    <w:rsid w:val="00ED0452"/>
    <w:rsid w:val="00ED051F"/>
    <w:rsid w:val="00ED0525"/>
    <w:rsid w:val="00ED0564"/>
    <w:rsid w:val="00ED0843"/>
    <w:rsid w:val="00ED0904"/>
    <w:rsid w:val="00ED0911"/>
    <w:rsid w:val="00ED0C2A"/>
    <w:rsid w:val="00ED0DE4"/>
    <w:rsid w:val="00ED0EA6"/>
    <w:rsid w:val="00ED10CB"/>
    <w:rsid w:val="00ED13A2"/>
    <w:rsid w:val="00ED1496"/>
    <w:rsid w:val="00ED162C"/>
    <w:rsid w:val="00ED1842"/>
    <w:rsid w:val="00ED19DF"/>
    <w:rsid w:val="00ED1A17"/>
    <w:rsid w:val="00ED1A3F"/>
    <w:rsid w:val="00ED1E5D"/>
    <w:rsid w:val="00ED1EAD"/>
    <w:rsid w:val="00ED1F36"/>
    <w:rsid w:val="00ED1F3C"/>
    <w:rsid w:val="00ED20FC"/>
    <w:rsid w:val="00ED2424"/>
    <w:rsid w:val="00ED2479"/>
    <w:rsid w:val="00ED24CB"/>
    <w:rsid w:val="00ED24CE"/>
    <w:rsid w:val="00ED24DE"/>
    <w:rsid w:val="00ED2664"/>
    <w:rsid w:val="00ED266A"/>
    <w:rsid w:val="00ED2689"/>
    <w:rsid w:val="00ED2919"/>
    <w:rsid w:val="00ED295D"/>
    <w:rsid w:val="00ED2AE2"/>
    <w:rsid w:val="00ED2D17"/>
    <w:rsid w:val="00ED2D58"/>
    <w:rsid w:val="00ED2DB2"/>
    <w:rsid w:val="00ED2DBF"/>
    <w:rsid w:val="00ED2F1A"/>
    <w:rsid w:val="00ED2F75"/>
    <w:rsid w:val="00ED3245"/>
    <w:rsid w:val="00ED334D"/>
    <w:rsid w:val="00ED354C"/>
    <w:rsid w:val="00ED368C"/>
    <w:rsid w:val="00ED37E2"/>
    <w:rsid w:val="00ED3811"/>
    <w:rsid w:val="00ED3836"/>
    <w:rsid w:val="00ED3977"/>
    <w:rsid w:val="00ED3AE8"/>
    <w:rsid w:val="00ED3BA0"/>
    <w:rsid w:val="00ED3BD1"/>
    <w:rsid w:val="00ED3D43"/>
    <w:rsid w:val="00ED3DBC"/>
    <w:rsid w:val="00ED3DC3"/>
    <w:rsid w:val="00ED3EA6"/>
    <w:rsid w:val="00ED3EE6"/>
    <w:rsid w:val="00ED3F83"/>
    <w:rsid w:val="00ED3F8C"/>
    <w:rsid w:val="00ED4073"/>
    <w:rsid w:val="00ED411E"/>
    <w:rsid w:val="00ED4139"/>
    <w:rsid w:val="00ED4308"/>
    <w:rsid w:val="00ED4406"/>
    <w:rsid w:val="00ED4826"/>
    <w:rsid w:val="00ED4856"/>
    <w:rsid w:val="00ED48E7"/>
    <w:rsid w:val="00ED496D"/>
    <w:rsid w:val="00ED4AE0"/>
    <w:rsid w:val="00ED4B2D"/>
    <w:rsid w:val="00ED4D58"/>
    <w:rsid w:val="00ED4E74"/>
    <w:rsid w:val="00ED4FD7"/>
    <w:rsid w:val="00ED4FE1"/>
    <w:rsid w:val="00ED5006"/>
    <w:rsid w:val="00ED51CB"/>
    <w:rsid w:val="00ED5380"/>
    <w:rsid w:val="00ED54A8"/>
    <w:rsid w:val="00ED54CA"/>
    <w:rsid w:val="00ED574C"/>
    <w:rsid w:val="00ED5879"/>
    <w:rsid w:val="00ED5984"/>
    <w:rsid w:val="00ED5A38"/>
    <w:rsid w:val="00ED5AE9"/>
    <w:rsid w:val="00ED5BB8"/>
    <w:rsid w:val="00ED5BEB"/>
    <w:rsid w:val="00ED5D23"/>
    <w:rsid w:val="00ED5F66"/>
    <w:rsid w:val="00ED60B0"/>
    <w:rsid w:val="00ED6156"/>
    <w:rsid w:val="00ED615F"/>
    <w:rsid w:val="00ED63A5"/>
    <w:rsid w:val="00ED648D"/>
    <w:rsid w:val="00ED6587"/>
    <w:rsid w:val="00ED65FA"/>
    <w:rsid w:val="00ED660A"/>
    <w:rsid w:val="00ED66BA"/>
    <w:rsid w:val="00ED6958"/>
    <w:rsid w:val="00ED6BCF"/>
    <w:rsid w:val="00ED6E79"/>
    <w:rsid w:val="00ED6FCE"/>
    <w:rsid w:val="00ED704A"/>
    <w:rsid w:val="00ED705A"/>
    <w:rsid w:val="00ED7182"/>
    <w:rsid w:val="00ED71A7"/>
    <w:rsid w:val="00ED720E"/>
    <w:rsid w:val="00ED7327"/>
    <w:rsid w:val="00ED7342"/>
    <w:rsid w:val="00ED73F1"/>
    <w:rsid w:val="00ED740D"/>
    <w:rsid w:val="00ED7427"/>
    <w:rsid w:val="00ED7468"/>
    <w:rsid w:val="00ED76E1"/>
    <w:rsid w:val="00ED77A8"/>
    <w:rsid w:val="00ED78D2"/>
    <w:rsid w:val="00ED78EA"/>
    <w:rsid w:val="00ED796D"/>
    <w:rsid w:val="00ED79CE"/>
    <w:rsid w:val="00ED7BC0"/>
    <w:rsid w:val="00ED7BDD"/>
    <w:rsid w:val="00ED7D49"/>
    <w:rsid w:val="00ED7ECC"/>
    <w:rsid w:val="00EE0119"/>
    <w:rsid w:val="00EE011D"/>
    <w:rsid w:val="00EE01F3"/>
    <w:rsid w:val="00EE0364"/>
    <w:rsid w:val="00EE0763"/>
    <w:rsid w:val="00EE0A74"/>
    <w:rsid w:val="00EE0A9F"/>
    <w:rsid w:val="00EE0D68"/>
    <w:rsid w:val="00EE0E9A"/>
    <w:rsid w:val="00EE0FA7"/>
    <w:rsid w:val="00EE1073"/>
    <w:rsid w:val="00EE118D"/>
    <w:rsid w:val="00EE134C"/>
    <w:rsid w:val="00EE1503"/>
    <w:rsid w:val="00EE1957"/>
    <w:rsid w:val="00EE1A8C"/>
    <w:rsid w:val="00EE1DD4"/>
    <w:rsid w:val="00EE1E15"/>
    <w:rsid w:val="00EE1E48"/>
    <w:rsid w:val="00EE1EB7"/>
    <w:rsid w:val="00EE1F51"/>
    <w:rsid w:val="00EE1FAE"/>
    <w:rsid w:val="00EE21E6"/>
    <w:rsid w:val="00EE22A3"/>
    <w:rsid w:val="00EE249E"/>
    <w:rsid w:val="00EE2870"/>
    <w:rsid w:val="00EE28EB"/>
    <w:rsid w:val="00EE2A34"/>
    <w:rsid w:val="00EE2A5E"/>
    <w:rsid w:val="00EE2DD4"/>
    <w:rsid w:val="00EE2E12"/>
    <w:rsid w:val="00EE2F7B"/>
    <w:rsid w:val="00EE30A5"/>
    <w:rsid w:val="00EE30CE"/>
    <w:rsid w:val="00EE30ED"/>
    <w:rsid w:val="00EE3113"/>
    <w:rsid w:val="00EE3304"/>
    <w:rsid w:val="00EE335B"/>
    <w:rsid w:val="00EE3754"/>
    <w:rsid w:val="00EE3A1B"/>
    <w:rsid w:val="00EE3A45"/>
    <w:rsid w:val="00EE3A87"/>
    <w:rsid w:val="00EE3ACB"/>
    <w:rsid w:val="00EE3EB3"/>
    <w:rsid w:val="00EE3ED7"/>
    <w:rsid w:val="00EE3F96"/>
    <w:rsid w:val="00EE401F"/>
    <w:rsid w:val="00EE407A"/>
    <w:rsid w:val="00EE4131"/>
    <w:rsid w:val="00EE4172"/>
    <w:rsid w:val="00EE41E2"/>
    <w:rsid w:val="00EE4358"/>
    <w:rsid w:val="00EE4422"/>
    <w:rsid w:val="00EE46B9"/>
    <w:rsid w:val="00EE47BC"/>
    <w:rsid w:val="00EE487B"/>
    <w:rsid w:val="00EE48C0"/>
    <w:rsid w:val="00EE4A5E"/>
    <w:rsid w:val="00EE4B18"/>
    <w:rsid w:val="00EE4DD9"/>
    <w:rsid w:val="00EE5503"/>
    <w:rsid w:val="00EE5505"/>
    <w:rsid w:val="00EE551D"/>
    <w:rsid w:val="00EE5581"/>
    <w:rsid w:val="00EE5595"/>
    <w:rsid w:val="00EE5761"/>
    <w:rsid w:val="00EE58CB"/>
    <w:rsid w:val="00EE5A3E"/>
    <w:rsid w:val="00EE5A58"/>
    <w:rsid w:val="00EE5D5B"/>
    <w:rsid w:val="00EE5E37"/>
    <w:rsid w:val="00EE5F3D"/>
    <w:rsid w:val="00EE6300"/>
    <w:rsid w:val="00EE637E"/>
    <w:rsid w:val="00EE63AA"/>
    <w:rsid w:val="00EE64FE"/>
    <w:rsid w:val="00EE651A"/>
    <w:rsid w:val="00EE6695"/>
    <w:rsid w:val="00EE672C"/>
    <w:rsid w:val="00EE68A0"/>
    <w:rsid w:val="00EE6992"/>
    <w:rsid w:val="00EE6AD4"/>
    <w:rsid w:val="00EE6B2C"/>
    <w:rsid w:val="00EE6BB9"/>
    <w:rsid w:val="00EE6C96"/>
    <w:rsid w:val="00EE6CCA"/>
    <w:rsid w:val="00EE6DD6"/>
    <w:rsid w:val="00EE6E39"/>
    <w:rsid w:val="00EE7352"/>
    <w:rsid w:val="00EE7391"/>
    <w:rsid w:val="00EE73A5"/>
    <w:rsid w:val="00EE73B1"/>
    <w:rsid w:val="00EE73FD"/>
    <w:rsid w:val="00EE747F"/>
    <w:rsid w:val="00EE7533"/>
    <w:rsid w:val="00EE76DC"/>
    <w:rsid w:val="00EE76EB"/>
    <w:rsid w:val="00EE77D7"/>
    <w:rsid w:val="00EE78C8"/>
    <w:rsid w:val="00EE7920"/>
    <w:rsid w:val="00EE796A"/>
    <w:rsid w:val="00EE79B0"/>
    <w:rsid w:val="00EE79BB"/>
    <w:rsid w:val="00EE7A0C"/>
    <w:rsid w:val="00EE7A1E"/>
    <w:rsid w:val="00EE7ABC"/>
    <w:rsid w:val="00EE7B7A"/>
    <w:rsid w:val="00EE7D8A"/>
    <w:rsid w:val="00EE7EF5"/>
    <w:rsid w:val="00EE7FBB"/>
    <w:rsid w:val="00EF008E"/>
    <w:rsid w:val="00EF00DA"/>
    <w:rsid w:val="00EF0103"/>
    <w:rsid w:val="00EF01AE"/>
    <w:rsid w:val="00EF0368"/>
    <w:rsid w:val="00EF0462"/>
    <w:rsid w:val="00EF0530"/>
    <w:rsid w:val="00EF0556"/>
    <w:rsid w:val="00EF0578"/>
    <w:rsid w:val="00EF0666"/>
    <w:rsid w:val="00EF0682"/>
    <w:rsid w:val="00EF06F2"/>
    <w:rsid w:val="00EF093E"/>
    <w:rsid w:val="00EF095B"/>
    <w:rsid w:val="00EF0A45"/>
    <w:rsid w:val="00EF0A88"/>
    <w:rsid w:val="00EF0B11"/>
    <w:rsid w:val="00EF0B18"/>
    <w:rsid w:val="00EF0D69"/>
    <w:rsid w:val="00EF0D7C"/>
    <w:rsid w:val="00EF0DAE"/>
    <w:rsid w:val="00EF0E4B"/>
    <w:rsid w:val="00EF0E7F"/>
    <w:rsid w:val="00EF0F92"/>
    <w:rsid w:val="00EF1004"/>
    <w:rsid w:val="00EF1008"/>
    <w:rsid w:val="00EF10A1"/>
    <w:rsid w:val="00EF10D7"/>
    <w:rsid w:val="00EF123B"/>
    <w:rsid w:val="00EF136B"/>
    <w:rsid w:val="00EF1447"/>
    <w:rsid w:val="00EF1763"/>
    <w:rsid w:val="00EF17AB"/>
    <w:rsid w:val="00EF17C9"/>
    <w:rsid w:val="00EF1A30"/>
    <w:rsid w:val="00EF1AD2"/>
    <w:rsid w:val="00EF1AD5"/>
    <w:rsid w:val="00EF1CB8"/>
    <w:rsid w:val="00EF1D15"/>
    <w:rsid w:val="00EF1E3B"/>
    <w:rsid w:val="00EF1FAD"/>
    <w:rsid w:val="00EF20FD"/>
    <w:rsid w:val="00EF22EE"/>
    <w:rsid w:val="00EF23B8"/>
    <w:rsid w:val="00EF2424"/>
    <w:rsid w:val="00EF2429"/>
    <w:rsid w:val="00EF257A"/>
    <w:rsid w:val="00EF274D"/>
    <w:rsid w:val="00EF27B8"/>
    <w:rsid w:val="00EF2873"/>
    <w:rsid w:val="00EF28F6"/>
    <w:rsid w:val="00EF2A24"/>
    <w:rsid w:val="00EF2A7E"/>
    <w:rsid w:val="00EF2BEE"/>
    <w:rsid w:val="00EF2CEF"/>
    <w:rsid w:val="00EF2F64"/>
    <w:rsid w:val="00EF34B7"/>
    <w:rsid w:val="00EF3661"/>
    <w:rsid w:val="00EF3815"/>
    <w:rsid w:val="00EF3901"/>
    <w:rsid w:val="00EF3962"/>
    <w:rsid w:val="00EF39CD"/>
    <w:rsid w:val="00EF3A92"/>
    <w:rsid w:val="00EF3BA3"/>
    <w:rsid w:val="00EF3BD5"/>
    <w:rsid w:val="00EF3C24"/>
    <w:rsid w:val="00EF3D2E"/>
    <w:rsid w:val="00EF3EB8"/>
    <w:rsid w:val="00EF4049"/>
    <w:rsid w:val="00EF4198"/>
    <w:rsid w:val="00EF41C3"/>
    <w:rsid w:val="00EF4396"/>
    <w:rsid w:val="00EF440B"/>
    <w:rsid w:val="00EF4591"/>
    <w:rsid w:val="00EF4598"/>
    <w:rsid w:val="00EF48D0"/>
    <w:rsid w:val="00EF4A72"/>
    <w:rsid w:val="00EF4B77"/>
    <w:rsid w:val="00EF4BC6"/>
    <w:rsid w:val="00EF4CC4"/>
    <w:rsid w:val="00EF4DF8"/>
    <w:rsid w:val="00EF4F91"/>
    <w:rsid w:val="00EF4FF2"/>
    <w:rsid w:val="00EF5008"/>
    <w:rsid w:val="00EF50A8"/>
    <w:rsid w:val="00EF5116"/>
    <w:rsid w:val="00EF53AA"/>
    <w:rsid w:val="00EF53F0"/>
    <w:rsid w:val="00EF5587"/>
    <w:rsid w:val="00EF55B2"/>
    <w:rsid w:val="00EF590E"/>
    <w:rsid w:val="00EF591E"/>
    <w:rsid w:val="00EF59D4"/>
    <w:rsid w:val="00EF5C81"/>
    <w:rsid w:val="00EF5CEA"/>
    <w:rsid w:val="00EF5D10"/>
    <w:rsid w:val="00EF6035"/>
    <w:rsid w:val="00EF614D"/>
    <w:rsid w:val="00EF6177"/>
    <w:rsid w:val="00EF6657"/>
    <w:rsid w:val="00EF6700"/>
    <w:rsid w:val="00EF68FD"/>
    <w:rsid w:val="00EF6942"/>
    <w:rsid w:val="00EF6A41"/>
    <w:rsid w:val="00EF6EB1"/>
    <w:rsid w:val="00EF6ECF"/>
    <w:rsid w:val="00EF6F19"/>
    <w:rsid w:val="00EF6F9C"/>
    <w:rsid w:val="00EF6FA4"/>
    <w:rsid w:val="00EF7287"/>
    <w:rsid w:val="00EF72A2"/>
    <w:rsid w:val="00EF72F7"/>
    <w:rsid w:val="00EF7306"/>
    <w:rsid w:val="00EF7347"/>
    <w:rsid w:val="00EF736C"/>
    <w:rsid w:val="00EF73C6"/>
    <w:rsid w:val="00EF73C7"/>
    <w:rsid w:val="00EF74A0"/>
    <w:rsid w:val="00EF7816"/>
    <w:rsid w:val="00EF788F"/>
    <w:rsid w:val="00EF7A06"/>
    <w:rsid w:val="00EF7B7F"/>
    <w:rsid w:val="00EF7C3F"/>
    <w:rsid w:val="00EF7C86"/>
    <w:rsid w:val="00EF7D75"/>
    <w:rsid w:val="00EF7EBA"/>
    <w:rsid w:val="00EF7F21"/>
    <w:rsid w:val="00EF7FA9"/>
    <w:rsid w:val="00F0006E"/>
    <w:rsid w:val="00F0012D"/>
    <w:rsid w:val="00F0028D"/>
    <w:rsid w:val="00F002E4"/>
    <w:rsid w:val="00F00403"/>
    <w:rsid w:val="00F00416"/>
    <w:rsid w:val="00F00587"/>
    <w:rsid w:val="00F006C0"/>
    <w:rsid w:val="00F006E0"/>
    <w:rsid w:val="00F0087C"/>
    <w:rsid w:val="00F00AFF"/>
    <w:rsid w:val="00F00B70"/>
    <w:rsid w:val="00F00C9B"/>
    <w:rsid w:val="00F00D70"/>
    <w:rsid w:val="00F00D9E"/>
    <w:rsid w:val="00F00DF4"/>
    <w:rsid w:val="00F00FAF"/>
    <w:rsid w:val="00F01013"/>
    <w:rsid w:val="00F010A3"/>
    <w:rsid w:val="00F01170"/>
    <w:rsid w:val="00F01272"/>
    <w:rsid w:val="00F01387"/>
    <w:rsid w:val="00F01456"/>
    <w:rsid w:val="00F01461"/>
    <w:rsid w:val="00F01484"/>
    <w:rsid w:val="00F01632"/>
    <w:rsid w:val="00F016FC"/>
    <w:rsid w:val="00F017B6"/>
    <w:rsid w:val="00F018A4"/>
    <w:rsid w:val="00F019F3"/>
    <w:rsid w:val="00F01A38"/>
    <w:rsid w:val="00F01BBF"/>
    <w:rsid w:val="00F01D11"/>
    <w:rsid w:val="00F01EC7"/>
    <w:rsid w:val="00F01F17"/>
    <w:rsid w:val="00F02019"/>
    <w:rsid w:val="00F020DD"/>
    <w:rsid w:val="00F0212A"/>
    <w:rsid w:val="00F0213B"/>
    <w:rsid w:val="00F02159"/>
    <w:rsid w:val="00F022A0"/>
    <w:rsid w:val="00F0240B"/>
    <w:rsid w:val="00F02511"/>
    <w:rsid w:val="00F02576"/>
    <w:rsid w:val="00F02735"/>
    <w:rsid w:val="00F027A8"/>
    <w:rsid w:val="00F027CF"/>
    <w:rsid w:val="00F027D0"/>
    <w:rsid w:val="00F0293B"/>
    <w:rsid w:val="00F02B05"/>
    <w:rsid w:val="00F02C7B"/>
    <w:rsid w:val="00F02F83"/>
    <w:rsid w:val="00F02FF7"/>
    <w:rsid w:val="00F03103"/>
    <w:rsid w:val="00F03128"/>
    <w:rsid w:val="00F0313B"/>
    <w:rsid w:val="00F0317A"/>
    <w:rsid w:val="00F0335D"/>
    <w:rsid w:val="00F033CD"/>
    <w:rsid w:val="00F03401"/>
    <w:rsid w:val="00F035EF"/>
    <w:rsid w:val="00F035F0"/>
    <w:rsid w:val="00F036F2"/>
    <w:rsid w:val="00F0374E"/>
    <w:rsid w:val="00F03A81"/>
    <w:rsid w:val="00F03A9E"/>
    <w:rsid w:val="00F03AD2"/>
    <w:rsid w:val="00F03BA6"/>
    <w:rsid w:val="00F03C1C"/>
    <w:rsid w:val="00F03D2C"/>
    <w:rsid w:val="00F03D2D"/>
    <w:rsid w:val="00F03E23"/>
    <w:rsid w:val="00F03FCE"/>
    <w:rsid w:val="00F04057"/>
    <w:rsid w:val="00F0426D"/>
    <w:rsid w:val="00F04276"/>
    <w:rsid w:val="00F0427D"/>
    <w:rsid w:val="00F0429E"/>
    <w:rsid w:val="00F0452F"/>
    <w:rsid w:val="00F04894"/>
    <w:rsid w:val="00F04ABD"/>
    <w:rsid w:val="00F04DEC"/>
    <w:rsid w:val="00F04E3B"/>
    <w:rsid w:val="00F04EAC"/>
    <w:rsid w:val="00F04F98"/>
    <w:rsid w:val="00F04FD6"/>
    <w:rsid w:val="00F05169"/>
    <w:rsid w:val="00F0569B"/>
    <w:rsid w:val="00F0576B"/>
    <w:rsid w:val="00F05773"/>
    <w:rsid w:val="00F05944"/>
    <w:rsid w:val="00F05AC0"/>
    <w:rsid w:val="00F05B6C"/>
    <w:rsid w:val="00F05BF3"/>
    <w:rsid w:val="00F05C42"/>
    <w:rsid w:val="00F05CDA"/>
    <w:rsid w:val="00F05E7E"/>
    <w:rsid w:val="00F05ED9"/>
    <w:rsid w:val="00F05F02"/>
    <w:rsid w:val="00F06096"/>
    <w:rsid w:val="00F061CA"/>
    <w:rsid w:val="00F062CE"/>
    <w:rsid w:val="00F0646F"/>
    <w:rsid w:val="00F06572"/>
    <w:rsid w:val="00F067B1"/>
    <w:rsid w:val="00F0685F"/>
    <w:rsid w:val="00F06AAF"/>
    <w:rsid w:val="00F06DCE"/>
    <w:rsid w:val="00F06E7E"/>
    <w:rsid w:val="00F072E9"/>
    <w:rsid w:val="00F07373"/>
    <w:rsid w:val="00F074C5"/>
    <w:rsid w:val="00F0751B"/>
    <w:rsid w:val="00F0777C"/>
    <w:rsid w:val="00F07AB9"/>
    <w:rsid w:val="00F07B9E"/>
    <w:rsid w:val="00F07BE8"/>
    <w:rsid w:val="00F07D53"/>
    <w:rsid w:val="00F07E99"/>
    <w:rsid w:val="00F07EA8"/>
    <w:rsid w:val="00F07F17"/>
    <w:rsid w:val="00F07F6C"/>
    <w:rsid w:val="00F104D1"/>
    <w:rsid w:val="00F10524"/>
    <w:rsid w:val="00F1052E"/>
    <w:rsid w:val="00F105C9"/>
    <w:rsid w:val="00F107A7"/>
    <w:rsid w:val="00F1091F"/>
    <w:rsid w:val="00F10A4A"/>
    <w:rsid w:val="00F10B87"/>
    <w:rsid w:val="00F10BC8"/>
    <w:rsid w:val="00F10F16"/>
    <w:rsid w:val="00F1102C"/>
    <w:rsid w:val="00F111B2"/>
    <w:rsid w:val="00F111C9"/>
    <w:rsid w:val="00F11394"/>
    <w:rsid w:val="00F11412"/>
    <w:rsid w:val="00F115A0"/>
    <w:rsid w:val="00F115AD"/>
    <w:rsid w:val="00F115FF"/>
    <w:rsid w:val="00F11785"/>
    <w:rsid w:val="00F11827"/>
    <w:rsid w:val="00F11BD9"/>
    <w:rsid w:val="00F11BEE"/>
    <w:rsid w:val="00F11D1E"/>
    <w:rsid w:val="00F11D7C"/>
    <w:rsid w:val="00F11D94"/>
    <w:rsid w:val="00F11ECF"/>
    <w:rsid w:val="00F12164"/>
    <w:rsid w:val="00F12225"/>
    <w:rsid w:val="00F1227E"/>
    <w:rsid w:val="00F12480"/>
    <w:rsid w:val="00F12496"/>
    <w:rsid w:val="00F12547"/>
    <w:rsid w:val="00F1274F"/>
    <w:rsid w:val="00F1275E"/>
    <w:rsid w:val="00F12883"/>
    <w:rsid w:val="00F12B5A"/>
    <w:rsid w:val="00F12B73"/>
    <w:rsid w:val="00F12C9D"/>
    <w:rsid w:val="00F12CEE"/>
    <w:rsid w:val="00F12CEF"/>
    <w:rsid w:val="00F12DEB"/>
    <w:rsid w:val="00F12FEB"/>
    <w:rsid w:val="00F13016"/>
    <w:rsid w:val="00F13067"/>
    <w:rsid w:val="00F1306F"/>
    <w:rsid w:val="00F130B8"/>
    <w:rsid w:val="00F13441"/>
    <w:rsid w:val="00F13595"/>
    <w:rsid w:val="00F1380A"/>
    <w:rsid w:val="00F138C6"/>
    <w:rsid w:val="00F13914"/>
    <w:rsid w:val="00F1396B"/>
    <w:rsid w:val="00F1398A"/>
    <w:rsid w:val="00F1398C"/>
    <w:rsid w:val="00F139E5"/>
    <w:rsid w:val="00F13B28"/>
    <w:rsid w:val="00F13B4A"/>
    <w:rsid w:val="00F13BF4"/>
    <w:rsid w:val="00F140BF"/>
    <w:rsid w:val="00F1420F"/>
    <w:rsid w:val="00F1425A"/>
    <w:rsid w:val="00F1425C"/>
    <w:rsid w:val="00F14267"/>
    <w:rsid w:val="00F14277"/>
    <w:rsid w:val="00F142D8"/>
    <w:rsid w:val="00F143DA"/>
    <w:rsid w:val="00F14408"/>
    <w:rsid w:val="00F14569"/>
    <w:rsid w:val="00F149D2"/>
    <w:rsid w:val="00F149EB"/>
    <w:rsid w:val="00F14AC9"/>
    <w:rsid w:val="00F14AE0"/>
    <w:rsid w:val="00F14C55"/>
    <w:rsid w:val="00F14DEF"/>
    <w:rsid w:val="00F14E2E"/>
    <w:rsid w:val="00F14F41"/>
    <w:rsid w:val="00F14FFD"/>
    <w:rsid w:val="00F1523E"/>
    <w:rsid w:val="00F15281"/>
    <w:rsid w:val="00F15553"/>
    <w:rsid w:val="00F1570F"/>
    <w:rsid w:val="00F15790"/>
    <w:rsid w:val="00F1595A"/>
    <w:rsid w:val="00F15B4D"/>
    <w:rsid w:val="00F15CB5"/>
    <w:rsid w:val="00F15DE9"/>
    <w:rsid w:val="00F15F4E"/>
    <w:rsid w:val="00F15FDF"/>
    <w:rsid w:val="00F15FE6"/>
    <w:rsid w:val="00F1603A"/>
    <w:rsid w:val="00F1608B"/>
    <w:rsid w:val="00F161D5"/>
    <w:rsid w:val="00F162C0"/>
    <w:rsid w:val="00F16320"/>
    <w:rsid w:val="00F16325"/>
    <w:rsid w:val="00F16405"/>
    <w:rsid w:val="00F16581"/>
    <w:rsid w:val="00F16666"/>
    <w:rsid w:val="00F16676"/>
    <w:rsid w:val="00F16680"/>
    <w:rsid w:val="00F1681C"/>
    <w:rsid w:val="00F168C5"/>
    <w:rsid w:val="00F16A37"/>
    <w:rsid w:val="00F16A38"/>
    <w:rsid w:val="00F16AF3"/>
    <w:rsid w:val="00F16AFF"/>
    <w:rsid w:val="00F16B1A"/>
    <w:rsid w:val="00F16C0E"/>
    <w:rsid w:val="00F16DF5"/>
    <w:rsid w:val="00F1704A"/>
    <w:rsid w:val="00F17218"/>
    <w:rsid w:val="00F17299"/>
    <w:rsid w:val="00F172A0"/>
    <w:rsid w:val="00F172A9"/>
    <w:rsid w:val="00F1731E"/>
    <w:rsid w:val="00F173D2"/>
    <w:rsid w:val="00F1743F"/>
    <w:rsid w:val="00F174DE"/>
    <w:rsid w:val="00F17526"/>
    <w:rsid w:val="00F176FB"/>
    <w:rsid w:val="00F1782F"/>
    <w:rsid w:val="00F179AE"/>
    <w:rsid w:val="00F179FE"/>
    <w:rsid w:val="00F17A2D"/>
    <w:rsid w:val="00F17A6B"/>
    <w:rsid w:val="00F17EB3"/>
    <w:rsid w:val="00F17FBA"/>
    <w:rsid w:val="00F17FF9"/>
    <w:rsid w:val="00F200A3"/>
    <w:rsid w:val="00F200C5"/>
    <w:rsid w:val="00F20223"/>
    <w:rsid w:val="00F2061C"/>
    <w:rsid w:val="00F20628"/>
    <w:rsid w:val="00F206E9"/>
    <w:rsid w:val="00F206FC"/>
    <w:rsid w:val="00F2078C"/>
    <w:rsid w:val="00F2085D"/>
    <w:rsid w:val="00F20918"/>
    <w:rsid w:val="00F209FB"/>
    <w:rsid w:val="00F20ABF"/>
    <w:rsid w:val="00F20CF7"/>
    <w:rsid w:val="00F20D6D"/>
    <w:rsid w:val="00F20F33"/>
    <w:rsid w:val="00F20FDD"/>
    <w:rsid w:val="00F2148D"/>
    <w:rsid w:val="00F214B0"/>
    <w:rsid w:val="00F215BB"/>
    <w:rsid w:val="00F215C2"/>
    <w:rsid w:val="00F216D1"/>
    <w:rsid w:val="00F21765"/>
    <w:rsid w:val="00F217F5"/>
    <w:rsid w:val="00F219C0"/>
    <w:rsid w:val="00F21B82"/>
    <w:rsid w:val="00F21BCE"/>
    <w:rsid w:val="00F21DFB"/>
    <w:rsid w:val="00F21E35"/>
    <w:rsid w:val="00F22013"/>
    <w:rsid w:val="00F22022"/>
    <w:rsid w:val="00F22089"/>
    <w:rsid w:val="00F22101"/>
    <w:rsid w:val="00F22173"/>
    <w:rsid w:val="00F2217B"/>
    <w:rsid w:val="00F22236"/>
    <w:rsid w:val="00F223A2"/>
    <w:rsid w:val="00F223FE"/>
    <w:rsid w:val="00F224E7"/>
    <w:rsid w:val="00F22526"/>
    <w:rsid w:val="00F22530"/>
    <w:rsid w:val="00F22781"/>
    <w:rsid w:val="00F22ABD"/>
    <w:rsid w:val="00F22CE7"/>
    <w:rsid w:val="00F22CF7"/>
    <w:rsid w:val="00F22FD7"/>
    <w:rsid w:val="00F22FDF"/>
    <w:rsid w:val="00F23131"/>
    <w:rsid w:val="00F234E5"/>
    <w:rsid w:val="00F23526"/>
    <w:rsid w:val="00F23664"/>
    <w:rsid w:val="00F2372D"/>
    <w:rsid w:val="00F2380C"/>
    <w:rsid w:val="00F238AC"/>
    <w:rsid w:val="00F23BDF"/>
    <w:rsid w:val="00F23DF0"/>
    <w:rsid w:val="00F23F54"/>
    <w:rsid w:val="00F2409D"/>
    <w:rsid w:val="00F241E5"/>
    <w:rsid w:val="00F24275"/>
    <w:rsid w:val="00F242AD"/>
    <w:rsid w:val="00F242F6"/>
    <w:rsid w:val="00F24834"/>
    <w:rsid w:val="00F2485C"/>
    <w:rsid w:val="00F248CD"/>
    <w:rsid w:val="00F24948"/>
    <w:rsid w:val="00F24952"/>
    <w:rsid w:val="00F249A3"/>
    <w:rsid w:val="00F24AF2"/>
    <w:rsid w:val="00F24CDD"/>
    <w:rsid w:val="00F24DAF"/>
    <w:rsid w:val="00F24E3E"/>
    <w:rsid w:val="00F250DE"/>
    <w:rsid w:val="00F250EC"/>
    <w:rsid w:val="00F251A0"/>
    <w:rsid w:val="00F252B9"/>
    <w:rsid w:val="00F2530D"/>
    <w:rsid w:val="00F25431"/>
    <w:rsid w:val="00F25653"/>
    <w:rsid w:val="00F2577A"/>
    <w:rsid w:val="00F257E2"/>
    <w:rsid w:val="00F25836"/>
    <w:rsid w:val="00F258A0"/>
    <w:rsid w:val="00F25A73"/>
    <w:rsid w:val="00F25A9C"/>
    <w:rsid w:val="00F25B19"/>
    <w:rsid w:val="00F25CD0"/>
    <w:rsid w:val="00F25E7D"/>
    <w:rsid w:val="00F25F82"/>
    <w:rsid w:val="00F25F9F"/>
    <w:rsid w:val="00F261C5"/>
    <w:rsid w:val="00F263C3"/>
    <w:rsid w:val="00F263EC"/>
    <w:rsid w:val="00F2644D"/>
    <w:rsid w:val="00F265A3"/>
    <w:rsid w:val="00F2673A"/>
    <w:rsid w:val="00F2678D"/>
    <w:rsid w:val="00F2679B"/>
    <w:rsid w:val="00F267D4"/>
    <w:rsid w:val="00F26B1E"/>
    <w:rsid w:val="00F26C32"/>
    <w:rsid w:val="00F26C97"/>
    <w:rsid w:val="00F26D0A"/>
    <w:rsid w:val="00F26D34"/>
    <w:rsid w:val="00F270A3"/>
    <w:rsid w:val="00F271D8"/>
    <w:rsid w:val="00F27223"/>
    <w:rsid w:val="00F272E8"/>
    <w:rsid w:val="00F27914"/>
    <w:rsid w:val="00F27C33"/>
    <w:rsid w:val="00F27EB7"/>
    <w:rsid w:val="00F27F04"/>
    <w:rsid w:val="00F27F0E"/>
    <w:rsid w:val="00F27F2C"/>
    <w:rsid w:val="00F27F41"/>
    <w:rsid w:val="00F3009B"/>
    <w:rsid w:val="00F30160"/>
    <w:rsid w:val="00F301FB"/>
    <w:rsid w:val="00F30339"/>
    <w:rsid w:val="00F30409"/>
    <w:rsid w:val="00F30506"/>
    <w:rsid w:val="00F30529"/>
    <w:rsid w:val="00F306A4"/>
    <w:rsid w:val="00F30710"/>
    <w:rsid w:val="00F30745"/>
    <w:rsid w:val="00F30C5C"/>
    <w:rsid w:val="00F30C73"/>
    <w:rsid w:val="00F30D19"/>
    <w:rsid w:val="00F30D1F"/>
    <w:rsid w:val="00F30EBB"/>
    <w:rsid w:val="00F30F42"/>
    <w:rsid w:val="00F3128D"/>
    <w:rsid w:val="00F313A6"/>
    <w:rsid w:val="00F3155F"/>
    <w:rsid w:val="00F315B9"/>
    <w:rsid w:val="00F315BF"/>
    <w:rsid w:val="00F31656"/>
    <w:rsid w:val="00F31936"/>
    <w:rsid w:val="00F319DB"/>
    <w:rsid w:val="00F31D4F"/>
    <w:rsid w:val="00F31D50"/>
    <w:rsid w:val="00F31E96"/>
    <w:rsid w:val="00F31FA7"/>
    <w:rsid w:val="00F32177"/>
    <w:rsid w:val="00F32277"/>
    <w:rsid w:val="00F3241A"/>
    <w:rsid w:val="00F32432"/>
    <w:rsid w:val="00F32494"/>
    <w:rsid w:val="00F324F7"/>
    <w:rsid w:val="00F325F6"/>
    <w:rsid w:val="00F326D6"/>
    <w:rsid w:val="00F32783"/>
    <w:rsid w:val="00F327D7"/>
    <w:rsid w:val="00F327F7"/>
    <w:rsid w:val="00F3292F"/>
    <w:rsid w:val="00F32A22"/>
    <w:rsid w:val="00F32B90"/>
    <w:rsid w:val="00F32BD4"/>
    <w:rsid w:val="00F32D07"/>
    <w:rsid w:val="00F32E59"/>
    <w:rsid w:val="00F32ED9"/>
    <w:rsid w:val="00F330CD"/>
    <w:rsid w:val="00F330FA"/>
    <w:rsid w:val="00F33139"/>
    <w:rsid w:val="00F33497"/>
    <w:rsid w:val="00F336FB"/>
    <w:rsid w:val="00F3374E"/>
    <w:rsid w:val="00F337D4"/>
    <w:rsid w:val="00F3390C"/>
    <w:rsid w:val="00F33939"/>
    <w:rsid w:val="00F33959"/>
    <w:rsid w:val="00F33B86"/>
    <w:rsid w:val="00F33BF5"/>
    <w:rsid w:val="00F33D25"/>
    <w:rsid w:val="00F33D28"/>
    <w:rsid w:val="00F33D95"/>
    <w:rsid w:val="00F33ED1"/>
    <w:rsid w:val="00F33F67"/>
    <w:rsid w:val="00F3409E"/>
    <w:rsid w:val="00F3421A"/>
    <w:rsid w:val="00F343E9"/>
    <w:rsid w:val="00F3442E"/>
    <w:rsid w:val="00F34443"/>
    <w:rsid w:val="00F34487"/>
    <w:rsid w:val="00F3449F"/>
    <w:rsid w:val="00F344D4"/>
    <w:rsid w:val="00F3452A"/>
    <w:rsid w:val="00F345E4"/>
    <w:rsid w:val="00F34642"/>
    <w:rsid w:val="00F34922"/>
    <w:rsid w:val="00F34A2C"/>
    <w:rsid w:val="00F34B5F"/>
    <w:rsid w:val="00F34B62"/>
    <w:rsid w:val="00F34BBD"/>
    <w:rsid w:val="00F34E93"/>
    <w:rsid w:val="00F35076"/>
    <w:rsid w:val="00F35118"/>
    <w:rsid w:val="00F351B9"/>
    <w:rsid w:val="00F351C8"/>
    <w:rsid w:val="00F35416"/>
    <w:rsid w:val="00F3553D"/>
    <w:rsid w:val="00F3554F"/>
    <w:rsid w:val="00F3556B"/>
    <w:rsid w:val="00F357ED"/>
    <w:rsid w:val="00F35827"/>
    <w:rsid w:val="00F35853"/>
    <w:rsid w:val="00F358AD"/>
    <w:rsid w:val="00F358C9"/>
    <w:rsid w:val="00F35CC2"/>
    <w:rsid w:val="00F35DD3"/>
    <w:rsid w:val="00F35EC0"/>
    <w:rsid w:val="00F360D3"/>
    <w:rsid w:val="00F36274"/>
    <w:rsid w:val="00F3627C"/>
    <w:rsid w:val="00F362FC"/>
    <w:rsid w:val="00F364F8"/>
    <w:rsid w:val="00F3655C"/>
    <w:rsid w:val="00F3672F"/>
    <w:rsid w:val="00F3677D"/>
    <w:rsid w:val="00F36781"/>
    <w:rsid w:val="00F367A4"/>
    <w:rsid w:val="00F368A0"/>
    <w:rsid w:val="00F36DBE"/>
    <w:rsid w:val="00F36DE4"/>
    <w:rsid w:val="00F36ECB"/>
    <w:rsid w:val="00F36F82"/>
    <w:rsid w:val="00F371E5"/>
    <w:rsid w:val="00F37352"/>
    <w:rsid w:val="00F3738D"/>
    <w:rsid w:val="00F373DD"/>
    <w:rsid w:val="00F375AA"/>
    <w:rsid w:val="00F3773B"/>
    <w:rsid w:val="00F37782"/>
    <w:rsid w:val="00F377A4"/>
    <w:rsid w:val="00F37942"/>
    <w:rsid w:val="00F37A58"/>
    <w:rsid w:val="00F37B33"/>
    <w:rsid w:val="00F37DE6"/>
    <w:rsid w:val="00F37ED0"/>
    <w:rsid w:val="00F40054"/>
    <w:rsid w:val="00F40134"/>
    <w:rsid w:val="00F4016E"/>
    <w:rsid w:val="00F4021C"/>
    <w:rsid w:val="00F403BE"/>
    <w:rsid w:val="00F403FC"/>
    <w:rsid w:val="00F404B5"/>
    <w:rsid w:val="00F4053B"/>
    <w:rsid w:val="00F405DA"/>
    <w:rsid w:val="00F40761"/>
    <w:rsid w:val="00F4089D"/>
    <w:rsid w:val="00F409AA"/>
    <w:rsid w:val="00F409ED"/>
    <w:rsid w:val="00F40B0E"/>
    <w:rsid w:val="00F40B1E"/>
    <w:rsid w:val="00F40C53"/>
    <w:rsid w:val="00F40D67"/>
    <w:rsid w:val="00F40E35"/>
    <w:rsid w:val="00F40F26"/>
    <w:rsid w:val="00F40FAF"/>
    <w:rsid w:val="00F410CA"/>
    <w:rsid w:val="00F410FB"/>
    <w:rsid w:val="00F4121E"/>
    <w:rsid w:val="00F41664"/>
    <w:rsid w:val="00F4168A"/>
    <w:rsid w:val="00F416B0"/>
    <w:rsid w:val="00F41770"/>
    <w:rsid w:val="00F41914"/>
    <w:rsid w:val="00F41BDA"/>
    <w:rsid w:val="00F41CC8"/>
    <w:rsid w:val="00F41E8E"/>
    <w:rsid w:val="00F41EAA"/>
    <w:rsid w:val="00F41F2F"/>
    <w:rsid w:val="00F41FED"/>
    <w:rsid w:val="00F41FF2"/>
    <w:rsid w:val="00F420AD"/>
    <w:rsid w:val="00F42168"/>
    <w:rsid w:val="00F42283"/>
    <w:rsid w:val="00F42381"/>
    <w:rsid w:val="00F42559"/>
    <w:rsid w:val="00F425FE"/>
    <w:rsid w:val="00F42672"/>
    <w:rsid w:val="00F42725"/>
    <w:rsid w:val="00F42826"/>
    <w:rsid w:val="00F4292A"/>
    <w:rsid w:val="00F4296E"/>
    <w:rsid w:val="00F4297F"/>
    <w:rsid w:val="00F429AF"/>
    <w:rsid w:val="00F42AF1"/>
    <w:rsid w:val="00F42C78"/>
    <w:rsid w:val="00F4301C"/>
    <w:rsid w:val="00F4307D"/>
    <w:rsid w:val="00F430BD"/>
    <w:rsid w:val="00F43291"/>
    <w:rsid w:val="00F432EC"/>
    <w:rsid w:val="00F43311"/>
    <w:rsid w:val="00F43363"/>
    <w:rsid w:val="00F43578"/>
    <w:rsid w:val="00F4357B"/>
    <w:rsid w:val="00F4369B"/>
    <w:rsid w:val="00F43B5B"/>
    <w:rsid w:val="00F43B62"/>
    <w:rsid w:val="00F43DF8"/>
    <w:rsid w:val="00F43F2B"/>
    <w:rsid w:val="00F43F4E"/>
    <w:rsid w:val="00F44010"/>
    <w:rsid w:val="00F44185"/>
    <w:rsid w:val="00F441DE"/>
    <w:rsid w:val="00F44401"/>
    <w:rsid w:val="00F44406"/>
    <w:rsid w:val="00F4458C"/>
    <w:rsid w:val="00F445A7"/>
    <w:rsid w:val="00F44751"/>
    <w:rsid w:val="00F44BA4"/>
    <w:rsid w:val="00F44DC9"/>
    <w:rsid w:val="00F44EBB"/>
    <w:rsid w:val="00F450AF"/>
    <w:rsid w:val="00F451D3"/>
    <w:rsid w:val="00F4526D"/>
    <w:rsid w:val="00F45279"/>
    <w:rsid w:val="00F453B0"/>
    <w:rsid w:val="00F453D9"/>
    <w:rsid w:val="00F453E7"/>
    <w:rsid w:val="00F45441"/>
    <w:rsid w:val="00F454DD"/>
    <w:rsid w:val="00F45649"/>
    <w:rsid w:val="00F457DD"/>
    <w:rsid w:val="00F458B0"/>
    <w:rsid w:val="00F458D6"/>
    <w:rsid w:val="00F459EF"/>
    <w:rsid w:val="00F45AB2"/>
    <w:rsid w:val="00F45AE7"/>
    <w:rsid w:val="00F45C6E"/>
    <w:rsid w:val="00F45CB8"/>
    <w:rsid w:val="00F45E9E"/>
    <w:rsid w:val="00F460A1"/>
    <w:rsid w:val="00F461A3"/>
    <w:rsid w:val="00F46260"/>
    <w:rsid w:val="00F4636D"/>
    <w:rsid w:val="00F464D4"/>
    <w:rsid w:val="00F465A3"/>
    <w:rsid w:val="00F46678"/>
    <w:rsid w:val="00F466E3"/>
    <w:rsid w:val="00F4685A"/>
    <w:rsid w:val="00F46891"/>
    <w:rsid w:val="00F468C9"/>
    <w:rsid w:val="00F469ED"/>
    <w:rsid w:val="00F46B2D"/>
    <w:rsid w:val="00F46B92"/>
    <w:rsid w:val="00F473CA"/>
    <w:rsid w:val="00F474EC"/>
    <w:rsid w:val="00F474F5"/>
    <w:rsid w:val="00F47541"/>
    <w:rsid w:val="00F47588"/>
    <w:rsid w:val="00F4764D"/>
    <w:rsid w:val="00F476C7"/>
    <w:rsid w:val="00F47729"/>
    <w:rsid w:val="00F477B7"/>
    <w:rsid w:val="00F477E2"/>
    <w:rsid w:val="00F47804"/>
    <w:rsid w:val="00F478A1"/>
    <w:rsid w:val="00F4797E"/>
    <w:rsid w:val="00F47A8A"/>
    <w:rsid w:val="00F47D16"/>
    <w:rsid w:val="00F47DCA"/>
    <w:rsid w:val="00F47FB7"/>
    <w:rsid w:val="00F50331"/>
    <w:rsid w:val="00F50671"/>
    <w:rsid w:val="00F50848"/>
    <w:rsid w:val="00F508BE"/>
    <w:rsid w:val="00F50A26"/>
    <w:rsid w:val="00F50BB7"/>
    <w:rsid w:val="00F50C4E"/>
    <w:rsid w:val="00F50CB7"/>
    <w:rsid w:val="00F50CE6"/>
    <w:rsid w:val="00F50D1B"/>
    <w:rsid w:val="00F50D6C"/>
    <w:rsid w:val="00F50E2A"/>
    <w:rsid w:val="00F50F38"/>
    <w:rsid w:val="00F50F76"/>
    <w:rsid w:val="00F5103F"/>
    <w:rsid w:val="00F510BE"/>
    <w:rsid w:val="00F5112D"/>
    <w:rsid w:val="00F5130A"/>
    <w:rsid w:val="00F5146B"/>
    <w:rsid w:val="00F51498"/>
    <w:rsid w:val="00F515B4"/>
    <w:rsid w:val="00F516D6"/>
    <w:rsid w:val="00F517CA"/>
    <w:rsid w:val="00F51AAB"/>
    <w:rsid w:val="00F51D60"/>
    <w:rsid w:val="00F521D2"/>
    <w:rsid w:val="00F52305"/>
    <w:rsid w:val="00F523B7"/>
    <w:rsid w:val="00F52464"/>
    <w:rsid w:val="00F524C9"/>
    <w:rsid w:val="00F5277F"/>
    <w:rsid w:val="00F52A8E"/>
    <w:rsid w:val="00F52C63"/>
    <w:rsid w:val="00F52CC7"/>
    <w:rsid w:val="00F52F61"/>
    <w:rsid w:val="00F5302C"/>
    <w:rsid w:val="00F53129"/>
    <w:rsid w:val="00F53141"/>
    <w:rsid w:val="00F53233"/>
    <w:rsid w:val="00F53268"/>
    <w:rsid w:val="00F533A8"/>
    <w:rsid w:val="00F536AA"/>
    <w:rsid w:val="00F536B1"/>
    <w:rsid w:val="00F5384B"/>
    <w:rsid w:val="00F538A5"/>
    <w:rsid w:val="00F53902"/>
    <w:rsid w:val="00F5392D"/>
    <w:rsid w:val="00F53A22"/>
    <w:rsid w:val="00F53BF3"/>
    <w:rsid w:val="00F53C76"/>
    <w:rsid w:val="00F53C7A"/>
    <w:rsid w:val="00F53CFA"/>
    <w:rsid w:val="00F53D1C"/>
    <w:rsid w:val="00F53F34"/>
    <w:rsid w:val="00F53FC0"/>
    <w:rsid w:val="00F54140"/>
    <w:rsid w:val="00F5418C"/>
    <w:rsid w:val="00F54286"/>
    <w:rsid w:val="00F543C7"/>
    <w:rsid w:val="00F545E4"/>
    <w:rsid w:val="00F545FF"/>
    <w:rsid w:val="00F546F6"/>
    <w:rsid w:val="00F54710"/>
    <w:rsid w:val="00F54766"/>
    <w:rsid w:val="00F547EA"/>
    <w:rsid w:val="00F54839"/>
    <w:rsid w:val="00F549B2"/>
    <w:rsid w:val="00F549E1"/>
    <w:rsid w:val="00F54DF4"/>
    <w:rsid w:val="00F55077"/>
    <w:rsid w:val="00F5522F"/>
    <w:rsid w:val="00F552A4"/>
    <w:rsid w:val="00F55479"/>
    <w:rsid w:val="00F554BA"/>
    <w:rsid w:val="00F55587"/>
    <w:rsid w:val="00F55634"/>
    <w:rsid w:val="00F5573F"/>
    <w:rsid w:val="00F55745"/>
    <w:rsid w:val="00F5580A"/>
    <w:rsid w:val="00F55A79"/>
    <w:rsid w:val="00F55C91"/>
    <w:rsid w:val="00F55DE0"/>
    <w:rsid w:val="00F55EFA"/>
    <w:rsid w:val="00F55F89"/>
    <w:rsid w:val="00F56115"/>
    <w:rsid w:val="00F561EE"/>
    <w:rsid w:val="00F56292"/>
    <w:rsid w:val="00F5635E"/>
    <w:rsid w:val="00F56719"/>
    <w:rsid w:val="00F568FC"/>
    <w:rsid w:val="00F569B2"/>
    <w:rsid w:val="00F569B3"/>
    <w:rsid w:val="00F56A88"/>
    <w:rsid w:val="00F56C27"/>
    <w:rsid w:val="00F56C67"/>
    <w:rsid w:val="00F56C97"/>
    <w:rsid w:val="00F56E0C"/>
    <w:rsid w:val="00F56E5C"/>
    <w:rsid w:val="00F56EBA"/>
    <w:rsid w:val="00F56EED"/>
    <w:rsid w:val="00F56EFB"/>
    <w:rsid w:val="00F56F82"/>
    <w:rsid w:val="00F56FDA"/>
    <w:rsid w:val="00F57020"/>
    <w:rsid w:val="00F5705F"/>
    <w:rsid w:val="00F57128"/>
    <w:rsid w:val="00F57157"/>
    <w:rsid w:val="00F571F6"/>
    <w:rsid w:val="00F5727B"/>
    <w:rsid w:val="00F57291"/>
    <w:rsid w:val="00F573F6"/>
    <w:rsid w:val="00F57562"/>
    <w:rsid w:val="00F57575"/>
    <w:rsid w:val="00F575CB"/>
    <w:rsid w:val="00F57653"/>
    <w:rsid w:val="00F57776"/>
    <w:rsid w:val="00F57983"/>
    <w:rsid w:val="00F57A67"/>
    <w:rsid w:val="00F57AC4"/>
    <w:rsid w:val="00F57B1D"/>
    <w:rsid w:val="00F57BD8"/>
    <w:rsid w:val="00F57D1B"/>
    <w:rsid w:val="00F57E2F"/>
    <w:rsid w:val="00F6045E"/>
    <w:rsid w:val="00F6046C"/>
    <w:rsid w:val="00F6059D"/>
    <w:rsid w:val="00F605E5"/>
    <w:rsid w:val="00F60742"/>
    <w:rsid w:val="00F60790"/>
    <w:rsid w:val="00F607EC"/>
    <w:rsid w:val="00F607F6"/>
    <w:rsid w:val="00F60889"/>
    <w:rsid w:val="00F609C7"/>
    <w:rsid w:val="00F60A31"/>
    <w:rsid w:val="00F60D57"/>
    <w:rsid w:val="00F60DEB"/>
    <w:rsid w:val="00F60EAD"/>
    <w:rsid w:val="00F60FAA"/>
    <w:rsid w:val="00F60FB0"/>
    <w:rsid w:val="00F60FCF"/>
    <w:rsid w:val="00F6123A"/>
    <w:rsid w:val="00F612F9"/>
    <w:rsid w:val="00F612FB"/>
    <w:rsid w:val="00F61316"/>
    <w:rsid w:val="00F613D4"/>
    <w:rsid w:val="00F6156F"/>
    <w:rsid w:val="00F61714"/>
    <w:rsid w:val="00F61798"/>
    <w:rsid w:val="00F6198C"/>
    <w:rsid w:val="00F619A7"/>
    <w:rsid w:val="00F619C4"/>
    <w:rsid w:val="00F61A59"/>
    <w:rsid w:val="00F61AB2"/>
    <w:rsid w:val="00F61ACC"/>
    <w:rsid w:val="00F61BF5"/>
    <w:rsid w:val="00F61D89"/>
    <w:rsid w:val="00F61DC8"/>
    <w:rsid w:val="00F61ED9"/>
    <w:rsid w:val="00F61FF1"/>
    <w:rsid w:val="00F62075"/>
    <w:rsid w:val="00F621CE"/>
    <w:rsid w:val="00F62630"/>
    <w:rsid w:val="00F626B9"/>
    <w:rsid w:val="00F62709"/>
    <w:rsid w:val="00F62785"/>
    <w:rsid w:val="00F62911"/>
    <w:rsid w:val="00F6299B"/>
    <w:rsid w:val="00F62B4C"/>
    <w:rsid w:val="00F62B6A"/>
    <w:rsid w:val="00F62DCE"/>
    <w:rsid w:val="00F62F92"/>
    <w:rsid w:val="00F632B9"/>
    <w:rsid w:val="00F633B4"/>
    <w:rsid w:val="00F6349E"/>
    <w:rsid w:val="00F6368A"/>
    <w:rsid w:val="00F638CD"/>
    <w:rsid w:val="00F6399A"/>
    <w:rsid w:val="00F63A02"/>
    <w:rsid w:val="00F63A0F"/>
    <w:rsid w:val="00F63AD1"/>
    <w:rsid w:val="00F63BBA"/>
    <w:rsid w:val="00F63BC2"/>
    <w:rsid w:val="00F63E6B"/>
    <w:rsid w:val="00F64001"/>
    <w:rsid w:val="00F64119"/>
    <w:rsid w:val="00F64167"/>
    <w:rsid w:val="00F641F4"/>
    <w:rsid w:val="00F6420C"/>
    <w:rsid w:val="00F64601"/>
    <w:rsid w:val="00F64898"/>
    <w:rsid w:val="00F648CD"/>
    <w:rsid w:val="00F649EE"/>
    <w:rsid w:val="00F64ADD"/>
    <w:rsid w:val="00F64B72"/>
    <w:rsid w:val="00F64BBB"/>
    <w:rsid w:val="00F64DC0"/>
    <w:rsid w:val="00F64E37"/>
    <w:rsid w:val="00F64EC9"/>
    <w:rsid w:val="00F64F94"/>
    <w:rsid w:val="00F64FCE"/>
    <w:rsid w:val="00F650FB"/>
    <w:rsid w:val="00F651D9"/>
    <w:rsid w:val="00F65359"/>
    <w:rsid w:val="00F65521"/>
    <w:rsid w:val="00F656B9"/>
    <w:rsid w:val="00F656DA"/>
    <w:rsid w:val="00F65739"/>
    <w:rsid w:val="00F65963"/>
    <w:rsid w:val="00F65970"/>
    <w:rsid w:val="00F659D1"/>
    <w:rsid w:val="00F65B0D"/>
    <w:rsid w:val="00F65B1F"/>
    <w:rsid w:val="00F65D41"/>
    <w:rsid w:val="00F65E07"/>
    <w:rsid w:val="00F65E6A"/>
    <w:rsid w:val="00F65FE0"/>
    <w:rsid w:val="00F6612E"/>
    <w:rsid w:val="00F663E8"/>
    <w:rsid w:val="00F66655"/>
    <w:rsid w:val="00F66804"/>
    <w:rsid w:val="00F66864"/>
    <w:rsid w:val="00F668BF"/>
    <w:rsid w:val="00F66968"/>
    <w:rsid w:val="00F66A2C"/>
    <w:rsid w:val="00F66B22"/>
    <w:rsid w:val="00F66C0D"/>
    <w:rsid w:val="00F66D51"/>
    <w:rsid w:val="00F66E7A"/>
    <w:rsid w:val="00F66FBB"/>
    <w:rsid w:val="00F66FD9"/>
    <w:rsid w:val="00F67294"/>
    <w:rsid w:val="00F6736F"/>
    <w:rsid w:val="00F67575"/>
    <w:rsid w:val="00F675B3"/>
    <w:rsid w:val="00F675B8"/>
    <w:rsid w:val="00F6760D"/>
    <w:rsid w:val="00F67739"/>
    <w:rsid w:val="00F67822"/>
    <w:rsid w:val="00F67823"/>
    <w:rsid w:val="00F678AD"/>
    <w:rsid w:val="00F67AB5"/>
    <w:rsid w:val="00F67B38"/>
    <w:rsid w:val="00F67BB7"/>
    <w:rsid w:val="00F67D6B"/>
    <w:rsid w:val="00F67D75"/>
    <w:rsid w:val="00F67DAC"/>
    <w:rsid w:val="00F700C3"/>
    <w:rsid w:val="00F7023E"/>
    <w:rsid w:val="00F703B1"/>
    <w:rsid w:val="00F703D0"/>
    <w:rsid w:val="00F705BC"/>
    <w:rsid w:val="00F7087F"/>
    <w:rsid w:val="00F708D3"/>
    <w:rsid w:val="00F70A67"/>
    <w:rsid w:val="00F70AAC"/>
    <w:rsid w:val="00F70AF3"/>
    <w:rsid w:val="00F70B52"/>
    <w:rsid w:val="00F70B9E"/>
    <w:rsid w:val="00F70BAB"/>
    <w:rsid w:val="00F70E5C"/>
    <w:rsid w:val="00F70EE8"/>
    <w:rsid w:val="00F70F44"/>
    <w:rsid w:val="00F70FCF"/>
    <w:rsid w:val="00F710A9"/>
    <w:rsid w:val="00F71203"/>
    <w:rsid w:val="00F712D8"/>
    <w:rsid w:val="00F712F4"/>
    <w:rsid w:val="00F71377"/>
    <w:rsid w:val="00F71435"/>
    <w:rsid w:val="00F7162A"/>
    <w:rsid w:val="00F71737"/>
    <w:rsid w:val="00F717AD"/>
    <w:rsid w:val="00F7191E"/>
    <w:rsid w:val="00F71999"/>
    <w:rsid w:val="00F71CF5"/>
    <w:rsid w:val="00F71D1B"/>
    <w:rsid w:val="00F7203A"/>
    <w:rsid w:val="00F7208C"/>
    <w:rsid w:val="00F723EB"/>
    <w:rsid w:val="00F72478"/>
    <w:rsid w:val="00F72517"/>
    <w:rsid w:val="00F72523"/>
    <w:rsid w:val="00F72826"/>
    <w:rsid w:val="00F728CD"/>
    <w:rsid w:val="00F72A94"/>
    <w:rsid w:val="00F72C0B"/>
    <w:rsid w:val="00F72C88"/>
    <w:rsid w:val="00F72CAD"/>
    <w:rsid w:val="00F73078"/>
    <w:rsid w:val="00F7335B"/>
    <w:rsid w:val="00F735B8"/>
    <w:rsid w:val="00F735F8"/>
    <w:rsid w:val="00F735FE"/>
    <w:rsid w:val="00F73656"/>
    <w:rsid w:val="00F736F7"/>
    <w:rsid w:val="00F737AB"/>
    <w:rsid w:val="00F7384C"/>
    <w:rsid w:val="00F7386B"/>
    <w:rsid w:val="00F738A5"/>
    <w:rsid w:val="00F738B1"/>
    <w:rsid w:val="00F73A60"/>
    <w:rsid w:val="00F73C61"/>
    <w:rsid w:val="00F73E2E"/>
    <w:rsid w:val="00F73E4E"/>
    <w:rsid w:val="00F74051"/>
    <w:rsid w:val="00F74169"/>
    <w:rsid w:val="00F741EC"/>
    <w:rsid w:val="00F7424C"/>
    <w:rsid w:val="00F74684"/>
    <w:rsid w:val="00F7473D"/>
    <w:rsid w:val="00F74745"/>
    <w:rsid w:val="00F747F8"/>
    <w:rsid w:val="00F7483C"/>
    <w:rsid w:val="00F74869"/>
    <w:rsid w:val="00F74922"/>
    <w:rsid w:val="00F74929"/>
    <w:rsid w:val="00F74959"/>
    <w:rsid w:val="00F749E9"/>
    <w:rsid w:val="00F74B56"/>
    <w:rsid w:val="00F74B73"/>
    <w:rsid w:val="00F74C41"/>
    <w:rsid w:val="00F74D1A"/>
    <w:rsid w:val="00F74D56"/>
    <w:rsid w:val="00F74D8A"/>
    <w:rsid w:val="00F750E0"/>
    <w:rsid w:val="00F753DA"/>
    <w:rsid w:val="00F7540D"/>
    <w:rsid w:val="00F755D5"/>
    <w:rsid w:val="00F755E9"/>
    <w:rsid w:val="00F75604"/>
    <w:rsid w:val="00F7595A"/>
    <w:rsid w:val="00F75CEE"/>
    <w:rsid w:val="00F75E83"/>
    <w:rsid w:val="00F75EC5"/>
    <w:rsid w:val="00F760EE"/>
    <w:rsid w:val="00F7610A"/>
    <w:rsid w:val="00F7624C"/>
    <w:rsid w:val="00F76293"/>
    <w:rsid w:val="00F76482"/>
    <w:rsid w:val="00F76500"/>
    <w:rsid w:val="00F76618"/>
    <w:rsid w:val="00F7678C"/>
    <w:rsid w:val="00F76800"/>
    <w:rsid w:val="00F7689A"/>
    <w:rsid w:val="00F76AB7"/>
    <w:rsid w:val="00F76AEA"/>
    <w:rsid w:val="00F76B90"/>
    <w:rsid w:val="00F76C65"/>
    <w:rsid w:val="00F76D27"/>
    <w:rsid w:val="00F76D49"/>
    <w:rsid w:val="00F76E4D"/>
    <w:rsid w:val="00F77184"/>
    <w:rsid w:val="00F773DA"/>
    <w:rsid w:val="00F7748A"/>
    <w:rsid w:val="00F7754C"/>
    <w:rsid w:val="00F7763B"/>
    <w:rsid w:val="00F776E6"/>
    <w:rsid w:val="00F77792"/>
    <w:rsid w:val="00F77793"/>
    <w:rsid w:val="00F777FC"/>
    <w:rsid w:val="00F7790C"/>
    <w:rsid w:val="00F77952"/>
    <w:rsid w:val="00F77EE6"/>
    <w:rsid w:val="00F77F17"/>
    <w:rsid w:val="00F80041"/>
    <w:rsid w:val="00F800E4"/>
    <w:rsid w:val="00F80359"/>
    <w:rsid w:val="00F80434"/>
    <w:rsid w:val="00F80549"/>
    <w:rsid w:val="00F80678"/>
    <w:rsid w:val="00F8080F"/>
    <w:rsid w:val="00F80816"/>
    <w:rsid w:val="00F80988"/>
    <w:rsid w:val="00F80A70"/>
    <w:rsid w:val="00F80BBE"/>
    <w:rsid w:val="00F80BF3"/>
    <w:rsid w:val="00F80C53"/>
    <w:rsid w:val="00F80D9F"/>
    <w:rsid w:val="00F80DE1"/>
    <w:rsid w:val="00F80E47"/>
    <w:rsid w:val="00F8118F"/>
    <w:rsid w:val="00F8148F"/>
    <w:rsid w:val="00F81531"/>
    <w:rsid w:val="00F815DC"/>
    <w:rsid w:val="00F81658"/>
    <w:rsid w:val="00F8166E"/>
    <w:rsid w:val="00F816C7"/>
    <w:rsid w:val="00F816EB"/>
    <w:rsid w:val="00F81843"/>
    <w:rsid w:val="00F8184C"/>
    <w:rsid w:val="00F818C0"/>
    <w:rsid w:val="00F81940"/>
    <w:rsid w:val="00F820D1"/>
    <w:rsid w:val="00F82192"/>
    <w:rsid w:val="00F82291"/>
    <w:rsid w:val="00F822F2"/>
    <w:rsid w:val="00F8246A"/>
    <w:rsid w:val="00F8255D"/>
    <w:rsid w:val="00F82562"/>
    <w:rsid w:val="00F826BF"/>
    <w:rsid w:val="00F82706"/>
    <w:rsid w:val="00F827FE"/>
    <w:rsid w:val="00F828F5"/>
    <w:rsid w:val="00F82B8D"/>
    <w:rsid w:val="00F82C46"/>
    <w:rsid w:val="00F82D98"/>
    <w:rsid w:val="00F82DCB"/>
    <w:rsid w:val="00F82ECE"/>
    <w:rsid w:val="00F82F86"/>
    <w:rsid w:val="00F832E8"/>
    <w:rsid w:val="00F83513"/>
    <w:rsid w:val="00F83550"/>
    <w:rsid w:val="00F8364E"/>
    <w:rsid w:val="00F836F0"/>
    <w:rsid w:val="00F83768"/>
    <w:rsid w:val="00F83B85"/>
    <w:rsid w:val="00F83C2F"/>
    <w:rsid w:val="00F83F2E"/>
    <w:rsid w:val="00F84119"/>
    <w:rsid w:val="00F84130"/>
    <w:rsid w:val="00F841B0"/>
    <w:rsid w:val="00F841C9"/>
    <w:rsid w:val="00F84234"/>
    <w:rsid w:val="00F84512"/>
    <w:rsid w:val="00F84524"/>
    <w:rsid w:val="00F846CB"/>
    <w:rsid w:val="00F84702"/>
    <w:rsid w:val="00F8470F"/>
    <w:rsid w:val="00F84885"/>
    <w:rsid w:val="00F8488F"/>
    <w:rsid w:val="00F848F4"/>
    <w:rsid w:val="00F8493F"/>
    <w:rsid w:val="00F84AD8"/>
    <w:rsid w:val="00F84AEF"/>
    <w:rsid w:val="00F84B0F"/>
    <w:rsid w:val="00F84B6C"/>
    <w:rsid w:val="00F84C08"/>
    <w:rsid w:val="00F84C93"/>
    <w:rsid w:val="00F84C9E"/>
    <w:rsid w:val="00F84CC0"/>
    <w:rsid w:val="00F84D42"/>
    <w:rsid w:val="00F84D78"/>
    <w:rsid w:val="00F84F9A"/>
    <w:rsid w:val="00F851A2"/>
    <w:rsid w:val="00F851E7"/>
    <w:rsid w:val="00F851EA"/>
    <w:rsid w:val="00F8523A"/>
    <w:rsid w:val="00F852FF"/>
    <w:rsid w:val="00F8539F"/>
    <w:rsid w:val="00F85595"/>
    <w:rsid w:val="00F857BC"/>
    <w:rsid w:val="00F857DE"/>
    <w:rsid w:val="00F858C5"/>
    <w:rsid w:val="00F85915"/>
    <w:rsid w:val="00F85950"/>
    <w:rsid w:val="00F85B10"/>
    <w:rsid w:val="00F85B4E"/>
    <w:rsid w:val="00F85C0D"/>
    <w:rsid w:val="00F85C28"/>
    <w:rsid w:val="00F85F02"/>
    <w:rsid w:val="00F85F4C"/>
    <w:rsid w:val="00F85FBB"/>
    <w:rsid w:val="00F861D6"/>
    <w:rsid w:val="00F8631B"/>
    <w:rsid w:val="00F86334"/>
    <w:rsid w:val="00F8637E"/>
    <w:rsid w:val="00F86774"/>
    <w:rsid w:val="00F867DD"/>
    <w:rsid w:val="00F86973"/>
    <w:rsid w:val="00F869A2"/>
    <w:rsid w:val="00F86A0F"/>
    <w:rsid w:val="00F86AD3"/>
    <w:rsid w:val="00F86B65"/>
    <w:rsid w:val="00F86FDF"/>
    <w:rsid w:val="00F871F5"/>
    <w:rsid w:val="00F874C2"/>
    <w:rsid w:val="00F875C4"/>
    <w:rsid w:val="00F87838"/>
    <w:rsid w:val="00F878B4"/>
    <w:rsid w:val="00F878C1"/>
    <w:rsid w:val="00F87920"/>
    <w:rsid w:val="00F8796B"/>
    <w:rsid w:val="00F8799A"/>
    <w:rsid w:val="00F87A87"/>
    <w:rsid w:val="00F87C30"/>
    <w:rsid w:val="00F87EFC"/>
    <w:rsid w:val="00F87F53"/>
    <w:rsid w:val="00F87F71"/>
    <w:rsid w:val="00F900F9"/>
    <w:rsid w:val="00F90120"/>
    <w:rsid w:val="00F90280"/>
    <w:rsid w:val="00F902E5"/>
    <w:rsid w:val="00F90338"/>
    <w:rsid w:val="00F90445"/>
    <w:rsid w:val="00F90484"/>
    <w:rsid w:val="00F905FC"/>
    <w:rsid w:val="00F90664"/>
    <w:rsid w:val="00F90759"/>
    <w:rsid w:val="00F90775"/>
    <w:rsid w:val="00F9090C"/>
    <w:rsid w:val="00F90980"/>
    <w:rsid w:val="00F90AAF"/>
    <w:rsid w:val="00F90ABA"/>
    <w:rsid w:val="00F90FB5"/>
    <w:rsid w:val="00F9125D"/>
    <w:rsid w:val="00F91271"/>
    <w:rsid w:val="00F912C0"/>
    <w:rsid w:val="00F913BC"/>
    <w:rsid w:val="00F913E3"/>
    <w:rsid w:val="00F913ED"/>
    <w:rsid w:val="00F91468"/>
    <w:rsid w:val="00F914C4"/>
    <w:rsid w:val="00F91671"/>
    <w:rsid w:val="00F918E8"/>
    <w:rsid w:val="00F919DA"/>
    <w:rsid w:val="00F91A67"/>
    <w:rsid w:val="00F91AC3"/>
    <w:rsid w:val="00F91B18"/>
    <w:rsid w:val="00F91C3A"/>
    <w:rsid w:val="00F91CF0"/>
    <w:rsid w:val="00F91D5B"/>
    <w:rsid w:val="00F91EB3"/>
    <w:rsid w:val="00F91EF9"/>
    <w:rsid w:val="00F91F73"/>
    <w:rsid w:val="00F92016"/>
    <w:rsid w:val="00F9202E"/>
    <w:rsid w:val="00F9205E"/>
    <w:rsid w:val="00F920C9"/>
    <w:rsid w:val="00F9235E"/>
    <w:rsid w:val="00F92422"/>
    <w:rsid w:val="00F924F6"/>
    <w:rsid w:val="00F92578"/>
    <w:rsid w:val="00F92709"/>
    <w:rsid w:val="00F927E6"/>
    <w:rsid w:val="00F92965"/>
    <w:rsid w:val="00F92DF7"/>
    <w:rsid w:val="00F92FB0"/>
    <w:rsid w:val="00F931FB"/>
    <w:rsid w:val="00F93355"/>
    <w:rsid w:val="00F9339E"/>
    <w:rsid w:val="00F93488"/>
    <w:rsid w:val="00F93795"/>
    <w:rsid w:val="00F937CD"/>
    <w:rsid w:val="00F938E8"/>
    <w:rsid w:val="00F93979"/>
    <w:rsid w:val="00F93B56"/>
    <w:rsid w:val="00F93B89"/>
    <w:rsid w:val="00F93C4E"/>
    <w:rsid w:val="00F93DB7"/>
    <w:rsid w:val="00F93EA8"/>
    <w:rsid w:val="00F93F88"/>
    <w:rsid w:val="00F93F9A"/>
    <w:rsid w:val="00F94048"/>
    <w:rsid w:val="00F941F4"/>
    <w:rsid w:val="00F94582"/>
    <w:rsid w:val="00F9462A"/>
    <w:rsid w:val="00F946BA"/>
    <w:rsid w:val="00F947B4"/>
    <w:rsid w:val="00F94823"/>
    <w:rsid w:val="00F94920"/>
    <w:rsid w:val="00F9498A"/>
    <w:rsid w:val="00F949BD"/>
    <w:rsid w:val="00F94ABA"/>
    <w:rsid w:val="00F94BC0"/>
    <w:rsid w:val="00F94BF1"/>
    <w:rsid w:val="00F94D5D"/>
    <w:rsid w:val="00F94E83"/>
    <w:rsid w:val="00F94EE1"/>
    <w:rsid w:val="00F94F19"/>
    <w:rsid w:val="00F94FBB"/>
    <w:rsid w:val="00F9527A"/>
    <w:rsid w:val="00F9532E"/>
    <w:rsid w:val="00F9564A"/>
    <w:rsid w:val="00F95737"/>
    <w:rsid w:val="00F957A9"/>
    <w:rsid w:val="00F9588C"/>
    <w:rsid w:val="00F95900"/>
    <w:rsid w:val="00F959A8"/>
    <w:rsid w:val="00F959B3"/>
    <w:rsid w:val="00F95A02"/>
    <w:rsid w:val="00F95AE4"/>
    <w:rsid w:val="00F95CAE"/>
    <w:rsid w:val="00F95F52"/>
    <w:rsid w:val="00F96046"/>
    <w:rsid w:val="00F96049"/>
    <w:rsid w:val="00F9627B"/>
    <w:rsid w:val="00F96431"/>
    <w:rsid w:val="00F96494"/>
    <w:rsid w:val="00F96683"/>
    <w:rsid w:val="00F96870"/>
    <w:rsid w:val="00F96986"/>
    <w:rsid w:val="00F969E9"/>
    <w:rsid w:val="00F969F4"/>
    <w:rsid w:val="00F96AA1"/>
    <w:rsid w:val="00F96BCD"/>
    <w:rsid w:val="00F96D83"/>
    <w:rsid w:val="00F96F05"/>
    <w:rsid w:val="00F96F6A"/>
    <w:rsid w:val="00F970F3"/>
    <w:rsid w:val="00F97218"/>
    <w:rsid w:val="00F972E6"/>
    <w:rsid w:val="00F97349"/>
    <w:rsid w:val="00F975E5"/>
    <w:rsid w:val="00F976A8"/>
    <w:rsid w:val="00F976DC"/>
    <w:rsid w:val="00F97815"/>
    <w:rsid w:val="00F979E7"/>
    <w:rsid w:val="00F97B23"/>
    <w:rsid w:val="00F97E53"/>
    <w:rsid w:val="00F97FAD"/>
    <w:rsid w:val="00FA0176"/>
    <w:rsid w:val="00FA0369"/>
    <w:rsid w:val="00FA0394"/>
    <w:rsid w:val="00FA0619"/>
    <w:rsid w:val="00FA065C"/>
    <w:rsid w:val="00FA0662"/>
    <w:rsid w:val="00FA082C"/>
    <w:rsid w:val="00FA0ACD"/>
    <w:rsid w:val="00FA0B05"/>
    <w:rsid w:val="00FA0B44"/>
    <w:rsid w:val="00FA0CAB"/>
    <w:rsid w:val="00FA0CF1"/>
    <w:rsid w:val="00FA0D2C"/>
    <w:rsid w:val="00FA0D8B"/>
    <w:rsid w:val="00FA0FF6"/>
    <w:rsid w:val="00FA1087"/>
    <w:rsid w:val="00FA121B"/>
    <w:rsid w:val="00FA1398"/>
    <w:rsid w:val="00FA1595"/>
    <w:rsid w:val="00FA1598"/>
    <w:rsid w:val="00FA16B6"/>
    <w:rsid w:val="00FA1799"/>
    <w:rsid w:val="00FA1B89"/>
    <w:rsid w:val="00FA1BC0"/>
    <w:rsid w:val="00FA1D07"/>
    <w:rsid w:val="00FA1D76"/>
    <w:rsid w:val="00FA1F24"/>
    <w:rsid w:val="00FA1FB2"/>
    <w:rsid w:val="00FA20AE"/>
    <w:rsid w:val="00FA23F1"/>
    <w:rsid w:val="00FA2435"/>
    <w:rsid w:val="00FA24DF"/>
    <w:rsid w:val="00FA2610"/>
    <w:rsid w:val="00FA26CD"/>
    <w:rsid w:val="00FA2723"/>
    <w:rsid w:val="00FA278B"/>
    <w:rsid w:val="00FA2B8C"/>
    <w:rsid w:val="00FA2B9D"/>
    <w:rsid w:val="00FA2DB7"/>
    <w:rsid w:val="00FA2E35"/>
    <w:rsid w:val="00FA2FF1"/>
    <w:rsid w:val="00FA3062"/>
    <w:rsid w:val="00FA33D8"/>
    <w:rsid w:val="00FA3961"/>
    <w:rsid w:val="00FA3B61"/>
    <w:rsid w:val="00FA3C61"/>
    <w:rsid w:val="00FA4036"/>
    <w:rsid w:val="00FA41F1"/>
    <w:rsid w:val="00FA42FE"/>
    <w:rsid w:val="00FA44E9"/>
    <w:rsid w:val="00FA458E"/>
    <w:rsid w:val="00FA4634"/>
    <w:rsid w:val="00FA4798"/>
    <w:rsid w:val="00FA4857"/>
    <w:rsid w:val="00FA49D5"/>
    <w:rsid w:val="00FA4B61"/>
    <w:rsid w:val="00FA4CDB"/>
    <w:rsid w:val="00FA4E31"/>
    <w:rsid w:val="00FA4FAA"/>
    <w:rsid w:val="00FA5090"/>
    <w:rsid w:val="00FA50AA"/>
    <w:rsid w:val="00FA5162"/>
    <w:rsid w:val="00FA5350"/>
    <w:rsid w:val="00FA5588"/>
    <w:rsid w:val="00FA5638"/>
    <w:rsid w:val="00FA56F2"/>
    <w:rsid w:val="00FA5848"/>
    <w:rsid w:val="00FA5876"/>
    <w:rsid w:val="00FA5A26"/>
    <w:rsid w:val="00FA5BDB"/>
    <w:rsid w:val="00FA5D40"/>
    <w:rsid w:val="00FA5D80"/>
    <w:rsid w:val="00FA5DFC"/>
    <w:rsid w:val="00FA5E12"/>
    <w:rsid w:val="00FA5F05"/>
    <w:rsid w:val="00FA5F09"/>
    <w:rsid w:val="00FA5F46"/>
    <w:rsid w:val="00FA5F85"/>
    <w:rsid w:val="00FA606C"/>
    <w:rsid w:val="00FA606E"/>
    <w:rsid w:val="00FA631F"/>
    <w:rsid w:val="00FA640F"/>
    <w:rsid w:val="00FA64DE"/>
    <w:rsid w:val="00FA6592"/>
    <w:rsid w:val="00FA65EF"/>
    <w:rsid w:val="00FA6638"/>
    <w:rsid w:val="00FA6640"/>
    <w:rsid w:val="00FA66CC"/>
    <w:rsid w:val="00FA67CF"/>
    <w:rsid w:val="00FA67E1"/>
    <w:rsid w:val="00FA6817"/>
    <w:rsid w:val="00FA68B9"/>
    <w:rsid w:val="00FA6A48"/>
    <w:rsid w:val="00FA6B3B"/>
    <w:rsid w:val="00FA6B3C"/>
    <w:rsid w:val="00FA6BC4"/>
    <w:rsid w:val="00FA6D26"/>
    <w:rsid w:val="00FA6D82"/>
    <w:rsid w:val="00FA6F28"/>
    <w:rsid w:val="00FA6F74"/>
    <w:rsid w:val="00FA6FB8"/>
    <w:rsid w:val="00FA7062"/>
    <w:rsid w:val="00FA7273"/>
    <w:rsid w:val="00FA73A8"/>
    <w:rsid w:val="00FA7594"/>
    <w:rsid w:val="00FA7686"/>
    <w:rsid w:val="00FA77B0"/>
    <w:rsid w:val="00FA7820"/>
    <w:rsid w:val="00FA78CB"/>
    <w:rsid w:val="00FA7B58"/>
    <w:rsid w:val="00FA7C28"/>
    <w:rsid w:val="00FA7E49"/>
    <w:rsid w:val="00FB00B8"/>
    <w:rsid w:val="00FB00BD"/>
    <w:rsid w:val="00FB0486"/>
    <w:rsid w:val="00FB0518"/>
    <w:rsid w:val="00FB05BB"/>
    <w:rsid w:val="00FB062A"/>
    <w:rsid w:val="00FB0667"/>
    <w:rsid w:val="00FB06C0"/>
    <w:rsid w:val="00FB0727"/>
    <w:rsid w:val="00FB0729"/>
    <w:rsid w:val="00FB078B"/>
    <w:rsid w:val="00FB0824"/>
    <w:rsid w:val="00FB0A0B"/>
    <w:rsid w:val="00FB0A78"/>
    <w:rsid w:val="00FB0B28"/>
    <w:rsid w:val="00FB0C77"/>
    <w:rsid w:val="00FB0CE3"/>
    <w:rsid w:val="00FB0D21"/>
    <w:rsid w:val="00FB0D2B"/>
    <w:rsid w:val="00FB0D58"/>
    <w:rsid w:val="00FB0DB6"/>
    <w:rsid w:val="00FB1166"/>
    <w:rsid w:val="00FB14DF"/>
    <w:rsid w:val="00FB1555"/>
    <w:rsid w:val="00FB1703"/>
    <w:rsid w:val="00FB18FF"/>
    <w:rsid w:val="00FB1973"/>
    <w:rsid w:val="00FB19A8"/>
    <w:rsid w:val="00FB1B2A"/>
    <w:rsid w:val="00FB1BB3"/>
    <w:rsid w:val="00FB1CC3"/>
    <w:rsid w:val="00FB1E00"/>
    <w:rsid w:val="00FB1E90"/>
    <w:rsid w:val="00FB1F8F"/>
    <w:rsid w:val="00FB20CD"/>
    <w:rsid w:val="00FB215D"/>
    <w:rsid w:val="00FB21D8"/>
    <w:rsid w:val="00FB2390"/>
    <w:rsid w:val="00FB2803"/>
    <w:rsid w:val="00FB2A14"/>
    <w:rsid w:val="00FB2A24"/>
    <w:rsid w:val="00FB2AE4"/>
    <w:rsid w:val="00FB2CFE"/>
    <w:rsid w:val="00FB2E5F"/>
    <w:rsid w:val="00FB2E72"/>
    <w:rsid w:val="00FB30FF"/>
    <w:rsid w:val="00FB31C0"/>
    <w:rsid w:val="00FB343F"/>
    <w:rsid w:val="00FB3572"/>
    <w:rsid w:val="00FB35C4"/>
    <w:rsid w:val="00FB3682"/>
    <w:rsid w:val="00FB36F3"/>
    <w:rsid w:val="00FB37D7"/>
    <w:rsid w:val="00FB37FE"/>
    <w:rsid w:val="00FB3802"/>
    <w:rsid w:val="00FB3924"/>
    <w:rsid w:val="00FB3986"/>
    <w:rsid w:val="00FB3AA6"/>
    <w:rsid w:val="00FB3CB8"/>
    <w:rsid w:val="00FB3CEB"/>
    <w:rsid w:val="00FB3CFC"/>
    <w:rsid w:val="00FB3CFF"/>
    <w:rsid w:val="00FB409C"/>
    <w:rsid w:val="00FB417E"/>
    <w:rsid w:val="00FB41B2"/>
    <w:rsid w:val="00FB4342"/>
    <w:rsid w:val="00FB43B4"/>
    <w:rsid w:val="00FB4821"/>
    <w:rsid w:val="00FB4BC8"/>
    <w:rsid w:val="00FB4C84"/>
    <w:rsid w:val="00FB4D52"/>
    <w:rsid w:val="00FB4D88"/>
    <w:rsid w:val="00FB4DC8"/>
    <w:rsid w:val="00FB4E92"/>
    <w:rsid w:val="00FB4F56"/>
    <w:rsid w:val="00FB50B6"/>
    <w:rsid w:val="00FB543C"/>
    <w:rsid w:val="00FB559A"/>
    <w:rsid w:val="00FB57E9"/>
    <w:rsid w:val="00FB595C"/>
    <w:rsid w:val="00FB59F6"/>
    <w:rsid w:val="00FB5BC6"/>
    <w:rsid w:val="00FB5D63"/>
    <w:rsid w:val="00FB5E78"/>
    <w:rsid w:val="00FB5F50"/>
    <w:rsid w:val="00FB60C0"/>
    <w:rsid w:val="00FB625C"/>
    <w:rsid w:val="00FB631D"/>
    <w:rsid w:val="00FB6329"/>
    <w:rsid w:val="00FB6408"/>
    <w:rsid w:val="00FB6467"/>
    <w:rsid w:val="00FB648C"/>
    <w:rsid w:val="00FB64FC"/>
    <w:rsid w:val="00FB6781"/>
    <w:rsid w:val="00FB67E4"/>
    <w:rsid w:val="00FB6833"/>
    <w:rsid w:val="00FB6843"/>
    <w:rsid w:val="00FB6ABA"/>
    <w:rsid w:val="00FB6C63"/>
    <w:rsid w:val="00FB6C8C"/>
    <w:rsid w:val="00FB6D94"/>
    <w:rsid w:val="00FB6DCB"/>
    <w:rsid w:val="00FB6DD2"/>
    <w:rsid w:val="00FB6DEE"/>
    <w:rsid w:val="00FB6E71"/>
    <w:rsid w:val="00FB6FC4"/>
    <w:rsid w:val="00FB7040"/>
    <w:rsid w:val="00FB70EF"/>
    <w:rsid w:val="00FB716B"/>
    <w:rsid w:val="00FB72F4"/>
    <w:rsid w:val="00FB7633"/>
    <w:rsid w:val="00FB779D"/>
    <w:rsid w:val="00FB77E1"/>
    <w:rsid w:val="00FB7A7B"/>
    <w:rsid w:val="00FB7CA3"/>
    <w:rsid w:val="00FB7D25"/>
    <w:rsid w:val="00FC053D"/>
    <w:rsid w:val="00FC062D"/>
    <w:rsid w:val="00FC07E8"/>
    <w:rsid w:val="00FC0811"/>
    <w:rsid w:val="00FC084E"/>
    <w:rsid w:val="00FC0965"/>
    <w:rsid w:val="00FC09AC"/>
    <w:rsid w:val="00FC09D8"/>
    <w:rsid w:val="00FC09E5"/>
    <w:rsid w:val="00FC0A07"/>
    <w:rsid w:val="00FC0A76"/>
    <w:rsid w:val="00FC0ACC"/>
    <w:rsid w:val="00FC0B0F"/>
    <w:rsid w:val="00FC0BBF"/>
    <w:rsid w:val="00FC0C55"/>
    <w:rsid w:val="00FC0CDE"/>
    <w:rsid w:val="00FC0D8A"/>
    <w:rsid w:val="00FC0D91"/>
    <w:rsid w:val="00FC0DC3"/>
    <w:rsid w:val="00FC0DCB"/>
    <w:rsid w:val="00FC0EA6"/>
    <w:rsid w:val="00FC1326"/>
    <w:rsid w:val="00FC13EC"/>
    <w:rsid w:val="00FC1792"/>
    <w:rsid w:val="00FC1917"/>
    <w:rsid w:val="00FC1B6D"/>
    <w:rsid w:val="00FC1B71"/>
    <w:rsid w:val="00FC1BD0"/>
    <w:rsid w:val="00FC1CE0"/>
    <w:rsid w:val="00FC1CF7"/>
    <w:rsid w:val="00FC21D4"/>
    <w:rsid w:val="00FC2297"/>
    <w:rsid w:val="00FC22C2"/>
    <w:rsid w:val="00FC22C9"/>
    <w:rsid w:val="00FC235A"/>
    <w:rsid w:val="00FC2580"/>
    <w:rsid w:val="00FC2697"/>
    <w:rsid w:val="00FC26DA"/>
    <w:rsid w:val="00FC27AF"/>
    <w:rsid w:val="00FC2880"/>
    <w:rsid w:val="00FC2CC1"/>
    <w:rsid w:val="00FC2E6D"/>
    <w:rsid w:val="00FC2F22"/>
    <w:rsid w:val="00FC308F"/>
    <w:rsid w:val="00FC3104"/>
    <w:rsid w:val="00FC31C8"/>
    <w:rsid w:val="00FC31F5"/>
    <w:rsid w:val="00FC3272"/>
    <w:rsid w:val="00FC3363"/>
    <w:rsid w:val="00FC3367"/>
    <w:rsid w:val="00FC33B5"/>
    <w:rsid w:val="00FC33CF"/>
    <w:rsid w:val="00FC348C"/>
    <w:rsid w:val="00FC354F"/>
    <w:rsid w:val="00FC35C0"/>
    <w:rsid w:val="00FC369D"/>
    <w:rsid w:val="00FC38AB"/>
    <w:rsid w:val="00FC38FA"/>
    <w:rsid w:val="00FC3924"/>
    <w:rsid w:val="00FC3A5B"/>
    <w:rsid w:val="00FC3B40"/>
    <w:rsid w:val="00FC3BB3"/>
    <w:rsid w:val="00FC3C31"/>
    <w:rsid w:val="00FC3D04"/>
    <w:rsid w:val="00FC3E83"/>
    <w:rsid w:val="00FC3F28"/>
    <w:rsid w:val="00FC3FF7"/>
    <w:rsid w:val="00FC40B3"/>
    <w:rsid w:val="00FC417E"/>
    <w:rsid w:val="00FC43CE"/>
    <w:rsid w:val="00FC441E"/>
    <w:rsid w:val="00FC4489"/>
    <w:rsid w:val="00FC45DD"/>
    <w:rsid w:val="00FC469A"/>
    <w:rsid w:val="00FC4705"/>
    <w:rsid w:val="00FC4736"/>
    <w:rsid w:val="00FC490B"/>
    <w:rsid w:val="00FC4A34"/>
    <w:rsid w:val="00FC4BD8"/>
    <w:rsid w:val="00FC4CB6"/>
    <w:rsid w:val="00FC4E1A"/>
    <w:rsid w:val="00FC4F36"/>
    <w:rsid w:val="00FC4F59"/>
    <w:rsid w:val="00FC4FEF"/>
    <w:rsid w:val="00FC513A"/>
    <w:rsid w:val="00FC521D"/>
    <w:rsid w:val="00FC5383"/>
    <w:rsid w:val="00FC5466"/>
    <w:rsid w:val="00FC5513"/>
    <w:rsid w:val="00FC55D2"/>
    <w:rsid w:val="00FC55E9"/>
    <w:rsid w:val="00FC58B9"/>
    <w:rsid w:val="00FC5973"/>
    <w:rsid w:val="00FC5AE7"/>
    <w:rsid w:val="00FC5AEC"/>
    <w:rsid w:val="00FC5BD6"/>
    <w:rsid w:val="00FC5C7E"/>
    <w:rsid w:val="00FC5E88"/>
    <w:rsid w:val="00FC5F78"/>
    <w:rsid w:val="00FC5F9E"/>
    <w:rsid w:val="00FC607A"/>
    <w:rsid w:val="00FC6219"/>
    <w:rsid w:val="00FC6260"/>
    <w:rsid w:val="00FC639A"/>
    <w:rsid w:val="00FC6401"/>
    <w:rsid w:val="00FC64CF"/>
    <w:rsid w:val="00FC6521"/>
    <w:rsid w:val="00FC65E3"/>
    <w:rsid w:val="00FC65FC"/>
    <w:rsid w:val="00FC6636"/>
    <w:rsid w:val="00FC674C"/>
    <w:rsid w:val="00FC6978"/>
    <w:rsid w:val="00FC69FE"/>
    <w:rsid w:val="00FC6BEF"/>
    <w:rsid w:val="00FC6DF5"/>
    <w:rsid w:val="00FC6E8F"/>
    <w:rsid w:val="00FC6EC6"/>
    <w:rsid w:val="00FC6F08"/>
    <w:rsid w:val="00FC7089"/>
    <w:rsid w:val="00FC70AE"/>
    <w:rsid w:val="00FC7137"/>
    <w:rsid w:val="00FC73A4"/>
    <w:rsid w:val="00FC748C"/>
    <w:rsid w:val="00FC76C9"/>
    <w:rsid w:val="00FC773E"/>
    <w:rsid w:val="00FC776F"/>
    <w:rsid w:val="00FC779A"/>
    <w:rsid w:val="00FC7930"/>
    <w:rsid w:val="00FC7937"/>
    <w:rsid w:val="00FC7D21"/>
    <w:rsid w:val="00FC7D7A"/>
    <w:rsid w:val="00FC7DCB"/>
    <w:rsid w:val="00FC7E45"/>
    <w:rsid w:val="00FC7ECB"/>
    <w:rsid w:val="00FC7FA7"/>
    <w:rsid w:val="00FD0099"/>
    <w:rsid w:val="00FD026D"/>
    <w:rsid w:val="00FD0418"/>
    <w:rsid w:val="00FD04EA"/>
    <w:rsid w:val="00FD050D"/>
    <w:rsid w:val="00FD059D"/>
    <w:rsid w:val="00FD0807"/>
    <w:rsid w:val="00FD0843"/>
    <w:rsid w:val="00FD08EF"/>
    <w:rsid w:val="00FD0943"/>
    <w:rsid w:val="00FD0961"/>
    <w:rsid w:val="00FD0A68"/>
    <w:rsid w:val="00FD0CFC"/>
    <w:rsid w:val="00FD102C"/>
    <w:rsid w:val="00FD12E5"/>
    <w:rsid w:val="00FD12FA"/>
    <w:rsid w:val="00FD1525"/>
    <w:rsid w:val="00FD1571"/>
    <w:rsid w:val="00FD180D"/>
    <w:rsid w:val="00FD1BF3"/>
    <w:rsid w:val="00FD1D69"/>
    <w:rsid w:val="00FD1D92"/>
    <w:rsid w:val="00FD1E17"/>
    <w:rsid w:val="00FD1EFF"/>
    <w:rsid w:val="00FD1F81"/>
    <w:rsid w:val="00FD2157"/>
    <w:rsid w:val="00FD2288"/>
    <w:rsid w:val="00FD22C9"/>
    <w:rsid w:val="00FD22D6"/>
    <w:rsid w:val="00FD2642"/>
    <w:rsid w:val="00FD26E8"/>
    <w:rsid w:val="00FD2795"/>
    <w:rsid w:val="00FD29CE"/>
    <w:rsid w:val="00FD29DC"/>
    <w:rsid w:val="00FD2A43"/>
    <w:rsid w:val="00FD2A76"/>
    <w:rsid w:val="00FD2B27"/>
    <w:rsid w:val="00FD2CBC"/>
    <w:rsid w:val="00FD2CC3"/>
    <w:rsid w:val="00FD2F60"/>
    <w:rsid w:val="00FD308D"/>
    <w:rsid w:val="00FD30A3"/>
    <w:rsid w:val="00FD31F8"/>
    <w:rsid w:val="00FD3369"/>
    <w:rsid w:val="00FD339D"/>
    <w:rsid w:val="00FD33F2"/>
    <w:rsid w:val="00FD3483"/>
    <w:rsid w:val="00FD3585"/>
    <w:rsid w:val="00FD36CD"/>
    <w:rsid w:val="00FD38A0"/>
    <w:rsid w:val="00FD38CF"/>
    <w:rsid w:val="00FD3955"/>
    <w:rsid w:val="00FD39D1"/>
    <w:rsid w:val="00FD39E7"/>
    <w:rsid w:val="00FD3B4C"/>
    <w:rsid w:val="00FD3BAD"/>
    <w:rsid w:val="00FD3BD1"/>
    <w:rsid w:val="00FD3C09"/>
    <w:rsid w:val="00FD3CFB"/>
    <w:rsid w:val="00FD3E69"/>
    <w:rsid w:val="00FD3F5C"/>
    <w:rsid w:val="00FD3FE8"/>
    <w:rsid w:val="00FD40D9"/>
    <w:rsid w:val="00FD410E"/>
    <w:rsid w:val="00FD4154"/>
    <w:rsid w:val="00FD437D"/>
    <w:rsid w:val="00FD489A"/>
    <w:rsid w:val="00FD4A6C"/>
    <w:rsid w:val="00FD4B53"/>
    <w:rsid w:val="00FD4C0F"/>
    <w:rsid w:val="00FD4C65"/>
    <w:rsid w:val="00FD4D64"/>
    <w:rsid w:val="00FD4D68"/>
    <w:rsid w:val="00FD4DD1"/>
    <w:rsid w:val="00FD4E9D"/>
    <w:rsid w:val="00FD50CE"/>
    <w:rsid w:val="00FD5147"/>
    <w:rsid w:val="00FD528A"/>
    <w:rsid w:val="00FD54AF"/>
    <w:rsid w:val="00FD551E"/>
    <w:rsid w:val="00FD559B"/>
    <w:rsid w:val="00FD55BE"/>
    <w:rsid w:val="00FD55CB"/>
    <w:rsid w:val="00FD5651"/>
    <w:rsid w:val="00FD56C9"/>
    <w:rsid w:val="00FD56F7"/>
    <w:rsid w:val="00FD5783"/>
    <w:rsid w:val="00FD59CA"/>
    <w:rsid w:val="00FD5A0B"/>
    <w:rsid w:val="00FD5A39"/>
    <w:rsid w:val="00FD5ADE"/>
    <w:rsid w:val="00FD5B99"/>
    <w:rsid w:val="00FD5E46"/>
    <w:rsid w:val="00FD5EBC"/>
    <w:rsid w:val="00FD616E"/>
    <w:rsid w:val="00FD6529"/>
    <w:rsid w:val="00FD657B"/>
    <w:rsid w:val="00FD6791"/>
    <w:rsid w:val="00FD67B5"/>
    <w:rsid w:val="00FD694B"/>
    <w:rsid w:val="00FD69B2"/>
    <w:rsid w:val="00FD6A6D"/>
    <w:rsid w:val="00FD6B28"/>
    <w:rsid w:val="00FD6B3A"/>
    <w:rsid w:val="00FD6B87"/>
    <w:rsid w:val="00FD6E5D"/>
    <w:rsid w:val="00FD705A"/>
    <w:rsid w:val="00FD70C3"/>
    <w:rsid w:val="00FD70E0"/>
    <w:rsid w:val="00FD724D"/>
    <w:rsid w:val="00FD743B"/>
    <w:rsid w:val="00FD7722"/>
    <w:rsid w:val="00FD77C9"/>
    <w:rsid w:val="00FD77D2"/>
    <w:rsid w:val="00FD78D0"/>
    <w:rsid w:val="00FD7A17"/>
    <w:rsid w:val="00FD7BDA"/>
    <w:rsid w:val="00FD7E37"/>
    <w:rsid w:val="00FD7EF5"/>
    <w:rsid w:val="00FE0013"/>
    <w:rsid w:val="00FE00A6"/>
    <w:rsid w:val="00FE01A4"/>
    <w:rsid w:val="00FE082E"/>
    <w:rsid w:val="00FE09E0"/>
    <w:rsid w:val="00FE0BA4"/>
    <w:rsid w:val="00FE0BCD"/>
    <w:rsid w:val="00FE0C30"/>
    <w:rsid w:val="00FE1083"/>
    <w:rsid w:val="00FE10C9"/>
    <w:rsid w:val="00FE1102"/>
    <w:rsid w:val="00FE113E"/>
    <w:rsid w:val="00FE13D2"/>
    <w:rsid w:val="00FE1475"/>
    <w:rsid w:val="00FE14EF"/>
    <w:rsid w:val="00FE14F9"/>
    <w:rsid w:val="00FE1548"/>
    <w:rsid w:val="00FE16D5"/>
    <w:rsid w:val="00FE16F2"/>
    <w:rsid w:val="00FE1772"/>
    <w:rsid w:val="00FE1885"/>
    <w:rsid w:val="00FE1A9F"/>
    <w:rsid w:val="00FE1B9F"/>
    <w:rsid w:val="00FE1C60"/>
    <w:rsid w:val="00FE1DD6"/>
    <w:rsid w:val="00FE1E30"/>
    <w:rsid w:val="00FE221C"/>
    <w:rsid w:val="00FE22A4"/>
    <w:rsid w:val="00FE23D8"/>
    <w:rsid w:val="00FE24F6"/>
    <w:rsid w:val="00FE2893"/>
    <w:rsid w:val="00FE2943"/>
    <w:rsid w:val="00FE2A4F"/>
    <w:rsid w:val="00FE2BE2"/>
    <w:rsid w:val="00FE2CE6"/>
    <w:rsid w:val="00FE2E43"/>
    <w:rsid w:val="00FE2EA0"/>
    <w:rsid w:val="00FE2EEA"/>
    <w:rsid w:val="00FE2F38"/>
    <w:rsid w:val="00FE2F7F"/>
    <w:rsid w:val="00FE3008"/>
    <w:rsid w:val="00FE3148"/>
    <w:rsid w:val="00FE31B9"/>
    <w:rsid w:val="00FE31C5"/>
    <w:rsid w:val="00FE3413"/>
    <w:rsid w:val="00FE351E"/>
    <w:rsid w:val="00FE3789"/>
    <w:rsid w:val="00FE379D"/>
    <w:rsid w:val="00FE3975"/>
    <w:rsid w:val="00FE39DB"/>
    <w:rsid w:val="00FE3A1F"/>
    <w:rsid w:val="00FE3A64"/>
    <w:rsid w:val="00FE3B7E"/>
    <w:rsid w:val="00FE3BA6"/>
    <w:rsid w:val="00FE3C6A"/>
    <w:rsid w:val="00FE3E28"/>
    <w:rsid w:val="00FE4218"/>
    <w:rsid w:val="00FE423F"/>
    <w:rsid w:val="00FE4747"/>
    <w:rsid w:val="00FE4B0F"/>
    <w:rsid w:val="00FE4DFD"/>
    <w:rsid w:val="00FE4FAB"/>
    <w:rsid w:val="00FE50B3"/>
    <w:rsid w:val="00FE513E"/>
    <w:rsid w:val="00FE525D"/>
    <w:rsid w:val="00FE52FF"/>
    <w:rsid w:val="00FE565B"/>
    <w:rsid w:val="00FE57F9"/>
    <w:rsid w:val="00FE5802"/>
    <w:rsid w:val="00FE58C6"/>
    <w:rsid w:val="00FE58D3"/>
    <w:rsid w:val="00FE5A9F"/>
    <w:rsid w:val="00FE5C0D"/>
    <w:rsid w:val="00FE5DA0"/>
    <w:rsid w:val="00FE5DD0"/>
    <w:rsid w:val="00FE5E77"/>
    <w:rsid w:val="00FE6031"/>
    <w:rsid w:val="00FE60A3"/>
    <w:rsid w:val="00FE6189"/>
    <w:rsid w:val="00FE61F4"/>
    <w:rsid w:val="00FE64FE"/>
    <w:rsid w:val="00FE651D"/>
    <w:rsid w:val="00FE6555"/>
    <w:rsid w:val="00FE66DF"/>
    <w:rsid w:val="00FE681C"/>
    <w:rsid w:val="00FE6FBD"/>
    <w:rsid w:val="00FE6FC9"/>
    <w:rsid w:val="00FE7108"/>
    <w:rsid w:val="00FE71D8"/>
    <w:rsid w:val="00FE7230"/>
    <w:rsid w:val="00FE72CF"/>
    <w:rsid w:val="00FE72FF"/>
    <w:rsid w:val="00FE74B9"/>
    <w:rsid w:val="00FE7581"/>
    <w:rsid w:val="00FE76B9"/>
    <w:rsid w:val="00FE78AE"/>
    <w:rsid w:val="00FE78B1"/>
    <w:rsid w:val="00FE797A"/>
    <w:rsid w:val="00FE7A2B"/>
    <w:rsid w:val="00FE7BD7"/>
    <w:rsid w:val="00FE7DD0"/>
    <w:rsid w:val="00FE7F9F"/>
    <w:rsid w:val="00FF0075"/>
    <w:rsid w:val="00FF0169"/>
    <w:rsid w:val="00FF0407"/>
    <w:rsid w:val="00FF0449"/>
    <w:rsid w:val="00FF06E7"/>
    <w:rsid w:val="00FF075F"/>
    <w:rsid w:val="00FF0793"/>
    <w:rsid w:val="00FF0885"/>
    <w:rsid w:val="00FF09E8"/>
    <w:rsid w:val="00FF09FE"/>
    <w:rsid w:val="00FF0AA8"/>
    <w:rsid w:val="00FF0C9F"/>
    <w:rsid w:val="00FF0CF3"/>
    <w:rsid w:val="00FF0D3E"/>
    <w:rsid w:val="00FF0E93"/>
    <w:rsid w:val="00FF0F12"/>
    <w:rsid w:val="00FF0FD2"/>
    <w:rsid w:val="00FF101D"/>
    <w:rsid w:val="00FF11D9"/>
    <w:rsid w:val="00FF12B8"/>
    <w:rsid w:val="00FF1518"/>
    <w:rsid w:val="00FF1710"/>
    <w:rsid w:val="00FF173B"/>
    <w:rsid w:val="00FF182A"/>
    <w:rsid w:val="00FF1861"/>
    <w:rsid w:val="00FF199A"/>
    <w:rsid w:val="00FF1A49"/>
    <w:rsid w:val="00FF1B92"/>
    <w:rsid w:val="00FF1C9F"/>
    <w:rsid w:val="00FF1CAC"/>
    <w:rsid w:val="00FF1DC7"/>
    <w:rsid w:val="00FF1DD6"/>
    <w:rsid w:val="00FF1E4A"/>
    <w:rsid w:val="00FF20E0"/>
    <w:rsid w:val="00FF215C"/>
    <w:rsid w:val="00FF21CF"/>
    <w:rsid w:val="00FF224E"/>
    <w:rsid w:val="00FF25AD"/>
    <w:rsid w:val="00FF25D6"/>
    <w:rsid w:val="00FF2619"/>
    <w:rsid w:val="00FF2665"/>
    <w:rsid w:val="00FF26DF"/>
    <w:rsid w:val="00FF26E2"/>
    <w:rsid w:val="00FF274E"/>
    <w:rsid w:val="00FF2775"/>
    <w:rsid w:val="00FF27CD"/>
    <w:rsid w:val="00FF29D6"/>
    <w:rsid w:val="00FF2CA8"/>
    <w:rsid w:val="00FF2DD9"/>
    <w:rsid w:val="00FF2EDD"/>
    <w:rsid w:val="00FF2EEA"/>
    <w:rsid w:val="00FF2F0F"/>
    <w:rsid w:val="00FF2F5A"/>
    <w:rsid w:val="00FF311E"/>
    <w:rsid w:val="00FF3127"/>
    <w:rsid w:val="00FF3193"/>
    <w:rsid w:val="00FF33FA"/>
    <w:rsid w:val="00FF343B"/>
    <w:rsid w:val="00FF366F"/>
    <w:rsid w:val="00FF3720"/>
    <w:rsid w:val="00FF3A27"/>
    <w:rsid w:val="00FF3A9B"/>
    <w:rsid w:val="00FF3D2F"/>
    <w:rsid w:val="00FF3E0E"/>
    <w:rsid w:val="00FF3FD6"/>
    <w:rsid w:val="00FF4012"/>
    <w:rsid w:val="00FF44C7"/>
    <w:rsid w:val="00FF451F"/>
    <w:rsid w:val="00FF4597"/>
    <w:rsid w:val="00FF46A1"/>
    <w:rsid w:val="00FF480E"/>
    <w:rsid w:val="00FF4D28"/>
    <w:rsid w:val="00FF4DF9"/>
    <w:rsid w:val="00FF4E50"/>
    <w:rsid w:val="00FF50A3"/>
    <w:rsid w:val="00FF50B5"/>
    <w:rsid w:val="00FF50E7"/>
    <w:rsid w:val="00FF5250"/>
    <w:rsid w:val="00FF5284"/>
    <w:rsid w:val="00FF52B3"/>
    <w:rsid w:val="00FF5340"/>
    <w:rsid w:val="00FF54E8"/>
    <w:rsid w:val="00FF55B7"/>
    <w:rsid w:val="00FF575A"/>
    <w:rsid w:val="00FF580B"/>
    <w:rsid w:val="00FF58C5"/>
    <w:rsid w:val="00FF590C"/>
    <w:rsid w:val="00FF5A89"/>
    <w:rsid w:val="00FF5BB7"/>
    <w:rsid w:val="00FF5C27"/>
    <w:rsid w:val="00FF5CE6"/>
    <w:rsid w:val="00FF5DC6"/>
    <w:rsid w:val="00FF5E95"/>
    <w:rsid w:val="00FF5EC3"/>
    <w:rsid w:val="00FF5ED3"/>
    <w:rsid w:val="00FF5FA3"/>
    <w:rsid w:val="00FF5FCC"/>
    <w:rsid w:val="00FF6218"/>
    <w:rsid w:val="00FF6320"/>
    <w:rsid w:val="00FF64AA"/>
    <w:rsid w:val="00FF64B3"/>
    <w:rsid w:val="00FF64DD"/>
    <w:rsid w:val="00FF66A8"/>
    <w:rsid w:val="00FF682D"/>
    <w:rsid w:val="00FF687B"/>
    <w:rsid w:val="00FF691D"/>
    <w:rsid w:val="00FF698B"/>
    <w:rsid w:val="00FF6995"/>
    <w:rsid w:val="00FF69B1"/>
    <w:rsid w:val="00FF6A46"/>
    <w:rsid w:val="00FF6A92"/>
    <w:rsid w:val="00FF6B26"/>
    <w:rsid w:val="00FF6B93"/>
    <w:rsid w:val="00FF6C43"/>
    <w:rsid w:val="00FF6D0D"/>
    <w:rsid w:val="00FF6DE8"/>
    <w:rsid w:val="00FF6EDA"/>
    <w:rsid w:val="00FF6F42"/>
    <w:rsid w:val="00FF6F49"/>
    <w:rsid w:val="00FF70ED"/>
    <w:rsid w:val="00FF71D8"/>
    <w:rsid w:val="00FF72E6"/>
    <w:rsid w:val="00FF73BF"/>
    <w:rsid w:val="00FF75C1"/>
    <w:rsid w:val="00FF760E"/>
    <w:rsid w:val="00FF7650"/>
    <w:rsid w:val="00FF767F"/>
    <w:rsid w:val="00FF771A"/>
    <w:rsid w:val="00FF79CC"/>
    <w:rsid w:val="00FF7A15"/>
    <w:rsid w:val="00FF7AB5"/>
    <w:rsid w:val="00FF7BB5"/>
    <w:rsid w:val="00FF7D9A"/>
    <w:rsid w:val="00FF7F0B"/>
    <w:rsid w:val="01025D0D"/>
    <w:rsid w:val="01081D10"/>
    <w:rsid w:val="0194F563"/>
    <w:rsid w:val="01CEB615"/>
    <w:rsid w:val="0236EE8A"/>
    <w:rsid w:val="0270E4C4"/>
    <w:rsid w:val="029A6DA6"/>
    <w:rsid w:val="02D1633A"/>
    <w:rsid w:val="0310CDDA"/>
    <w:rsid w:val="03350223"/>
    <w:rsid w:val="0415BBF4"/>
    <w:rsid w:val="047B2129"/>
    <w:rsid w:val="048A03FE"/>
    <w:rsid w:val="05572AD2"/>
    <w:rsid w:val="058E5D5A"/>
    <w:rsid w:val="059EB832"/>
    <w:rsid w:val="0605528F"/>
    <w:rsid w:val="0615A79F"/>
    <w:rsid w:val="06588590"/>
    <w:rsid w:val="06D6D9BD"/>
    <w:rsid w:val="071876C6"/>
    <w:rsid w:val="072107D8"/>
    <w:rsid w:val="074CD66A"/>
    <w:rsid w:val="075709F4"/>
    <w:rsid w:val="08313373"/>
    <w:rsid w:val="08C294C9"/>
    <w:rsid w:val="0917AA4C"/>
    <w:rsid w:val="098745DF"/>
    <w:rsid w:val="098979CA"/>
    <w:rsid w:val="09B46533"/>
    <w:rsid w:val="09D2A182"/>
    <w:rsid w:val="0A092A5D"/>
    <w:rsid w:val="0A23CD15"/>
    <w:rsid w:val="0A3A3963"/>
    <w:rsid w:val="0A567C95"/>
    <w:rsid w:val="0A5BED61"/>
    <w:rsid w:val="0AB1AC22"/>
    <w:rsid w:val="0B053EB1"/>
    <w:rsid w:val="0B0A5F53"/>
    <w:rsid w:val="0B53C949"/>
    <w:rsid w:val="0C6B6944"/>
    <w:rsid w:val="0D8DE074"/>
    <w:rsid w:val="0DD589F4"/>
    <w:rsid w:val="0E14E163"/>
    <w:rsid w:val="0E2CFD3C"/>
    <w:rsid w:val="0F46FF74"/>
    <w:rsid w:val="0F6D74E1"/>
    <w:rsid w:val="0FEDD886"/>
    <w:rsid w:val="1031BA1D"/>
    <w:rsid w:val="10A6C827"/>
    <w:rsid w:val="1117A51F"/>
    <w:rsid w:val="11410C64"/>
    <w:rsid w:val="115E214A"/>
    <w:rsid w:val="118D7982"/>
    <w:rsid w:val="11CFC025"/>
    <w:rsid w:val="11DD4C1F"/>
    <w:rsid w:val="122CD346"/>
    <w:rsid w:val="1256D6B9"/>
    <w:rsid w:val="12737A2C"/>
    <w:rsid w:val="12EC3153"/>
    <w:rsid w:val="12EED622"/>
    <w:rsid w:val="1311CF7B"/>
    <w:rsid w:val="135F52D9"/>
    <w:rsid w:val="13F2CD8F"/>
    <w:rsid w:val="148D3E65"/>
    <w:rsid w:val="14C7AE70"/>
    <w:rsid w:val="15945695"/>
    <w:rsid w:val="161B4427"/>
    <w:rsid w:val="162EEC62"/>
    <w:rsid w:val="166D9C79"/>
    <w:rsid w:val="16770989"/>
    <w:rsid w:val="167C611C"/>
    <w:rsid w:val="16874124"/>
    <w:rsid w:val="16DA5C8F"/>
    <w:rsid w:val="16FC7486"/>
    <w:rsid w:val="1734701C"/>
    <w:rsid w:val="1804B890"/>
    <w:rsid w:val="189238DA"/>
    <w:rsid w:val="18EF3100"/>
    <w:rsid w:val="192B9628"/>
    <w:rsid w:val="19FBD758"/>
    <w:rsid w:val="19FE93AA"/>
    <w:rsid w:val="1A1793B5"/>
    <w:rsid w:val="1A231170"/>
    <w:rsid w:val="1A72048E"/>
    <w:rsid w:val="1B28735B"/>
    <w:rsid w:val="1B436AE0"/>
    <w:rsid w:val="1B519E6C"/>
    <w:rsid w:val="1B5504AC"/>
    <w:rsid w:val="1C0AEB2A"/>
    <w:rsid w:val="1C158454"/>
    <w:rsid w:val="1D1DD698"/>
    <w:rsid w:val="1D61315D"/>
    <w:rsid w:val="1D6A299B"/>
    <w:rsid w:val="1D710762"/>
    <w:rsid w:val="1DC7AF97"/>
    <w:rsid w:val="1DCC39D6"/>
    <w:rsid w:val="1E0D16D7"/>
    <w:rsid w:val="1E800644"/>
    <w:rsid w:val="1EB764F9"/>
    <w:rsid w:val="1EF2FBFD"/>
    <w:rsid w:val="1F40B944"/>
    <w:rsid w:val="1FEEB58D"/>
    <w:rsid w:val="2017C00E"/>
    <w:rsid w:val="206309B6"/>
    <w:rsid w:val="20AE32A1"/>
    <w:rsid w:val="212D6A37"/>
    <w:rsid w:val="2175750D"/>
    <w:rsid w:val="218EE56B"/>
    <w:rsid w:val="21A20B1D"/>
    <w:rsid w:val="21E1D442"/>
    <w:rsid w:val="22AF50D6"/>
    <w:rsid w:val="22E70A76"/>
    <w:rsid w:val="239BA52F"/>
    <w:rsid w:val="24494EC9"/>
    <w:rsid w:val="24A22306"/>
    <w:rsid w:val="24D7D2FF"/>
    <w:rsid w:val="257C84AC"/>
    <w:rsid w:val="2609D9EF"/>
    <w:rsid w:val="266A28EA"/>
    <w:rsid w:val="266ADF23"/>
    <w:rsid w:val="27529C64"/>
    <w:rsid w:val="2770FBED"/>
    <w:rsid w:val="277251BC"/>
    <w:rsid w:val="27851029"/>
    <w:rsid w:val="27CA2A63"/>
    <w:rsid w:val="2845EBF6"/>
    <w:rsid w:val="290DC110"/>
    <w:rsid w:val="2991E658"/>
    <w:rsid w:val="2A23D7B2"/>
    <w:rsid w:val="2A248C27"/>
    <w:rsid w:val="2A34292B"/>
    <w:rsid w:val="2A6B5581"/>
    <w:rsid w:val="2A939865"/>
    <w:rsid w:val="2B094EEC"/>
    <w:rsid w:val="2B3F0151"/>
    <w:rsid w:val="2B68A939"/>
    <w:rsid w:val="2B94D1C4"/>
    <w:rsid w:val="2C27A710"/>
    <w:rsid w:val="2C2A98BE"/>
    <w:rsid w:val="2C2EDCA1"/>
    <w:rsid w:val="2C59FA3F"/>
    <w:rsid w:val="2C5A34BE"/>
    <w:rsid w:val="2C8B46C5"/>
    <w:rsid w:val="2CDB5D16"/>
    <w:rsid w:val="2CE798D2"/>
    <w:rsid w:val="2D8488B8"/>
    <w:rsid w:val="2DBBE14B"/>
    <w:rsid w:val="2DFCF957"/>
    <w:rsid w:val="2E3F32A2"/>
    <w:rsid w:val="2E42ABFF"/>
    <w:rsid w:val="2E89A9A3"/>
    <w:rsid w:val="2EC80579"/>
    <w:rsid w:val="2F70D220"/>
    <w:rsid w:val="2FF9633C"/>
    <w:rsid w:val="2FFC0461"/>
    <w:rsid w:val="3049CD65"/>
    <w:rsid w:val="304C13C5"/>
    <w:rsid w:val="30CEBB1E"/>
    <w:rsid w:val="31258539"/>
    <w:rsid w:val="314A635F"/>
    <w:rsid w:val="316E2A68"/>
    <w:rsid w:val="31ECC887"/>
    <w:rsid w:val="32728AB2"/>
    <w:rsid w:val="328F302C"/>
    <w:rsid w:val="329AD6CE"/>
    <w:rsid w:val="32A386BA"/>
    <w:rsid w:val="330E498A"/>
    <w:rsid w:val="3388CCAF"/>
    <w:rsid w:val="33B07E8B"/>
    <w:rsid w:val="33BAB1FF"/>
    <w:rsid w:val="33E826D5"/>
    <w:rsid w:val="33F955C5"/>
    <w:rsid w:val="33FFDAB3"/>
    <w:rsid w:val="348626D1"/>
    <w:rsid w:val="34957DD4"/>
    <w:rsid w:val="351347F4"/>
    <w:rsid w:val="351A17E0"/>
    <w:rsid w:val="356735B5"/>
    <w:rsid w:val="359E49F4"/>
    <w:rsid w:val="35B36FAE"/>
    <w:rsid w:val="35C1F42B"/>
    <w:rsid w:val="361E2E91"/>
    <w:rsid w:val="36320F1C"/>
    <w:rsid w:val="366AA29F"/>
    <w:rsid w:val="36E2B1A5"/>
    <w:rsid w:val="37077A96"/>
    <w:rsid w:val="379383A6"/>
    <w:rsid w:val="37F81ABE"/>
    <w:rsid w:val="38226EC8"/>
    <w:rsid w:val="38EAA291"/>
    <w:rsid w:val="38FA2CC1"/>
    <w:rsid w:val="3951B687"/>
    <w:rsid w:val="3989A0CA"/>
    <w:rsid w:val="3A67C074"/>
    <w:rsid w:val="3A76C4DE"/>
    <w:rsid w:val="3B50DD2E"/>
    <w:rsid w:val="3BCEC546"/>
    <w:rsid w:val="3C341C1D"/>
    <w:rsid w:val="3C456E01"/>
    <w:rsid w:val="3C7F5472"/>
    <w:rsid w:val="3CA97FD9"/>
    <w:rsid w:val="3D39EE6F"/>
    <w:rsid w:val="3D50D671"/>
    <w:rsid w:val="3D53CA08"/>
    <w:rsid w:val="3D84589E"/>
    <w:rsid w:val="3E7B6DDA"/>
    <w:rsid w:val="3E9069F5"/>
    <w:rsid w:val="3EBAC2D7"/>
    <w:rsid w:val="3EC0EA22"/>
    <w:rsid w:val="3EC3ECDA"/>
    <w:rsid w:val="3F495443"/>
    <w:rsid w:val="3F97614F"/>
    <w:rsid w:val="3FE34152"/>
    <w:rsid w:val="3FFF7D94"/>
    <w:rsid w:val="40304969"/>
    <w:rsid w:val="40636C4D"/>
    <w:rsid w:val="406CEEB4"/>
    <w:rsid w:val="40AAFD01"/>
    <w:rsid w:val="41968FD9"/>
    <w:rsid w:val="4244F4D8"/>
    <w:rsid w:val="424B41FE"/>
    <w:rsid w:val="432BFFE9"/>
    <w:rsid w:val="433E717D"/>
    <w:rsid w:val="434DC3F3"/>
    <w:rsid w:val="43896B84"/>
    <w:rsid w:val="44168BB1"/>
    <w:rsid w:val="441EB601"/>
    <w:rsid w:val="445CD9F6"/>
    <w:rsid w:val="44D497C3"/>
    <w:rsid w:val="454C9263"/>
    <w:rsid w:val="454F49B0"/>
    <w:rsid w:val="459EB7CD"/>
    <w:rsid w:val="45D0DF6C"/>
    <w:rsid w:val="468CECDC"/>
    <w:rsid w:val="46D4B980"/>
    <w:rsid w:val="46E0E38C"/>
    <w:rsid w:val="46E8ADD8"/>
    <w:rsid w:val="471EF405"/>
    <w:rsid w:val="4775D748"/>
    <w:rsid w:val="47788400"/>
    <w:rsid w:val="47AC099A"/>
    <w:rsid w:val="47E22729"/>
    <w:rsid w:val="47ECE186"/>
    <w:rsid w:val="47F3F476"/>
    <w:rsid w:val="48064B69"/>
    <w:rsid w:val="486A6FEB"/>
    <w:rsid w:val="48A3B403"/>
    <w:rsid w:val="48ED5868"/>
    <w:rsid w:val="490ECE07"/>
    <w:rsid w:val="4948AEF2"/>
    <w:rsid w:val="4A2D6882"/>
    <w:rsid w:val="4A41B61E"/>
    <w:rsid w:val="4A8A5515"/>
    <w:rsid w:val="4B750378"/>
    <w:rsid w:val="4BA81B8F"/>
    <w:rsid w:val="4BBC3553"/>
    <w:rsid w:val="4BC374DA"/>
    <w:rsid w:val="4BDB47A3"/>
    <w:rsid w:val="4C2A9EB5"/>
    <w:rsid w:val="4C3CA7F2"/>
    <w:rsid w:val="4C93A95A"/>
    <w:rsid w:val="4CEBD20C"/>
    <w:rsid w:val="4D60D11B"/>
    <w:rsid w:val="4E112F7B"/>
    <w:rsid w:val="4E370A75"/>
    <w:rsid w:val="4E5087C9"/>
    <w:rsid w:val="4E5B4B58"/>
    <w:rsid w:val="4E76BBDD"/>
    <w:rsid w:val="4F371097"/>
    <w:rsid w:val="4F7FEA2D"/>
    <w:rsid w:val="4F9A0EEC"/>
    <w:rsid w:val="500E892E"/>
    <w:rsid w:val="5011F642"/>
    <w:rsid w:val="5035FA8D"/>
    <w:rsid w:val="5130484A"/>
    <w:rsid w:val="51F31625"/>
    <w:rsid w:val="51F3699D"/>
    <w:rsid w:val="52561F3E"/>
    <w:rsid w:val="52EA7F1C"/>
    <w:rsid w:val="5319FBE0"/>
    <w:rsid w:val="538811DE"/>
    <w:rsid w:val="53B4DFB6"/>
    <w:rsid w:val="53C1DBA6"/>
    <w:rsid w:val="53DEE399"/>
    <w:rsid w:val="5419320A"/>
    <w:rsid w:val="545211AB"/>
    <w:rsid w:val="555C75A9"/>
    <w:rsid w:val="55D60E7A"/>
    <w:rsid w:val="55DC747A"/>
    <w:rsid w:val="55E1FE98"/>
    <w:rsid w:val="570825E0"/>
    <w:rsid w:val="570A605A"/>
    <w:rsid w:val="57135579"/>
    <w:rsid w:val="573996D9"/>
    <w:rsid w:val="57CA59CC"/>
    <w:rsid w:val="58FE50C6"/>
    <w:rsid w:val="5902419E"/>
    <w:rsid w:val="5A298701"/>
    <w:rsid w:val="5A3AF949"/>
    <w:rsid w:val="5A4136BC"/>
    <w:rsid w:val="5AFD20C5"/>
    <w:rsid w:val="5B479F0D"/>
    <w:rsid w:val="5C20DAC6"/>
    <w:rsid w:val="5C7EBCA9"/>
    <w:rsid w:val="5CB7E894"/>
    <w:rsid w:val="5D5A5377"/>
    <w:rsid w:val="5D97B21C"/>
    <w:rsid w:val="5DA2E0D3"/>
    <w:rsid w:val="5E814C8A"/>
    <w:rsid w:val="5E8EBF02"/>
    <w:rsid w:val="5E8FE1D9"/>
    <w:rsid w:val="5F229E1C"/>
    <w:rsid w:val="5F59CD6C"/>
    <w:rsid w:val="60A35CC9"/>
    <w:rsid w:val="60AB8DF0"/>
    <w:rsid w:val="612A5254"/>
    <w:rsid w:val="612D90D0"/>
    <w:rsid w:val="616A7FB0"/>
    <w:rsid w:val="61B28FF8"/>
    <w:rsid w:val="62021B6E"/>
    <w:rsid w:val="62635E8C"/>
    <w:rsid w:val="627325F5"/>
    <w:rsid w:val="629563EF"/>
    <w:rsid w:val="635E1BE9"/>
    <w:rsid w:val="63F672F0"/>
    <w:rsid w:val="64661822"/>
    <w:rsid w:val="64B0DBF9"/>
    <w:rsid w:val="64DDC6E4"/>
    <w:rsid w:val="64EC7AB1"/>
    <w:rsid w:val="656A9FD6"/>
    <w:rsid w:val="65CFF9AD"/>
    <w:rsid w:val="65EE4E53"/>
    <w:rsid w:val="65F1283E"/>
    <w:rsid w:val="6755DCA9"/>
    <w:rsid w:val="67B01A74"/>
    <w:rsid w:val="67F9BB26"/>
    <w:rsid w:val="6837A5F9"/>
    <w:rsid w:val="684A7705"/>
    <w:rsid w:val="686E3E41"/>
    <w:rsid w:val="68867478"/>
    <w:rsid w:val="68C3952E"/>
    <w:rsid w:val="69A717D7"/>
    <w:rsid w:val="69B4B7CB"/>
    <w:rsid w:val="69DB928F"/>
    <w:rsid w:val="6A5973A3"/>
    <w:rsid w:val="6A825655"/>
    <w:rsid w:val="6AE26546"/>
    <w:rsid w:val="6B1474BB"/>
    <w:rsid w:val="6B1938DC"/>
    <w:rsid w:val="6B1E90E7"/>
    <w:rsid w:val="6BD04FCC"/>
    <w:rsid w:val="6BEA25C7"/>
    <w:rsid w:val="6BF1476F"/>
    <w:rsid w:val="6C24180E"/>
    <w:rsid w:val="6C66A9A9"/>
    <w:rsid w:val="6C8AA91F"/>
    <w:rsid w:val="6C93FBDF"/>
    <w:rsid w:val="6D023AE2"/>
    <w:rsid w:val="6D13E0DB"/>
    <w:rsid w:val="6D613465"/>
    <w:rsid w:val="6D72DDC8"/>
    <w:rsid w:val="6D8CD095"/>
    <w:rsid w:val="6DC4E011"/>
    <w:rsid w:val="6DCF1E7F"/>
    <w:rsid w:val="6E4C2230"/>
    <w:rsid w:val="6E735E36"/>
    <w:rsid w:val="6EABAFAA"/>
    <w:rsid w:val="6EC701AB"/>
    <w:rsid w:val="6F8E5AB5"/>
    <w:rsid w:val="6FCB7DB9"/>
    <w:rsid w:val="6FD3496A"/>
    <w:rsid w:val="7024C012"/>
    <w:rsid w:val="706B21EF"/>
    <w:rsid w:val="70A1C7B6"/>
    <w:rsid w:val="70D3F35B"/>
    <w:rsid w:val="714040AF"/>
    <w:rsid w:val="7147739C"/>
    <w:rsid w:val="715FC431"/>
    <w:rsid w:val="726637C7"/>
    <w:rsid w:val="727509FC"/>
    <w:rsid w:val="7321E9AC"/>
    <w:rsid w:val="738B25F7"/>
    <w:rsid w:val="73C83EA3"/>
    <w:rsid w:val="74320EF6"/>
    <w:rsid w:val="748CE7B7"/>
    <w:rsid w:val="74FE2F0E"/>
    <w:rsid w:val="7645E650"/>
    <w:rsid w:val="76C63F1D"/>
    <w:rsid w:val="7723AF74"/>
    <w:rsid w:val="7741BACA"/>
    <w:rsid w:val="77543B6C"/>
    <w:rsid w:val="77915944"/>
    <w:rsid w:val="788AFF3C"/>
    <w:rsid w:val="79190FB4"/>
    <w:rsid w:val="795293C6"/>
    <w:rsid w:val="79726E9D"/>
    <w:rsid w:val="79A1C2CF"/>
    <w:rsid w:val="7A08CA58"/>
    <w:rsid w:val="7AA94C5F"/>
    <w:rsid w:val="7AC00F28"/>
    <w:rsid w:val="7AD68B69"/>
    <w:rsid w:val="7AE6616E"/>
    <w:rsid w:val="7B5997FD"/>
    <w:rsid w:val="7BFBFAD0"/>
    <w:rsid w:val="7C77F013"/>
    <w:rsid w:val="7CF8D93E"/>
    <w:rsid w:val="7D4DAF21"/>
    <w:rsid w:val="7D76D19D"/>
    <w:rsid w:val="7D7D3492"/>
    <w:rsid w:val="7D9E456E"/>
    <w:rsid w:val="7DD02A8E"/>
    <w:rsid w:val="7E55CB57"/>
    <w:rsid w:val="7E65492A"/>
    <w:rsid w:val="7E89876F"/>
    <w:rsid w:val="7F1A9EA9"/>
    <w:rsid w:val="7F590ADC"/>
    <w:rsid w:val="7F918367"/>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8E02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szCs w:val="22"/>
        <w:lang w:val="hr-HR" w:eastAsia="hr-H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3"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3" w:unhideWhenUsed="1"/>
    <w:lsdException w:name="page number" w:semiHidden="1" w:uiPriority="3" w:unhideWhenUsed="1"/>
    <w:lsdException w:name="endnote reference" w:semiHidden="1" w:uiPriority="99" w:unhideWhenUsed="1"/>
    <w:lsdException w:name="endnote text" w:semiHidden="1" w:uiPriority="99" w:unhideWhenUsed="1"/>
    <w:lsdException w:name="table of authorities" w:semiHidden="1" w:uiPriority="3" w:unhideWhenUsed="1"/>
    <w:lsdException w:name="macro" w:semiHidden="1" w:unhideWhenUsed="1"/>
    <w:lsdException w:name="toa heading" w:uiPriority="3"/>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3" w:unhideWhenUsed="1"/>
    <w:lsdException w:name="Signature" w:semiHidden="1" w:uiPriority="3" w:unhideWhenUsed="1"/>
    <w:lsdException w:name="Default Paragraph Font" w:semiHidden="1" w:uiPriority="1" w:unhideWhenUsed="1"/>
    <w:lsdException w:name="Body Text" w:semiHidden="1" w:uiPriority="3"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3" w:unhideWhenUsed="1"/>
    <w:lsdException w:name="Date" w:semiHidden="1" w:uiPriority="3" w:unhideWhenUsed="1"/>
    <w:lsdException w:name="Body Text First Indent" w:semiHidden="1" w:unhideWhenUsed="1"/>
    <w:lsdException w:name="Body Text First Indent 2" w:semiHidden="1" w:unhideWhenUsed="1"/>
    <w:lsdException w:name="Note Heading" w:semiHidden="1" w:uiPriority="3"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3"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studije"/>
    <w:qFormat/>
    <w:rsid w:val="00963D00"/>
    <w:pPr>
      <w:suppressAutoHyphens/>
      <w:spacing w:before="240" w:after="120" w:line="288" w:lineRule="auto"/>
      <w:jc w:val="both"/>
    </w:pPr>
  </w:style>
  <w:style w:type="paragraph" w:styleId="Heading1">
    <w:name w:val="heading 1"/>
    <w:basedOn w:val="Normal"/>
    <w:next w:val="Normal"/>
    <w:link w:val="Heading1Char"/>
    <w:uiPriority w:val="9"/>
    <w:qFormat/>
    <w:rsid w:val="00381E51"/>
    <w:pPr>
      <w:keepNext/>
      <w:pageBreakBefore/>
      <w:pBdr>
        <w:top w:val="single" w:sz="48" w:space="5" w:color="F5C1C6"/>
      </w:pBdr>
      <w:tabs>
        <w:tab w:val="left" w:pos="567"/>
      </w:tabs>
      <w:autoSpaceDE w:val="0"/>
      <w:autoSpaceDN w:val="0"/>
      <w:adjustRightInd w:val="0"/>
      <w:spacing w:after="320" w:line="240" w:lineRule="auto"/>
      <w:ind w:left="432" w:hanging="432"/>
      <w:jc w:val="left"/>
      <w:textAlignment w:val="center"/>
      <w:outlineLvl w:val="0"/>
    </w:pPr>
    <w:rPr>
      <w:b/>
      <w:iCs/>
      <w:caps/>
      <w:color w:val="BE1D2D"/>
      <w:position w:val="24"/>
      <w:sz w:val="32"/>
      <w:szCs w:val="48"/>
    </w:rPr>
  </w:style>
  <w:style w:type="paragraph" w:styleId="Heading2">
    <w:name w:val="heading 2"/>
    <w:basedOn w:val="Normal"/>
    <w:next w:val="Normal"/>
    <w:link w:val="Heading2Char"/>
    <w:uiPriority w:val="9"/>
    <w:qFormat/>
    <w:rsid w:val="00DA1995"/>
    <w:pPr>
      <w:keepNext/>
      <w:widowControl w:val="0"/>
      <w:pBdr>
        <w:bottom w:val="single" w:sz="8" w:space="4" w:color="BE1D2D"/>
      </w:pBdr>
      <w:autoSpaceDE w:val="0"/>
      <w:autoSpaceDN w:val="0"/>
      <w:adjustRightInd w:val="0"/>
      <w:spacing w:before="400" w:after="240" w:line="240" w:lineRule="auto"/>
      <w:ind w:left="576" w:hanging="576"/>
      <w:jc w:val="left"/>
      <w:textAlignment w:val="center"/>
      <w:outlineLvl w:val="1"/>
    </w:pPr>
    <w:rPr>
      <w:rFonts w:cs="Myriad Pro Cond"/>
      <w:b/>
      <w:bCs/>
      <w:color w:val="5B9BD5" w:themeColor="accent1"/>
      <w:sz w:val="28"/>
      <w:szCs w:val="36"/>
    </w:rPr>
  </w:style>
  <w:style w:type="paragraph" w:styleId="Heading3">
    <w:name w:val="heading 3"/>
    <w:basedOn w:val="Normal"/>
    <w:next w:val="Normal"/>
    <w:link w:val="Heading3Char"/>
    <w:uiPriority w:val="9"/>
    <w:qFormat/>
    <w:rsid w:val="00302043"/>
    <w:pPr>
      <w:keepNext/>
      <w:widowControl w:val="0"/>
      <w:autoSpaceDE w:val="0"/>
      <w:autoSpaceDN w:val="0"/>
      <w:adjustRightInd w:val="0"/>
      <w:spacing w:before="360" w:after="240" w:line="240" w:lineRule="auto"/>
      <w:ind w:left="567" w:hanging="567"/>
      <w:jc w:val="left"/>
      <w:textAlignment w:val="center"/>
      <w:outlineLvl w:val="2"/>
    </w:pPr>
    <w:rPr>
      <w:b/>
      <w:bCs/>
      <w:iCs/>
      <w:color w:val="BE1D2D"/>
      <w:sz w:val="24"/>
    </w:rPr>
  </w:style>
  <w:style w:type="paragraph" w:styleId="Heading4">
    <w:name w:val="heading 4"/>
    <w:basedOn w:val="Heading3"/>
    <w:next w:val="Normal"/>
    <w:link w:val="Heading4Char"/>
    <w:uiPriority w:val="9"/>
    <w:qFormat/>
    <w:rsid w:val="00BF3CED"/>
    <w:pPr>
      <w:widowControl/>
      <w:autoSpaceDE/>
      <w:autoSpaceDN/>
      <w:adjustRightInd/>
      <w:spacing w:after="120"/>
      <w:ind w:left="864" w:hanging="864"/>
      <w:textAlignment w:val="auto"/>
      <w:outlineLvl w:val="3"/>
    </w:pPr>
    <w:rPr>
      <w:rFonts w:cs="Arial"/>
      <w:b w:val="0"/>
      <w:bCs w:val="0"/>
      <w:kern w:val="32"/>
      <w:szCs w:val="28"/>
    </w:rPr>
  </w:style>
  <w:style w:type="paragraph" w:styleId="Heading5">
    <w:name w:val="heading 5"/>
    <w:basedOn w:val="Normal"/>
    <w:next w:val="Normal"/>
    <w:link w:val="Heading5Char"/>
    <w:uiPriority w:val="9"/>
    <w:qFormat/>
    <w:rsid w:val="0085152F"/>
    <w:pPr>
      <w:keepNext/>
      <w:outlineLvl w:val="4"/>
    </w:pPr>
    <w:rPr>
      <w:b/>
      <w:bCs/>
      <w:iCs/>
      <w:color w:val="C00000"/>
      <w:szCs w:val="26"/>
    </w:rPr>
  </w:style>
  <w:style w:type="paragraph" w:styleId="Heading6">
    <w:name w:val="heading 6"/>
    <w:basedOn w:val="Normal"/>
    <w:next w:val="Normal"/>
    <w:link w:val="Heading6Char"/>
    <w:uiPriority w:val="9"/>
    <w:unhideWhenUsed/>
    <w:qFormat/>
    <w:rsid w:val="00652E19"/>
    <w:pPr>
      <w:keepNext/>
      <w:pageBreakBefore/>
      <w:spacing w:after="240"/>
      <w:ind w:left="1152" w:hanging="1152"/>
      <w:outlineLvl w:val="5"/>
    </w:pPr>
    <w:rPr>
      <w:bCs/>
      <w:i/>
    </w:rPr>
  </w:style>
  <w:style w:type="paragraph" w:styleId="Heading7">
    <w:name w:val="heading 7"/>
    <w:basedOn w:val="Normal"/>
    <w:next w:val="Normal"/>
    <w:link w:val="Heading7Char"/>
    <w:uiPriority w:val="9"/>
    <w:unhideWhenUsed/>
    <w:qFormat/>
    <w:rsid w:val="009F34FA"/>
    <w:pPr>
      <w:spacing w:after="60"/>
      <w:ind w:left="1296" w:hanging="1296"/>
      <w:outlineLvl w:val="6"/>
    </w:pPr>
    <w:rPr>
      <w:rFonts w:ascii="Times New Roman" w:hAnsi="Times New Roman"/>
    </w:rPr>
  </w:style>
  <w:style w:type="paragraph" w:styleId="Heading8">
    <w:name w:val="heading 8"/>
    <w:basedOn w:val="Normal"/>
    <w:next w:val="Normal"/>
    <w:link w:val="Heading8Char"/>
    <w:uiPriority w:val="9"/>
    <w:unhideWhenUsed/>
    <w:qFormat/>
    <w:rsid w:val="009F34FA"/>
    <w:pPr>
      <w:spacing w:after="60"/>
      <w:ind w:left="1440" w:hanging="1440"/>
      <w:outlineLvl w:val="7"/>
    </w:pPr>
    <w:rPr>
      <w:rFonts w:ascii="Times New Roman" w:hAnsi="Times New Roman"/>
      <w:i/>
      <w:iCs/>
    </w:rPr>
  </w:style>
  <w:style w:type="paragraph" w:styleId="Heading9">
    <w:name w:val="heading 9"/>
    <w:basedOn w:val="Normal"/>
    <w:next w:val="Normal"/>
    <w:link w:val="Heading9Char"/>
    <w:uiPriority w:val="9"/>
    <w:unhideWhenUsed/>
    <w:qFormat/>
    <w:rsid w:val="009F34FA"/>
    <w:pPr>
      <w:spacing w:after="60"/>
      <w:ind w:left="1584" w:hanging="1584"/>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AA58D2"/>
    <w:pPr>
      <w:keepLines/>
      <w:pageBreakBefore w:val="0"/>
      <w:pBdr>
        <w:top w:val="none" w:sz="0" w:space="0" w:color="auto"/>
      </w:pBdr>
      <w:suppressAutoHyphens w:val="0"/>
      <w:autoSpaceDE/>
      <w:autoSpaceDN/>
      <w:adjustRightInd/>
      <w:spacing w:after="0" w:line="259" w:lineRule="auto"/>
      <w:ind w:left="0" w:firstLine="0"/>
      <w:textAlignment w:val="auto"/>
      <w:outlineLvl w:val="9"/>
    </w:pPr>
    <w:rPr>
      <w:rFonts w:asciiTheme="majorHAnsi" w:eastAsiaTheme="majorEastAsia" w:hAnsiTheme="majorHAnsi" w:cstheme="majorBidi"/>
      <w:b w:val="0"/>
      <w:iCs w:val="0"/>
      <w:caps w:val="0"/>
      <w:color w:val="2E74B5" w:themeColor="accent1" w:themeShade="BF"/>
      <w:position w:val="0"/>
      <w:szCs w:val="32"/>
      <w:lang w:val="en-US" w:eastAsia="en-US"/>
    </w:rPr>
  </w:style>
  <w:style w:type="paragraph" w:customStyle="1" w:styleId="Body">
    <w:name w:val="Body"/>
    <w:basedOn w:val="Normal"/>
    <w:uiPriority w:val="3"/>
    <w:rsid w:val="001112B5"/>
    <w:pPr>
      <w:widowControl w:val="0"/>
      <w:autoSpaceDE w:val="0"/>
      <w:autoSpaceDN w:val="0"/>
      <w:adjustRightInd w:val="0"/>
      <w:spacing w:beforeAutospacing="1" w:afterAutospacing="1" w:line="240" w:lineRule="atLeast"/>
      <w:ind w:left="680"/>
      <w:textAlignment w:val="center"/>
    </w:pPr>
    <w:rPr>
      <w:rFonts w:cs="Myriad Pro"/>
      <w:szCs w:val="24"/>
    </w:rPr>
  </w:style>
  <w:style w:type="paragraph" w:styleId="Footer">
    <w:name w:val="footer"/>
    <w:basedOn w:val="Normal"/>
    <w:link w:val="FooterChar"/>
    <w:uiPriority w:val="99"/>
    <w:rsid w:val="004B4022"/>
    <w:pPr>
      <w:tabs>
        <w:tab w:val="right" w:pos="170"/>
        <w:tab w:val="left" w:pos="397"/>
      </w:tabs>
      <w:ind w:left="-142"/>
    </w:pPr>
    <w:rPr>
      <w:b/>
      <w:bCs/>
      <w:color w:val="5F5F5F"/>
      <w:sz w:val="20"/>
      <w:szCs w:val="20"/>
      <w:lang w:val="en-US"/>
    </w:rPr>
  </w:style>
  <w:style w:type="paragraph" w:styleId="TOC1">
    <w:name w:val="toc 1"/>
    <w:basedOn w:val="Normal"/>
    <w:next w:val="Normal"/>
    <w:autoRedefine/>
    <w:uiPriority w:val="39"/>
    <w:rsid w:val="001F5441"/>
    <w:pPr>
      <w:tabs>
        <w:tab w:val="left" w:pos="440"/>
        <w:tab w:val="right" w:leader="dot" w:pos="9061"/>
      </w:tabs>
      <w:spacing w:after="0" w:line="240" w:lineRule="auto"/>
      <w:ind w:left="442" w:hanging="442"/>
    </w:pPr>
    <w:rPr>
      <w:b/>
      <w:color w:val="BE1D2D"/>
      <w:sz w:val="28"/>
    </w:rPr>
  </w:style>
  <w:style w:type="paragraph" w:styleId="DocumentMap">
    <w:name w:val="Document Map"/>
    <w:basedOn w:val="Normal"/>
    <w:link w:val="DocumentMapChar"/>
    <w:semiHidden/>
    <w:rsid w:val="00306774"/>
    <w:pPr>
      <w:shd w:val="clear" w:color="auto" w:fill="000080"/>
    </w:pPr>
    <w:rPr>
      <w:rFonts w:ascii="Tahoma" w:hAnsi="Tahoma" w:cs="Tahoma"/>
      <w:sz w:val="20"/>
      <w:szCs w:val="20"/>
    </w:rPr>
  </w:style>
  <w:style w:type="paragraph" w:styleId="TOC2">
    <w:name w:val="toc 2"/>
    <w:basedOn w:val="Normal"/>
    <w:next w:val="Normal"/>
    <w:autoRedefine/>
    <w:uiPriority w:val="39"/>
    <w:rsid w:val="00EC78D6"/>
    <w:pPr>
      <w:tabs>
        <w:tab w:val="left" w:pos="1077"/>
        <w:tab w:val="right" w:leader="dot" w:pos="9061"/>
      </w:tabs>
      <w:spacing w:before="120" w:after="60" w:line="240" w:lineRule="auto"/>
      <w:ind w:left="1077" w:hanging="635"/>
    </w:pPr>
  </w:style>
  <w:style w:type="paragraph" w:styleId="TOC3">
    <w:name w:val="toc 3"/>
    <w:basedOn w:val="Normal"/>
    <w:next w:val="Normal"/>
    <w:autoRedefine/>
    <w:uiPriority w:val="39"/>
    <w:rsid w:val="00EC78D6"/>
    <w:pPr>
      <w:tabs>
        <w:tab w:val="left" w:pos="1871"/>
        <w:tab w:val="right" w:leader="dot" w:pos="9061"/>
      </w:tabs>
      <w:spacing w:before="80" w:after="80" w:line="240" w:lineRule="auto"/>
      <w:ind w:left="1871" w:hanging="794"/>
    </w:pPr>
  </w:style>
  <w:style w:type="paragraph" w:styleId="Header">
    <w:name w:val="header"/>
    <w:basedOn w:val="Normal"/>
    <w:link w:val="HeaderChar"/>
    <w:uiPriority w:val="99"/>
    <w:rsid w:val="00435DE4"/>
    <w:pPr>
      <w:tabs>
        <w:tab w:val="center" w:pos="4536"/>
        <w:tab w:val="right" w:pos="9072"/>
      </w:tabs>
      <w:spacing w:before="0" w:after="0" w:line="240" w:lineRule="auto"/>
    </w:pPr>
  </w:style>
  <w:style w:type="character" w:styleId="Hyperlink">
    <w:name w:val="Hyperlink"/>
    <w:uiPriority w:val="99"/>
    <w:rsid w:val="00325841"/>
    <w:rPr>
      <w:noProof/>
      <w:color w:val="0000FF"/>
      <w:u w:val="single"/>
    </w:rPr>
  </w:style>
  <w:style w:type="character" w:customStyle="1" w:styleId="HeaderChar">
    <w:name w:val="Header Char"/>
    <w:basedOn w:val="DefaultParagraphFont"/>
    <w:link w:val="Header"/>
    <w:uiPriority w:val="99"/>
    <w:rsid w:val="00CD381C"/>
  </w:style>
  <w:style w:type="paragraph" w:styleId="BodyText">
    <w:name w:val="Body Text"/>
    <w:basedOn w:val="Normal"/>
    <w:link w:val="BodyTextChar"/>
    <w:uiPriority w:val="3"/>
    <w:rsid w:val="001112B5"/>
    <w:pPr>
      <w:spacing w:before="100" w:beforeAutospacing="1" w:after="100" w:afterAutospacing="1"/>
    </w:pPr>
    <w:rPr>
      <w:rFonts w:cs="Arial"/>
      <w:szCs w:val="24"/>
    </w:rPr>
  </w:style>
  <w:style w:type="character" w:customStyle="1" w:styleId="BodyTextChar">
    <w:name w:val="Body Text Char"/>
    <w:link w:val="BodyText"/>
    <w:uiPriority w:val="3"/>
    <w:rsid w:val="00CD381C"/>
    <w:rPr>
      <w:rFonts w:cs="Arial"/>
      <w:szCs w:val="24"/>
    </w:rPr>
  </w:style>
  <w:style w:type="character" w:styleId="FootnoteReference">
    <w:name w:val="footnote reference"/>
    <w:aliases w:val="Footnote symbol,Fussnota,Footnote,Footnote reference number,note TESI,SUPERS,EN Footnote Reference,-E Fußnotenzeichen,ESPON Footnote No,number,Times 10 Point,Exposant 3 Point,Footnote Reference_LVL6,Footnote Reference_LVL61,BVI fnr"/>
    <w:uiPriority w:val="99"/>
    <w:rsid w:val="001450CB"/>
    <w:rPr>
      <w:rFonts w:ascii="Arial" w:hAnsi="Arial"/>
      <w:position w:val="0"/>
      <w:sz w:val="22"/>
      <w:vertAlign w:val="superscript"/>
    </w:rPr>
  </w:style>
  <w:style w:type="paragraph" w:styleId="FootnoteText">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FootnoteTextChar"/>
    <w:uiPriority w:val="99"/>
    <w:qFormat/>
    <w:rsid w:val="00FB7D25"/>
    <w:pPr>
      <w:spacing w:before="0" w:after="0" w:line="240" w:lineRule="auto"/>
    </w:pPr>
    <w:rPr>
      <w:sz w:val="16"/>
      <w:szCs w:val="20"/>
      <w:lang w:eastAsia="en-US"/>
    </w:rPr>
  </w:style>
  <w:style w:type="paragraph" w:styleId="E-mailSignature">
    <w:name w:val="E-mail Signature"/>
    <w:basedOn w:val="Normal"/>
    <w:link w:val="E-mailSignatureChar"/>
    <w:semiHidden/>
    <w:rsid w:val="009F34FA"/>
    <w:rPr>
      <w:rFonts w:ascii="Times New Roman" w:hAnsi="Times New Roman"/>
    </w:rPr>
  </w:style>
  <w:style w:type="paragraph" w:styleId="HTMLAddress">
    <w:name w:val="HTML Address"/>
    <w:basedOn w:val="Normal"/>
    <w:link w:val="HTMLAddressChar"/>
    <w:semiHidden/>
    <w:rsid w:val="009F34FA"/>
    <w:rPr>
      <w:rFonts w:ascii="Times New Roman" w:hAnsi="Times New Roman"/>
      <w:i/>
      <w:iCs/>
    </w:rPr>
  </w:style>
  <w:style w:type="paragraph" w:styleId="HTMLPreformatted">
    <w:name w:val="HTML Preformatted"/>
    <w:basedOn w:val="Normal"/>
    <w:link w:val="HTMLPreformattedChar"/>
    <w:semiHidden/>
    <w:rsid w:val="009F34FA"/>
    <w:rPr>
      <w:rFonts w:ascii="Courier New" w:hAnsi="Courier New" w:cs="Courier New"/>
      <w:sz w:val="20"/>
      <w:szCs w:val="20"/>
    </w:rPr>
  </w:style>
  <w:style w:type="character" w:styleId="PageNumber">
    <w:name w:val="page number"/>
    <w:basedOn w:val="DefaultParagraphFont"/>
    <w:uiPriority w:val="3"/>
    <w:rsid w:val="009F34FA"/>
  </w:style>
  <w:style w:type="paragraph" w:customStyle="1" w:styleId="Izvor">
    <w:name w:val="Izvor"/>
    <w:basedOn w:val="Normal"/>
    <w:link w:val="IzvorChar"/>
    <w:rsid w:val="005F4F6A"/>
    <w:pPr>
      <w:spacing w:before="100" w:beforeAutospacing="1" w:after="100" w:afterAutospacing="1"/>
      <w:jc w:val="center"/>
    </w:pPr>
    <w:rPr>
      <w:rFonts w:cs="Arial"/>
      <w:i/>
      <w:sz w:val="20"/>
    </w:rPr>
  </w:style>
  <w:style w:type="paragraph" w:customStyle="1" w:styleId="Naslovstudije">
    <w:name w:val="Naslov studije"/>
    <w:basedOn w:val="Normal"/>
    <w:uiPriority w:val="3"/>
    <w:rsid w:val="008C01E8"/>
    <w:rPr>
      <w:rFonts w:cs="Arial"/>
      <w:b/>
      <w:color w:val="BE1D2D"/>
      <w:sz w:val="36"/>
      <w:szCs w:val="36"/>
    </w:rPr>
  </w:style>
  <w:style w:type="paragraph" w:customStyle="1" w:styleId="Naslovslika">
    <w:name w:val="Naslov slika"/>
    <w:basedOn w:val="Normal"/>
    <w:link w:val="NaslovslikaChar"/>
    <w:uiPriority w:val="99"/>
    <w:qFormat/>
    <w:rsid w:val="00CC0208"/>
    <w:pPr>
      <w:tabs>
        <w:tab w:val="left" w:pos="1021"/>
      </w:tabs>
      <w:spacing w:before="120" w:after="360"/>
      <w:ind w:left="1021" w:hanging="1021"/>
      <w:jc w:val="center"/>
    </w:pPr>
    <w:rPr>
      <w:b/>
      <w:sz w:val="20"/>
      <w:szCs w:val="28"/>
    </w:rPr>
  </w:style>
  <w:style w:type="paragraph" w:styleId="TableofFigures">
    <w:name w:val="table of figures"/>
    <w:basedOn w:val="Normal"/>
    <w:next w:val="Normal"/>
    <w:uiPriority w:val="99"/>
    <w:rsid w:val="00A51256"/>
    <w:pPr>
      <w:tabs>
        <w:tab w:val="left" w:pos="1247"/>
        <w:tab w:val="right" w:leader="dot" w:pos="9061"/>
      </w:tabs>
      <w:spacing w:before="120" w:line="240" w:lineRule="auto"/>
      <w:ind w:left="1247" w:hanging="1247"/>
    </w:pPr>
  </w:style>
  <w:style w:type="paragraph" w:customStyle="1" w:styleId="Literatura">
    <w:name w:val="Literatura"/>
    <w:basedOn w:val="Normal"/>
    <w:link w:val="LiteraturaCharChar"/>
    <w:uiPriority w:val="3"/>
    <w:rsid w:val="005F4F6A"/>
    <w:pPr>
      <w:numPr>
        <w:numId w:val="1"/>
      </w:numPr>
      <w:spacing w:before="100" w:beforeAutospacing="1" w:after="240"/>
    </w:pPr>
    <w:rPr>
      <w:rFonts w:cs="Arial"/>
    </w:rPr>
  </w:style>
  <w:style w:type="paragraph" w:customStyle="1" w:styleId="Naslovtablica">
    <w:name w:val="Naslov tablica"/>
    <w:basedOn w:val="Normal"/>
    <w:uiPriority w:val="1"/>
    <w:qFormat/>
    <w:rsid w:val="0065394E"/>
    <w:pPr>
      <w:keepNext/>
      <w:tabs>
        <w:tab w:val="left" w:pos="1247"/>
      </w:tabs>
      <w:spacing w:before="360"/>
      <w:ind w:left="1247" w:hanging="1247"/>
      <w:jc w:val="center"/>
    </w:pPr>
    <w:rPr>
      <w:rFonts w:cs="Arial"/>
      <w:b/>
      <w:sz w:val="20"/>
    </w:rPr>
  </w:style>
  <w:style w:type="paragraph" w:customStyle="1" w:styleId="zaglavlje">
    <w:name w:val="zaglavlje"/>
    <w:basedOn w:val="Normal"/>
    <w:uiPriority w:val="3"/>
    <w:rsid w:val="009F34FA"/>
    <w:pPr>
      <w:numPr>
        <w:numId w:val="2"/>
      </w:numPr>
      <w:tabs>
        <w:tab w:val="clear" w:pos="357"/>
      </w:tabs>
      <w:ind w:left="0" w:firstLine="0"/>
    </w:pPr>
    <w:rPr>
      <w:b/>
      <w:color w:val="808080"/>
      <w:sz w:val="16"/>
    </w:rPr>
  </w:style>
  <w:style w:type="paragraph" w:customStyle="1" w:styleId="Podnoje1">
    <w:name w:val="Podnožje 1"/>
    <w:basedOn w:val="Normal"/>
    <w:uiPriority w:val="3"/>
    <w:rsid w:val="009F34FA"/>
    <w:rPr>
      <w:sz w:val="20"/>
    </w:rPr>
  </w:style>
  <w:style w:type="character" w:customStyle="1" w:styleId="FooterChar">
    <w:name w:val="Footer Char"/>
    <w:basedOn w:val="DefaultParagraphFont"/>
    <w:link w:val="Footer"/>
    <w:uiPriority w:val="99"/>
    <w:rsid w:val="00CD381C"/>
    <w:rPr>
      <w:b/>
      <w:bCs/>
      <w:color w:val="5F5F5F"/>
      <w:sz w:val="20"/>
      <w:szCs w:val="20"/>
      <w:lang w:val="en-US"/>
    </w:rPr>
  </w:style>
  <w:style w:type="table" w:styleId="TableGrid">
    <w:name w:val="Table Grid"/>
    <w:basedOn w:val="TableNormal"/>
    <w:uiPriority w:val="39"/>
    <w:rsid w:val="007B70FD"/>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styleId="CommentReference">
    <w:name w:val="annotation reference"/>
    <w:uiPriority w:val="99"/>
    <w:rsid w:val="00434D5D"/>
    <w:rPr>
      <w:sz w:val="16"/>
      <w:szCs w:val="16"/>
    </w:rPr>
  </w:style>
  <w:style w:type="paragraph" w:styleId="CommentText">
    <w:name w:val="annotation text"/>
    <w:basedOn w:val="Normal"/>
    <w:link w:val="CommentTextChar"/>
    <w:uiPriority w:val="99"/>
    <w:rsid w:val="00434D5D"/>
    <w:pPr>
      <w:widowControl w:val="0"/>
      <w:ind w:firstLine="720"/>
    </w:pPr>
    <w:rPr>
      <w:rFonts w:ascii="Times New Roman" w:hAnsi="Times New Roman"/>
      <w:sz w:val="20"/>
      <w:szCs w:val="20"/>
      <w:lang w:val="en-US" w:eastAsia="ru-RU"/>
    </w:rPr>
  </w:style>
  <w:style w:type="numbering" w:styleId="1ai">
    <w:name w:val="Outline List 1"/>
    <w:basedOn w:val="NoList"/>
    <w:semiHidden/>
    <w:rsid w:val="00C76204"/>
    <w:pPr>
      <w:numPr>
        <w:numId w:val="9"/>
      </w:numPr>
    </w:pPr>
  </w:style>
  <w:style w:type="numbering" w:customStyle="1" w:styleId="StyleBulleted">
    <w:name w:val="Style Bulleted"/>
    <w:basedOn w:val="NoList"/>
    <w:rsid w:val="00647F8D"/>
    <w:pPr>
      <w:numPr>
        <w:numId w:val="7"/>
      </w:numPr>
    </w:pPr>
  </w:style>
  <w:style w:type="paragraph" w:styleId="ListParagraph">
    <w:name w:val="List Paragraph"/>
    <w:aliases w:val="REPORT Bullet,Nabrajanje,Tocka,List Paragraph1,KiF bullets,UNIZG_ALU_bullet,Lettre d'introduction,FM,Akapit z listą BS,Bullet1,References,List Paragraph (numbered (a)),List_Paragraph,Multilevel para_II,Yellow Bullet,Normal bullet 2,Dot pt"/>
    <w:basedOn w:val="Normal"/>
    <w:link w:val="ListParagraphChar"/>
    <w:uiPriority w:val="34"/>
    <w:qFormat/>
    <w:rsid w:val="00B86E78"/>
    <w:pPr>
      <w:tabs>
        <w:tab w:val="left" w:pos="431"/>
      </w:tabs>
      <w:spacing w:before="0" w:line="240" w:lineRule="auto"/>
    </w:pPr>
    <w:rPr>
      <w:rFonts w:cs="Tahoma"/>
      <w:lang w:eastAsia="ar-SA"/>
    </w:rPr>
  </w:style>
  <w:style w:type="character" w:customStyle="1" w:styleId="CommentTextChar">
    <w:name w:val="Comment Text Char"/>
    <w:link w:val="CommentText"/>
    <w:uiPriority w:val="99"/>
    <w:locked/>
    <w:rsid w:val="00914F8E"/>
    <w:rPr>
      <w:lang w:val="en-US" w:eastAsia="ru-RU" w:bidi="ar-SA"/>
    </w:rPr>
  </w:style>
  <w:style w:type="paragraph" w:styleId="CommentSubject">
    <w:name w:val="annotation subject"/>
    <w:basedOn w:val="CommentText"/>
    <w:next w:val="CommentText"/>
    <w:link w:val="CommentSubjectChar"/>
    <w:uiPriority w:val="99"/>
    <w:semiHidden/>
    <w:rsid w:val="00BB4745"/>
    <w:pPr>
      <w:widowControl/>
      <w:ind w:firstLine="0"/>
    </w:pPr>
    <w:rPr>
      <w:rFonts w:ascii="Myriad Pro" w:hAnsi="Myriad Pro" w:cs="Myriad Pro"/>
      <w:b/>
      <w:bCs/>
      <w:lang w:val="en-GB" w:eastAsia="de-DE"/>
    </w:rPr>
  </w:style>
  <w:style w:type="character" w:customStyle="1" w:styleId="Heading6Char">
    <w:name w:val="Heading 6 Char"/>
    <w:link w:val="Heading6"/>
    <w:uiPriority w:val="9"/>
    <w:rsid w:val="00CD381C"/>
    <w:rPr>
      <w:bCs/>
      <w:i/>
    </w:rPr>
  </w:style>
  <w:style w:type="paragraph" w:styleId="TOC5">
    <w:name w:val="toc 5"/>
    <w:basedOn w:val="Normal"/>
    <w:next w:val="Normal"/>
    <w:autoRedefine/>
    <w:uiPriority w:val="39"/>
    <w:rsid w:val="00652E19"/>
    <w:pPr>
      <w:ind w:left="880"/>
    </w:pPr>
  </w:style>
  <w:style w:type="paragraph" w:styleId="TOC6">
    <w:name w:val="toc 6"/>
    <w:basedOn w:val="Normal"/>
    <w:next w:val="Normal"/>
    <w:autoRedefine/>
    <w:uiPriority w:val="39"/>
    <w:rsid w:val="00652E19"/>
    <w:pPr>
      <w:ind w:left="1100"/>
    </w:pPr>
  </w:style>
  <w:style w:type="character" w:customStyle="1" w:styleId="Heading2Char">
    <w:name w:val="Heading 2 Char"/>
    <w:link w:val="Heading2"/>
    <w:uiPriority w:val="9"/>
    <w:rsid w:val="00DA1995"/>
    <w:rPr>
      <w:rFonts w:cs="Myriad Pro Cond"/>
      <w:b/>
      <w:bCs/>
      <w:color w:val="5B9BD5" w:themeColor="accent1"/>
      <w:sz w:val="28"/>
      <w:szCs w:val="36"/>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
    <w:link w:val="FootnoteText"/>
    <w:uiPriority w:val="99"/>
    <w:qFormat/>
    <w:rsid w:val="00FB7D25"/>
    <w:rPr>
      <w:sz w:val="16"/>
      <w:szCs w:val="20"/>
      <w:lang w:eastAsia="en-US"/>
    </w:rPr>
  </w:style>
  <w:style w:type="character" w:customStyle="1" w:styleId="Heading3Char">
    <w:name w:val="Heading 3 Char"/>
    <w:link w:val="Heading3"/>
    <w:uiPriority w:val="9"/>
    <w:rsid w:val="00302043"/>
    <w:rPr>
      <w:b/>
      <w:bCs/>
      <w:iCs/>
      <w:color w:val="BE1D2D"/>
      <w:sz w:val="24"/>
    </w:rPr>
  </w:style>
  <w:style w:type="paragraph" w:customStyle="1" w:styleId="Slike">
    <w:name w:val="Slike"/>
    <w:basedOn w:val="Normal"/>
    <w:uiPriority w:val="3"/>
    <w:qFormat/>
    <w:rsid w:val="00376620"/>
    <w:pPr>
      <w:keepNext/>
      <w:suppressAutoHyphens w:val="0"/>
      <w:spacing w:before="120" w:after="240" w:line="240" w:lineRule="auto"/>
      <w:jc w:val="center"/>
    </w:pPr>
    <w:rPr>
      <w:bCs/>
      <w:i/>
      <w:sz w:val="20"/>
      <w:szCs w:val="20"/>
    </w:rPr>
  </w:style>
  <w:style w:type="character" w:customStyle="1" w:styleId="Heading1Char">
    <w:name w:val="Heading 1 Char"/>
    <w:link w:val="Heading1"/>
    <w:uiPriority w:val="9"/>
    <w:rsid w:val="00381E51"/>
    <w:rPr>
      <w:b/>
      <w:iCs/>
      <w:caps/>
      <w:color w:val="BE1D2D"/>
      <w:position w:val="24"/>
      <w:sz w:val="32"/>
      <w:szCs w:val="48"/>
    </w:rPr>
  </w:style>
  <w:style w:type="paragraph" w:styleId="Revision">
    <w:name w:val="Revision"/>
    <w:hidden/>
    <w:uiPriority w:val="99"/>
    <w:semiHidden/>
    <w:rsid w:val="0070389E"/>
    <w:rPr>
      <w:rFonts w:cs="Myriad Pro"/>
      <w:szCs w:val="24"/>
      <w:lang w:eastAsia="de-DE"/>
    </w:rPr>
  </w:style>
  <w:style w:type="table" w:customStyle="1" w:styleId="Svijetlatablicareetke11">
    <w:name w:val="Svijetla tablica rešetke 11"/>
    <w:basedOn w:val="TableNormal"/>
    <w:uiPriority w:val="46"/>
    <w:rsid w:val="007D74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DE76F5"/>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1">
    <w:name w:val="Style1"/>
    <w:basedOn w:val="Normal"/>
    <w:link w:val="Style1Char"/>
    <w:rsid w:val="00386AF3"/>
    <w:pPr>
      <w:tabs>
        <w:tab w:val="left" w:pos="3960"/>
        <w:tab w:val="left" w:pos="5400"/>
      </w:tabs>
      <w:spacing w:before="0" w:line="276" w:lineRule="auto"/>
      <w:ind w:left="5398"/>
    </w:pPr>
    <w:rPr>
      <w:rFonts w:cs="Arial"/>
      <w:b/>
      <w:sz w:val="24"/>
      <w:szCs w:val="24"/>
      <w:lang w:eastAsia="de-DE"/>
    </w:rPr>
  </w:style>
  <w:style w:type="character" w:customStyle="1" w:styleId="Style1Char">
    <w:name w:val="Style1 Char"/>
    <w:link w:val="Style1"/>
    <w:rsid w:val="00386AF3"/>
    <w:rPr>
      <w:rFonts w:cs="Arial"/>
      <w:b/>
      <w:sz w:val="24"/>
      <w:szCs w:val="24"/>
      <w:lang w:eastAsia="de-DE"/>
    </w:rPr>
  </w:style>
  <w:style w:type="table" w:customStyle="1" w:styleId="Obinatablica11">
    <w:name w:val="Obična tablica 11"/>
    <w:basedOn w:val="TableNormal"/>
    <w:uiPriority w:val="41"/>
    <w:rsid w:val="006A34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aliases w:val="Figures,Map,Map Char Char Char,Map Char Char,Tabellen,Char"/>
    <w:basedOn w:val="Naslovslika"/>
    <w:next w:val="Normal"/>
    <w:link w:val="CaptionChar"/>
    <w:qFormat/>
    <w:rsid w:val="00F149EB"/>
    <w:pPr>
      <w:spacing w:after="120"/>
    </w:pPr>
  </w:style>
  <w:style w:type="character" w:customStyle="1" w:styleId="LiteraturaCharChar">
    <w:name w:val="Literatura Char Char"/>
    <w:link w:val="Literatura"/>
    <w:uiPriority w:val="3"/>
    <w:rsid w:val="00990A6F"/>
    <w:rPr>
      <w:rFonts w:cs="Arial"/>
    </w:rPr>
  </w:style>
  <w:style w:type="character" w:styleId="FollowedHyperlink">
    <w:name w:val="FollowedHyperlink"/>
    <w:basedOn w:val="DefaultParagraphFont"/>
    <w:semiHidden/>
    <w:unhideWhenUsed/>
    <w:rsid w:val="00990A6F"/>
    <w:rPr>
      <w:color w:val="954F72" w:themeColor="followedHyperlink"/>
      <w:u w:val="single"/>
    </w:rPr>
  </w:style>
  <w:style w:type="paragraph" w:customStyle="1" w:styleId="StyleNaslovstudije14pt">
    <w:name w:val="Style Naslov studije + 14 pt"/>
    <w:basedOn w:val="Naslovstudije"/>
    <w:link w:val="StyleNaslovstudije14ptChar"/>
    <w:rsid w:val="004305EC"/>
    <w:pPr>
      <w:suppressAutoHyphens w:val="0"/>
      <w:spacing w:before="0" w:after="0" w:line="240" w:lineRule="auto"/>
    </w:pPr>
    <w:rPr>
      <w:bCs/>
      <w:color w:val="auto"/>
      <w:sz w:val="28"/>
    </w:rPr>
  </w:style>
  <w:style w:type="character" w:customStyle="1" w:styleId="StyleNaslovstudije14ptChar">
    <w:name w:val="Style Naslov studije + 14 pt Char"/>
    <w:link w:val="StyleNaslovstudije14pt"/>
    <w:rsid w:val="004305EC"/>
    <w:rPr>
      <w:rFonts w:cs="Arial"/>
      <w:b/>
      <w:bCs/>
      <w:sz w:val="28"/>
      <w:szCs w:val="36"/>
    </w:rPr>
  </w:style>
  <w:style w:type="paragraph" w:styleId="BalloonText">
    <w:name w:val="Balloon Text"/>
    <w:basedOn w:val="Normal"/>
    <w:link w:val="BalloonTextChar"/>
    <w:uiPriority w:val="99"/>
    <w:semiHidden/>
    <w:unhideWhenUsed/>
    <w:rsid w:val="002931B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1B9"/>
    <w:rPr>
      <w:rFonts w:ascii="Segoe UI" w:hAnsi="Segoe UI" w:cs="Segoe UI"/>
      <w:sz w:val="18"/>
      <w:szCs w:val="18"/>
    </w:rPr>
  </w:style>
  <w:style w:type="character" w:styleId="Strong">
    <w:name w:val="Strong"/>
    <w:basedOn w:val="DefaultParagraphFont"/>
    <w:uiPriority w:val="22"/>
    <w:qFormat/>
    <w:rsid w:val="00121DCE"/>
    <w:rPr>
      <w:b/>
      <w:bCs/>
    </w:rPr>
  </w:style>
  <w:style w:type="character" w:customStyle="1" w:styleId="apple-converted-space">
    <w:name w:val="apple-converted-space"/>
    <w:basedOn w:val="DefaultParagraphFont"/>
    <w:rsid w:val="00121DCE"/>
  </w:style>
  <w:style w:type="character" w:customStyle="1" w:styleId="CaptionChar">
    <w:name w:val="Caption Char"/>
    <w:aliases w:val="Figures Char,Map Char,Map Char Char Char Char,Map Char Char Char1,Tabellen Char,Char Char"/>
    <w:link w:val="Caption"/>
    <w:rsid w:val="00F149EB"/>
    <w:rPr>
      <w:b/>
      <w:sz w:val="20"/>
      <w:szCs w:val="28"/>
    </w:rPr>
  </w:style>
  <w:style w:type="character" w:customStyle="1" w:styleId="TekststudijeChar">
    <w:name w:val="Tekst studije Char"/>
    <w:rsid w:val="00903928"/>
    <w:rPr>
      <w:rFonts w:ascii="Arial" w:hAnsi="Arial" w:cs="Arial"/>
      <w:sz w:val="22"/>
      <w:szCs w:val="22"/>
    </w:rPr>
  </w:style>
  <w:style w:type="paragraph" w:styleId="ListBullet5">
    <w:name w:val="List Bullet 5"/>
    <w:basedOn w:val="Normal"/>
    <w:autoRedefine/>
    <w:rsid w:val="00451D29"/>
    <w:pPr>
      <w:numPr>
        <w:numId w:val="3"/>
      </w:numPr>
      <w:spacing w:before="120" w:line="276" w:lineRule="auto"/>
    </w:pPr>
    <w:rPr>
      <w:rFonts w:ascii="Times New Roman" w:hAnsi="Times New Roman"/>
      <w:szCs w:val="24"/>
    </w:rPr>
  </w:style>
  <w:style w:type="paragraph" w:styleId="PlainText">
    <w:name w:val="Plain Text"/>
    <w:basedOn w:val="Normal"/>
    <w:link w:val="PlainTextChar"/>
    <w:uiPriority w:val="99"/>
    <w:rsid w:val="00451D29"/>
    <w:pPr>
      <w:spacing w:before="120" w:line="276"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451D29"/>
    <w:rPr>
      <w:rFonts w:ascii="Courier New" w:hAnsi="Courier New" w:cs="Courier New"/>
      <w:sz w:val="20"/>
      <w:szCs w:val="20"/>
    </w:rPr>
  </w:style>
  <w:style w:type="character" w:customStyle="1" w:styleId="spelle">
    <w:name w:val="spelle"/>
    <w:basedOn w:val="DefaultParagraphFont"/>
    <w:rsid w:val="00451D29"/>
  </w:style>
  <w:style w:type="numbering" w:styleId="111111">
    <w:name w:val="Outline List 2"/>
    <w:basedOn w:val="NoList"/>
    <w:rsid w:val="000B2F63"/>
    <w:pPr>
      <w:numPr>
        <w:numId w:val="8"/>
      </w:numPr>
    </w:pPr>
  </w:style>
  <w:style w:type="paragraph" w:customStyle="1" w:styleId="Default">
    <w:name w:val="Default"/>
    <w:rsid w:val="00DC1F5E"/>
    <w:pPr>
      <w:autoSpaceDE w:val="0"/>
      <w:autoSpaceDN w:val="0"/>
      <w:adjustRightInd w:val="0"/>
    </w:pPr>
    <w:rPr>
      <w:rFonts w:cs="Arial"/>
      <w:color w:val="000000"/>
      <w:sz w:val="24"/>
      <w:szCs w:val="24"/>
    </w:rPr>
  </w:style>
  <w:style w:type="paragraph" w:styleId="NormalWeb">
    <w:name w:val="Normal (Web)"/>
    <w:basedOn w:val="Normal"/>
    <w:link w:val="NormalWebChar"/>
    <w:uiPriority w:val="99"/>
    <w:unhideWhenUsed/>
    <w:rsid w:val="000C63C2"/>
    <w:pPr>
      <w:suppressAutoHyphens w:val="0"/>
      <w:spacing w:before="100" w:beforeAutospacing="1" w:after="100" w:afterAutospacing="1" w:line="240" w:lineRule="auto"/>
      <w:jc w:val="left"/>
    </w:pPr>
    <w:rPr>
      <w:rFonts w:ascii="Times New Roman" w:hAnsi="Times New Roman"/>
      <w:sz w:val="24"/>
      <w:szCs w:val="24"/>
    </w:rPr>
  </w:style>
  <w:style w:type="table" w:customStyle="1" w:styleId="TableNormal1">
    <w:name w:val="Table Normal1"/>
    <w:uiPriority w:val="2"/>
    <w:semiHidden/>
    <w:unhideWhenUsed/>
    <w:qFormat/>
    <w:rsid w:val="00DE1711"/>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1711"/>
    <w:pPr>
      <w:widowControl w:val="0"/>
      <w:suppressAutoHyphens w:val="0"/>
      <w:spacing w:before="0" w:after="0" w:line="240" w:lineRule="auto"/>
      <w:jc w:val="left"/>
    </w:pPr>
    <w:rPr>
      <w:rFonts w:asciiTheme="minorHAnsi" w:eastAsiaTheme="minorHAnsi" w:hAnsiTheme="minorHAnsi" w:cstheme="minorBidi"/>
      <w:lang w:val="en-US" w:eastAsia="en-US"/>
    </w:rPr>
  </w:style>
  <w:style w:type="paragraph" w:customStyle="1" w:styleId="Sadraj">
    <w:name w:val="Sadržaj"/>
    <w:basedOn w:val="Normal"/>
    <w:qFormat/>
    <w:rsid w:val="004E0186"/>
    <w:pPr>
      <w:pBdr>
        <w:top w:val="single" w:sz="48" w:space="5" w:color="F5C1C6"/>
      </w:pBdr>
      <w:spacing w:before="120" w:after="320" w:line="240" w:lineRule="auto"/>
    </w:pPr>
    <w:rPr>
      <w:b/>
      <w:caps/>
      <w:color w:val="BE1D2D"/>
      <w:sz w:val="32"/>
    </w:rPr>
  </w:style>
  <w:style w:type="paragraph" w:customStyle="1" w:styleId="Naslovslike">
    <w:name w:val="Naslov slike"/>
    <w:basedOn w:val="Normal"/>
    <w:link w:val="NaslovslikeChar"/>
    <w:qFormat/>
    <w:rsid w:val="00434A94"/>
    <w:pPr>
      <w:suppressAutoHyphens w:val="0"/>
      <w:spacing w:before="120" w:after="360" w:line="240" w:lineRule="auto"/>
      <w:jc w:val="center"/>
    </w:pPr>
    <w:rPr>
      <w:rFonts w:cs="Arial"/>
      <w:b/>
      <w:sz w:val="20"/>
      <w:szCs w:val="24"/>
      <w:lang w:eastAsia="en-US"/>
    </w:rPr>
  </w:style>
  <w:style w:type="character" w:customStyle="1" w:styleId="NaslovslikeChar">
    <w:name w:val="Naslov slike Char"/>
    <w:link w:val="Naslovslike"/>
    <w:rsid w:val="00434A94"/>
    <w:rPr>
      <w:rFonts w:cs="Arial"/>
      <w:b/>
      <w:sz w:val="20"/>
      <w:szCs w:val="24"/>
      <w:lang w:eastAsia="en-US"/>
    </w:rPr>
  </w:style>
  <w:style w:type="paragraph" w:customStyle="1" w:styleId="line">
    <w:name w:val="line"/>
    <w:basedOn w:val="Normal"/>
    <w:rsid w:val="00466BF8"/>
    <w:pPr>
      <w:suppressAutoHyphens w:val="0"/>
      <w:spacing w:before="100" w:beforeAutospacing="1" w:after="100" w:afterAutospacing="1" w:line="240" w:lineRule="auto"/>
      <w:jc w:val="left"/>
    </w:pPr>
    <w:rPr>
      <w:rFonts w:ascii="Times New Roman" w:hAnsi="Times New Roman"/>
      <w:sz w:val="24"/>
      <w:szCs w:val="24"/>
    </w:rPr>
  </w:style>
  <w:style w:type="paragraph" w:customStyle="1" w:styleId="bodytext0">
    <w:name w:val="bodytext"/>
    <w:basedOn w:val="Normal"/>
    <w:rsid w:val="00510B2E"/>
    <w:pPr>
      <w:suppressAutoHyphens w:val="0"/>
      <w:spacing w:before="100" w:beforeAutospacing="1" w:after="100" w:afterAutospacing="1" w:line="240" w:lineRule="auto"/>
      <w:jc w:val="left"/>
    </w:pPr>
    <w:rPr>
      <w:rFonts w:ascii="Times New Roman" w:hAnsi="Times New Roman"/>
      <w:sz w:val="24"/>
      <w:szCs w:val="24"/>
    </w:rPr>
  </w:style>
  <w:style w:type="character" w:customStyle="1" w:styleId="Heading5Char">
    <w:name w:val="Heading 5 Char"/>
    <w:basedOn w:val="DefaultParagraphFont"/>
    <w:link w:val="Heading5"/>
    <w:uiPriority w:val="9"/>
    <w:rsid w:val="002555FD"/>
    <w:rPr>
      <w:b/>
      <w:bCs/>
      <w:iCs/>
      <w:color w:val="C00000"/>
      <w:szCs w:val="26"/>
    </w:rPr>
  </w:style>
  <w:style w:type="paragraph" w:customStyle="1" w:styleId="TableofTables">
    <w:name w:val="Table of Tables"/>
    <w:basedOn w:val="TableofFigures"/>
    <w:qFormat/>
    <w:rsid w:val="00317734"/>
  </w:style>
  <w:style w:type="paragraph" w:styleId="ListBullet">
    <w:name w:val="List Bullet"/>
    <w:basedOn w:val="Normal"/>
    <w:autoRedefine/>
    <w:uiPriority w:val="99"/>
    <w:semiHidden/>
    <w:rsid w:val="003E42C4"/>
    <w:pPr>
      <w:numPr>
        <w:numId w:val="4"/>
      </w:numPr>
      <w:suppressAutoHyphens w:val="0"/>
      <w:spacing w:before="0" w:after="0" w:line="240" w:lineRule="auto"/>
      <w:jc w:val="left"/>
    </w:pPr>
    <w:rPr>
      <w:rFonts w:ascii="Times New Roman" w:hAnsi="Times New Roman"/>
      <w:sz w:val="24"/>
      <w:szCs w:val="24"/>
    </w:rPr>
  </w:style>
  <w:style w:type="table" w:customStyle="1" w:styleId="GridTable1Light2">
    <w:name w:val="Grid Table 1 Light2"/>
    <w:basedOn w:val="TableNormal"/>
    <w:next w:val="Svijetlatablicareetke11"/>
    <w:uiPriority w:val="46"/>
    <w:rsid w:val="0007533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99"/>
    <w:rsid w:val="00E1593D"/>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
    <w:name w:val="Grid Table 1 Light11"/>
    <w:basedOn w:val="TableNormal"/>
    <w:uiPriority w:val="46"/>
    <w:rsid w:val="00E1593D"/>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81">
    <w:name w:val="font81"/>
    <w:basedOn w:val="DefaultParagraphFont"/>
    <w:rsid w:val="00E94CFB"/>
    <w:rPr>
      <w:rFonts w:ascii="Calibri" w:hAnsi="Calibri" w:hint="default"/>
      <w:b w:val="0"/>
      <w:bCs w:val="0"/>
      <w:i w:val="0"/>
      <w:iCs w:val="0"/>
      <w:strike w:val="0"/>
      <w:dstrike w:val="0"/>
      <w:color w:val="000000"/>
      <w:sz w:val="22"/>
      <w:szCs w:val="22"/>
      <w:u w:val="none"/>
      <w:effect w:val="none"/>
    </w:rPr>
  </w:style>
  <w:style w:type="character" w:customStyle="1" w:styleId="NaslovslikaChar">
    <w:name w:val="Naslov slika Char"/>
    <w:link w:val="Naslovslika"/>
    <w:uiPriority w:val="99"/>
    <w:rsid w:val="006F6D8A"/>
    <w:rPr>
      <w:b/>
      <w:sz w:val="20"/>
      <w:szCs w:val="28"/>
    </w:rPr>
  </w:style>
  <w:style w:type="character" w:customStyle="1" w:styleId="IzvorChar">
    <w:name w:val="Izvor Char"/>
    <w:link w:val="Izvor"/>
    <w:rsid w:val="006F6D8A"/>
    <w:rPr>
      <w:rFonts w:cs="Arial"/>
      <w:i/>
      <w:sz w:val="20"/>
    </w:rPr>
  </w:style>
  <w:style w:type="table" w:customStyle="1" w:styleId="Obinatablica41">
    <w:name w:val="Obična tablica 41"/>
    <w:basedOn w:val="TableNormal"/>
    <w:uiPriority w:val="44"/>
    <w:rsid w:val="00F01B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vijetlareetkatablice1">
    <w:name w:val="Svijetla rešetka tablice1"/>
    <w:basedOn w:val="TableNormal"/>
    <w:uiPriority w:val="40"/>
    <w:rsid w:val="00683D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inatablica31">
    <w:name w:val="Obična tablica 31"/>
    <w:basedOn w:val="TableNormal"/>
    <w:uiPriority w:val="43"/>
    <w:rsid w:val="001A55A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TMLPreformattedChar">
    <w:name w:val="HTML Preformatted Char"/>
    <w:basedOn w:val="DefaultParagraphFont"/>
    <w:link w:val="HTMLPreformatted"/>
    <w:semiHidden/>
    <w:rsid w:val="005F1038"/>
    <w:rPr>
      <w:rFonts w:ascii="Courier New" w:hAnsi="Courier New" w:cs="Courier New"/>
      <w:sz w:val="20"/>
      <w:szCs w:val="20"/>
    </w:rPr>
  </w:style>
  <w:style w:type="character" w:customStyle="1" w:styleId="UnresolvedMention1">
    <w:name w:val="Unresolved Mention1"/>
    <w:basedOn w:val="DefaultParagraphFont"/>
    <w:uiPriority w:val="99"/>
    <w:semiHidden/>
    <w:unhideWhenUsed/>
    <w:rsid w:val="00D53011"/>
    <w:rPr>
      <w:color w:val="808080"/>
      <w:shd w:val="clear" w:color="auto" w:fill="E6E6E6"/>
    </w:rPr>
  </w:style>
  <w:style w:type="paragraph" w:styleId="EndnoteText">
    <w:name w:val="endnote text"/>
    <w:basedOn w:val="Normal"/>
    <w:link w:val="EndnoteTextChar"/>
    <w:uiPriority w:val="99"/>
    <w:unhideWhenUsed/>
    <w:rsid w:val="003C50D6"/>
    <w:pPr>
      <w:spacing w:before="0" w:after="0" w:line="240" w:lineRule="auto"/>
    </w:pPr>
    <w:rPr>
      <w:sz w:val="20"/>
      <w:szCs w:val="20"/>
    </w:rPr>
  </w:style>
  <w:style w:type="character" w:customStyle="1" w:styleId="EndnoteTextChar">
    <w:name w:val="Endnote Text Char"/>
    <w:basedOn w:val="DefaultParagraphFont"/>
    <w:link w:val="EndnoteText"/>
    <w:uiPriority w:val="99"/>
    <w:rsid w:val="003C50D6"/>
    <w:rPr>
      <w:sz w:val="20"/>
      <w:szCs w:val="20"/>
    </w:rPr>
  </w:style>
  <w:style w:type="character" w:styleId="EndnoteReference">
    <w:name w:val="endnote reference"/>
    <w:basedOn w:val="DefaultParagraphFont"/>
    <w:uiPriority w:val="99"/>
    <w:semiHidden/>
    <w:unhideWhenUsed/>
    <w:rsid w:val="003C50D6"/>
    <w:rPr>
      <w:vertAlign w:val="superscript"/>
    </w:rPr>
  </w:style>
  <w:style w:type="paragraph" w:styleId="BodyTextIndent">
    <w:name w:val="Body Text Indent"/>
    <w:basedOn w:val="Normal"/>
    <w:link w:val="BodyTextIndentChar"/>
    <w:uiPriority w:val="99"/>
    <w:unhideWhenUsed/>
    <w:rsid w:val="0090780C"/>
    <w:pPr>
      <w:suppressAutoHyphens w:val="0"/>
      <w:spacing w:before="0" w:line="240" w:lineRule="auto"/>
      <w:ind w:left="283"/>
      <w:jc w:val="left"/>
    </w:pPr>
    <w:rPr>
      <w:rFonts w:ascii="Times New Roman" w:hAnsi="Times New Roman"/>
      <w:sz w:val="24"/>
      <w:szCs w:val="24"/>
    </w:rPr>
  </w:style>
  <w:style w:type="character" w:customStyle="1" w:styleId="BodyTextIndentChar">
    <w:name w:val="Body Text Indent Char"/>
    <w:basedOn w:val="DefaultParagraphFont"/>
    <w:link w:val="BodyTextIndent"/>
    <w:uiPriority w:val="99"/>
    <w:rsid w:val="0090780C"/>
    <w:rPr>
      <w:rFonts w:ascii="Times New Roman" w:hAnsi="Times New Roman"/>
      <w:sz w:val="24"/>
      <w:szCs w:val="24"/>
    </w:rPr>
  </w:style>
  <w:style w:type="paragraph" w:customStyle="1" w:styleId="msonormal0">
    <w:name w:val="msonormal"/>
    <w:basedOn w:val="Normal"/>
    <w:rsid w:val="00965944"/>
    <w:pPr>
      <w:suppressAutoHyphens w:val="0"/>
      <w:spacing w:before="100" w:beforeAutospacing="1" w:after="100" w:afterAutospacing="1" w:line="240" w:lineRule="auto"/>
      <w:jc w:val="left"/>
    </w:pPr>
    <w:rPr>
      <w:rFonts w:ascii="Times New Roman" w:hAnsi="Times New Roman"/>
      <w:sz w:val="24"/>
      <w:szCs w:val="24"/>
    </w:rPr>
  </w:style>
  <w:style w:type="paragraph" w:styleId="NoSpacing">
    <w:name w:val="No Spacing"/>
    <w:link w:val="NoSpacingChar"/>
    <w:uiPriority w:val="1"/>
    <w:qFormat/>
    <w:rsid w:val="00965944"/>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65944"/>
    <w:rPr>
      <w:rFonts w:asciiTheme="minorHAnsi" w:eastAsiaTheme="minorEastAsia" w:hAnsiTheme="minorHAnsi" w:cstheme="minorBidi"/>
    </w:rPr>
  </w:style>
  <w:style w:type="table" w:customStyle="1" w:styleId="Svijetlatablicareetke-isticanje11">
    <w:name w:val="Svijetla tablica rešetke - isticanje 1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4F78AB"/>
    <w:rPr>
      <w:rFonts w:cs="Arial"/>
      <w:iCs/>
      <w:color w:val="BE1D2D"/>
      <w:kern w:val="32"/>
      <w:sz w:val="24"/>
      <w:szCs w:val="28"/>
    </w:rPr>
  </w:style>
  <w:style w:type="character" w:customStyle="1" w:styleId="Heading7Char">
    <w:name w:val="Heading 7 Char"/>
    <w:basedOn w:val="DefaultParagraphFont"/>
    <w:link w:val="Heading7"/>
    <w:uiPriority w:val="9"/>
    <w:rsid w:val="004F78AB"/>
    <w:rPr>
      <w:rFonts w:ascii="Times New Roman" w:hAnsi="Times New Roman"/>
    </w:rPr>
  </w:style>
  <w:style w:type="character" w:customStyle="1" w:styleId="Heading8Char">
    <w:name w:val="Heading 8 Char"/>
    <w:basedOn w:val="DefaultParagraphFont"/>
    <w:link w:val="Heading8"/>
    <w:uiPriority w:val="9"/>
    <w:rsid w:val="004F78AB"/>
    <w:rPr>
      <w:rFonts w:ascii="Times New Roman" w:hAnsi="Times New Roman"/>
      <w:i/>
      <w:iCs/>
    </w:rPr>
  </w:style>
  <w:style w:type="character" w:customStyle="1" w:styleId="Heading9Char">
    <w:name w:val="Heading 9 Char"/>
    <w:basedOn w:val="DefaultParagraphFont"/>
    <w:link w:val="Heading9"/>
    <w:uiPriority w:val="9"/>
    <w:rsid w:val="004F78AB"/>
    <w:rPr>
      <w:rFonts w:cs="Arial"/>
    </w:rPr>
  </w:style>
  <w:style w:type="character" w:customStyle="1" w:styleId="DocumentMapChar">
    <w:name w:val="Document Map Char"/>
    <w:basedOn w:val="DefaultParagraphFont"/>
    <w:link w:val="DocumentMap"/>
    <w:semiHidden/>
    <w:rsid w:val="004F78AB"/>
    <w:rPr>
      <w:rFonts w:ascii="Tahoma" w:hAnsi="Tahoma" w:cs="Tahoma"/>
      <w:sz w:val="20"/>
      <w:szCs w:val="20"/>
      <w:shd w:val="clear" w:color="auto" w:fill="000080"/>
    </w:rPr>
  </w:style>
  <w:style w:type="character" w:customStyle="1" w:styleId="E-mailSignatureChar">
    <w:name w:val="E-mail Signature Char"/>
    <w:basedOn w:val="DefaultParagraphFont"/>
    <w:link w:val="E-mailSignature"/>
    <w:semiHidden/>
    <w:rsid w:val="004F78AB"/>
    <w:rPr>
      <w:rFonts w:ascii="Times New Roman" w:hAnsi="Times New Roman"/>
    </w:rPr>
  </w:style>
  <w:style w:type="character" w:customStyle="1" w:styleId="HTMLAddressChar">
    <w:name w:val="HTML Address Char"/>
    <w:basedOn w:val="DefaultParagraphFont"/>
    <w:link w:val="HTMLAddress"/>
    <w:semiHidden/>
    <w:rsid w:val="004F78AB"/>
    <w:rPr>
      <w:rFonts w:ascii="Times New Roman" w:hAnsi="Times New Roman"/>
      <w:i/>
      <w:iCs/>
    </w:rPr>
  </w:style>
  <w:style w:type="character" w:customStyle="1" w:styleId="CommentSubjectChar">
    <w:name w:val="Comment Subject Char"/>
    <w:basedOn w:val="CommentTextChar"/>
    <w:link w:val="CommentSubject"/>
    <w:uiPriority w:val="99"/>
    <w:semiHidden/>
    <w:rsid w:val="004F78AB"/>
    <w:rPr>
      <w:rFonts w:ascii="Myriad Pro" w:hAnsi="Myriad Pro" w:cs="Myriad Pro"/>
      <w:b/>
      <w:bCs/>
      <w:sz w:val="20"/>
      <w:szCs w:val="20"/>
      <w:lang w:val="en-GB" w:eastAsia="de-DE" w:bidi="ar-SA"/>
    </w:rPr>
  </w:style>
  <w:style w:type="table" w:customStyle="1" w:styleId="GridTable1Light12">
    <w:name w:val="Grid Table 1 Light12"/>
    <w:basedOn w:val="TableNormal"/>
    <w:uiPriority w:val="46"/>
    <w:rsid w:val="004F78AB"/>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aption-tbl">
    <w:name w:val="Caption-tbl"/>
    <w:basedOn w:val="Normal"/>
    <w:next w:val="Normal"/>
    <w:rsid w:val="004F78AB"/>
    <w:pPr>
      <w:keepNext/>
      <w:suppressAutoHyphens w:val="0"/>
      <w:spacing w:before="270" w:after="90" w:line="240" w:lineRule="auto"/>
      <w:jc w:val="center"/>
    </w:pPr>
    <w:rPr>
      <w:b/>
      <w:i/>
      <w:sz w:val="20"/>
      <w:lang w:eastAsia="ko-KR"/>
    </w:rPr>
  </w:style>
  <w:style w:type="paragraph" w:styleId="Bibliography">
    <w:name w:val="Bibliography"/>
    <w:basedOn w:val="Normal"/>
    <w:next w:val="Normal"/>
    <w:uiPriority w:val="37"/>
    <w:unhideWhenUsed/>
    <w:rsid w:val="004F78AB"/>
    <w:pPr>
      <w:spacing w:before="120"/>
    </w:pPr>
  </w:style>
  <w:style w:type="numbering" w:customStyle="1" w:styleId="NoList1">
    <w:name w:val="No List1"/>
    <w:next w:val="NoList"/>
    <w:uiPriority w:val="99"/>
    <w:semiHidden/>
    <w:unhideWhenUsed/>
    <w:rsid w:val="004F78AB"/>
  </w:style>
  <w:style w:type="paragraph" w:customStyle="1" w:styleId="Bullets">
    <w:name w:val="Bullets"/>
    <w:basedOn w:val="Normal"/>
    <w:rsid w:val="004F78AB"/>
    <w:pPr>
      <w:numPr>
        <w:numId w:val="5"/>
      </w:numPr>
      <w:suppressAutoHyphens w:val="0"/>
      <w:spacing w:before="90" w:after="90" w:line="240" w:lineRule="auto"/>
    </w:pPr>
    <w:rPr>
      <w:rFonts w:cs="Arial"/>
      <w:lang w:eastAsia="ko-KR"/>
    </w:rPr>
  </w:style>
  <w:style w:type="paragraph" w:customStyle="1" w:styleId="Caption-sl">
    <w:name w:val="Caption-sl"/>
    <w:basedOn w:val="Caption"/>
    <w:next w:val="Normal"/>
    <w:link w:val="Caption-slChar"/>
    <w:rsid w:val="004F78AB"/>
    <w:pPr>
      <w:tabs>
        <w:tab w:val="clear" w:pos="1021"/>
      </w:tabs>
      <w:suppressAutoHyphens w:val="0"/>
      <w:spacing w:before="0" w:after="270" w:line="240" w:lineRule="auto"/>
      <w:ind w:left="0" w:firstLine="0"/>
    </w:pPr>
    <w:rPr>
      <w:i/>
      <w:szCs w:val="20"/>
      <w:lang w:eastAsia="ko-KR"/>
    </w:rPr>
  </w:style>
  <w:style w:type="character" w:customStyle="1" w:styleId="Caption-slChar">
    <w:name w:val="Caption-sl Char"/>
    <w:basedOn w:val="DefaultParagraphFont"/>
    <w:link w:val="Caption-sl"/>
    <w:rsid w:val="004F78AB"/>
    <w:rPr>
      <w:b/>
      <w:i/>
      <w:sz w:val="20"/>
      <w:szCs w:val="20"/>
      <w:lang w:eastAsia="ko-KR"/>
    </w:rPr>
  </w:style>
  <w:style w:type="paragraph" w:styleId="BodyText3">
    <w:name w:val="Body Text 3"/>
    <w:basedOn w:val="Normal"/>
    <w:link w:val="BodyText3Char"/>
    <w:semiHidden/>
    <w:rsid w:val="004F78AB"/>
    <w:pPr>
      <w:suppressAutoHyphens w:val="0"/>
      <w:spacing w:before="0" w:line="240" w:lineRule="auto"/>
      <w:jc w:val="left"/>
    </w:pPr>
    <w:rPr>
      <w:rFonts w:ascii="Times New Roman" w:hAnsi="Times New Roman"/>
      <w:sz w:val="16"/>
      <w:szCs w:val="16"/>
    </w:rPr>
  </w:style>
  <w:style w:type="character" w:customStyle="1" w:styleId="BodyText3Char">
    <w:name w:val="Body Text 3 Char"/>
    <w:basedOn w:val="DefaultParagraphFont"/>
    <w:link w:val="BodyText3"/>
    <w:semiHidden/>
    <w:rsid w:val="004F78AB"/>
    <w:rPr>
      <w:rFonts w:ascii="Times New Roman" w:hAnsi="Times New Roman"/>
      <w:sz w:val="16"/>
      <w:szCs w:val="16"/>
    </w:rPr>
  </w:style>
  <w:style w:type="paragraph" w:styleId="BlockText">
    <w:name w:val="Block Text"/>
    <w:basedOn w:val="Normal"/>
    <w:semiHidden/>
    <w:rsid w:val="004F78AB"/>
    <w:pPr>
      <w:suppressAutoHyphens w:val="0"/>
      <w:spacing w:before="0" w:line="240" w:lineRule="auto"/>
      <w:ind w:left="1440" w:right="1440"/>
      <w:jc w:val="left"/>
    </w:pPr>
    <w:rPr>
      <w:rFonts w:ascii="Times New Roman" w:hAnsi="Times New Roman"/>
      <w:sz w:val="24"/>
      <w:szCs w:val="24"/>
    </w:rPr>
  </w:style>
  <w:style w:type="table" w:customStyle="1" w:styleId="TableGrid2">
    <w:name w:val="Table Grid2"/>
    <w:basedOn w:val="TableNormal"/>
    <w:next w:val="TableGrid"/>
    <w:uiPriority w:val="39"/>
    <w:rsid w:val="004F7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4F78AB"/>
  </w:style>
  <w:style w:type="paragraph" w:customStyle="1" w:styleId="fusnota">
    <w:name w:val="fusnota"/>
    <w:basedOn w:val="FootnoteText"/>
    <w:link w:val="fusnotaChar"/>
    <w:rsid w:val="004F78AB"/>
    <w:pPr>
      <w:suppressAutoHyphens w:val="0"/>
      <w:spacing w:before="120" w:after="60"/>
    </w:pPr>
    <w:rPr>
      <w:rFonts w:cs="Arial"/>
      <w:sz w:val="18"/>
      <w:lang w:eastAsia="hr-HR"/>
    </w:rPr>
  </w:style>
  <w:style w:type="character" w:customStyle="1" w:styleId="fusnotaChar">
    <w:name w:val="fusnota Char"/>
    <w:link w:val="fusnota"/>
    <w:rsid w:val="004F78AB"/>
    <w:rPr>
      <w:rFonts w:cs="Arial"/>
      <w:sz w:val="18"/>
      <w:szCs w:val="20"/>
    </w:rPr>
  </w:style>
  <w:style w:type="table" w:customStyle="1" w:styleId="GridTable1Light-Accent51">
    <w:name w:val="Grid Table 1 Light - Accent 51"/>
    <w:basedOn w:val="TableNormal"/>
    <w:uiPriority w:val="46"/>
    <w:rsid w:val="004F78AB"/>
    <w:rPr>
      <w:rFonts w:asciiTheme="minorHAnsi" w:eastAsiaTheme="minorHAnsi" w:hAnsi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9-8">
    <w:name w:val="t-9-8"/>
    <w:basedOn w:val="Normal"/>
    <w:rsid w:val="004F78AB"/>
    <w:pPr>
      <w:suppressAutoHyphens w:val="0"/>
      <w:spacing w:before="100" w:beforeAutospacing="1" w:after="100" w:afterAutospacing="1" w:line="240" w:lineRule="auto"/>
      <w:jc w:val="left"/>
    </w:pPr>
    <w:rPr>
      <w:rFonts w:ascii="Times New Roman" w:hAnsi="Times New Roman"/>
      <w:sz w:val="24"/>
      <w:szCs w:val="24"/>
    </w:rPr>
  </w:style>
  <w:style w:type="table" w:customStyle="1" w:styleId="GridTable1Light3">
    <w:name w:val="Grid Table 1 Light3"/>
    <w:basedOn w:val="TableNormal"/>
    <w:next w:val="Svijetlatablicareetke11"/>
    <w:uiPriority w:val="46"/>
    <w:rsid w:val="00625B21"/>
    <w:rPr>
      <w:rFonts w:ascii="Calibri" w:eastAsia="Calibri" w:hAnsi="Calibr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117CFE"/>
    <w:pPr>
      <w:suppressAutoHyphens w:val="0"/>
      <w:spacing w:before="0" w:after="100" w:line="259" w:lineRule="auto"/>
      <w:ind w:left="66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117CFE"/>
    <w:pPr>
      <w:suppressAutoHyphens w:val="0"/>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117CFE"/>
    <w:pPr>
      <w:suppressAutoHyphens w:val="0"/>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117CFE"/>
    <w:pPr>
      <w:suppressAutoHyphens w:val="0"/>
      <w:spacing w:before="0" w:after="100" w:line="259" w:lineRule="auto"/>
      <w:ind w:left="1760"/>
      <w:jc w:val="left"/>
    </w:pPr>
    <w:rPr>
      <w:rFonts w:asciiTheme="minorHAnsi" w:eastAsiaTheme="minorEastAsia" w:hAnsiTheme="minorHAnsi" w:cstheme="minorBidi"/>
    </w:rPr>
  </w:style>
  <w:style w:type="character" w:customStyle="1" w:styleId="UnresolvedMention2">
    <w:name w:val="Unresolved Mention2"/>
    <w:basedOn w:val="DefaultParagraphFont"/>
    <w:uiPriority w:val="99"/>
    <w:semiHidden/>
    <w:unhideWhenUsed/>
    <w:rsid w:val="00117CFE"/>
    <w:rPr>
      <w:color w:val="605E5C"/>
      <w:shd w:val="clear" w:color="auto" w:fill="E1DFDD"/>
    </w:rPr>
  </w:style>
  <w:style w:type="character" w:customStyle="1" w:styleId="UnresolvedMention3">
    <w:name w:val="Unresolved Mention3"/>
    <w:basedOn w:val="DefaultParagraphFont"/>
    <w:uiPriority w:val="99"/>
    <w:semiHidden/>
    <w:unhideWhenUsed/>
    <w:rsid w:val="00BE30A8"/>
    <w:rPr>
      <w:color w:val="605E5C"/>
      <w:shd w:val="clear" w:color="auto" w:fill="E1DFDD"/>
    </w:rPr>
  </w:style>
  <w:style w:type="table" w:customStyle="1" w:styleId="Tamnatablicareetke5-isticanje21">
    <w:name w:val="Tamna tablica rešetke 5 - isticanje 21"/>
    <w:basedOn w:val="TableNormal"/>
    <w:uiPriority w:val="50"/>
    <w:rsid w:val="004533F1"/>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icareetke2-isticanje31">
    <w:name w:val="Tablica rešetke 2 - isticanje 31"/>
    <w:basedOn w:val="TableNormal"/>
    <w:uiPriority w:val="47"/>
    <w:rsid w:val="00535EC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icareetke4-isticanje31">
    <w:name w:val="Tablica rešetke 4 - isticanje 31"/>
    <w:basedOn w:val="TableNormal"/>
    <w:uiPriority w:val="49"/>
    <w:rsid w:val="00ED38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3">
    <w:name w:val="Table Grid3"/>
    <w:basedOn w:val="TableNormal"/>
    <w:next w:val="TableGrid"/>
    <w:uiPriority w:val="39"/>
    <w:rsid w:val="006D4409"/>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character" w:customStyle="1" w:styleId="ListParagraphChar">
    <w:name w:val="List Paragraph Char"/>
    <w:aliases w:val="REPORT Bullet Char,Nabrajanje Char,Tocka Char,List Paragraph1 Char,KiF bullets Char,UNIZG_ALU_bullet Char,Lettre d'introduction Char,FM Char,Akapit z listą BS Char,Bullet1 Char,References Char,List Paragraph (numbered (a)) Char"/>
    <w:link w:val="ListParagraph"/>
    <w:uiPriority w:val="1"/>
    <w:qFormat/>
    <w:locked/>
    <w:rsid w:val="00E456CD"/>
    <w:rPr>
      <w:rFonts w:cs="Tahoma"/>
      <w:lang w:eastAsia="ar-SA"/>
    </w:rPr>
  </w:style>
  <w:style w:type="table" w:customStyle="1" w:styleId="TableGrid21">
    <w:name w:val="Table Grid21"/>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366BD"/>
  </w:style>
  <w:style w:type="table" w:customStyle="1" w:styleId="TableGrid4">
    <w:name w:val="Table Grid4"/>
    <w:basedOn w:val="TableNormal"/>
    <w:next w:val="TableGrid"/>
    <w:uiPriority w:val="39"/>
    <w:rsid w:val="00DA6146"/>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4">
    <w:name w:val="Grid Table 1 Light4"/>
    <w:basedOn w:val="TableNormal"/>
    <w:next w:val="Svijetlatablicareetke11"/>
    <w:uiPriority w:val="46"/>
    <w:rsid w:val="00DA61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3">
    <w:name w:val="Grid Table 1 Light13"/>
    <w:basedOn w:val="TableNormal"/>
    <w:uiPriority w:val="46"/>
    <w:rsid w:val="00DA6146"/>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next w:val="Obinatablica11"/>
    <w:uiPriority w:val="41"/>
    <w:rsid w:val="00DA614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Normal11">
    <w:name w:val="Table Normal11"/>
    <w:uiPriority w:val="2"/>
    <w:semiHidden/>
    <w:unhideWhenUsed/>
    <w:qFormat/>
    <w:rsid w:val="00DA6146"/>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table" w:customStyle="1" w:styleId="GridTable1Light21">
    <w:name w:val="Grid Table 1 Light21"/>
    <w:basedOn w:val="TableNormal"/>
    <w:next w:val="Svijetlatablicareetke11"/>
    <w:uiPriority w:val="46"/>
    <w:rsid w:val="00DA61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rsid w:val="00DA6146"/>
    <w:pPr>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themeFill="background1" w:themeFillShade="BF"/>
      <w:vAlign w:val="center"/>
    </w:tcPr>
  </w:style>
  <w:style w:type="table" w:customStyle="1" w:styleId="GridTable1Light111">
    <w:name w:val="Grid Table 1 Light111"/>
    <w:basedOn w:val="TableNormal"/>
    <w:uiPriority w:val="46"/>
    <w:rsid w:val="00DA6146"/>
    <w:pPr>
      <w:ind w:right="510"/>
      <w:jc w:val="righ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41">
    <w:name w:val="Plain Table 41"/>
    <w:basedOn w:val="TableNormal"/>
    <w:next w:val="Obinatablica41"/>
    <w:uiPriority w:val="44"/>
    <w:rsid w:val="00DA61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Svijetlareetkatablice1"/>
    <w:uiPriority w:val="40"/>
    <w:rsid w:val="00DA61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1">
    <w:name w:val="Plain Table 31"/>
    <w:basedOn w:val="TableNormal"/>
    <w:next w:val="Obinatablica31"/>
    <w:uiPriority w:val="43"/>
    <w:rsid w:val="00DA614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Accent11">
    <w:name w:val="Grid Table 1 Light - Accent 11"/>
    <w:basedOn w:val="TableNormal"/>
    <w:next w:val="Svijetlatablicareetke-isticanje11"/>
    <w:uiPriority w:val="46"/>
    <w:rsid w:val="00DA61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DA6146"/>
    <w:pPr>
      <w:numPr>
        <w:ilvl w:val="1"/>
      </w:numPr>
      <w:suppressAutoHyphens w:val="0"/>
      <w:spacing w:before="0" w:after="160" w:line="259" w:lineRule="auto"/>
      <w:jc w:val="left"/>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DA6146"/>
    <w:rPr>
      <w:rFonts w:asciiTheme="minorHAnsi" w:eastAsiaTheme="minorEastAsia" w:hAnsiTheme="minorHAnsi" w:cstheme="minorBidi"/>
      <w:color w:val="5A5A5A" w:themeColor="text1" w:themeTint="A5"/>
      <w:spacing w:val="15"/>
      <w:lang w:eastAsia="en-US"/>
    </w:rPr>
  </w:style>
  <w:style w:type="character" w:styleId="SubtleEmphasis">
    <w:name w:val="Subtle Emphasis"/>
    <w:basedOn w:val="DefaultParagraphFont"/>
    <w:uiPriority w:val="19"/>
    <w:qFormat/>
    <w:rsid w:val="00DA6146"/>
    <w:rPr>
      <w:i/>
      <w:iCs/>
      <w:color w:val="404040" w:themeColor="text1" w:themeTint="BF"/>
    </w:rPr>
  </w:style>
  <w:style w:type="character" w:styleId="Emphasis">
    <w:name w:val="Emphasis"/>
    <w:basedOn w:val="DefaultParagraphFont"/>
    <w:uiPriority w:val="20"/>
    <w:qFormat/>
    <w:rsid w:val="00DA6146"/>
    <w:rPr>
      <w:i/>
      <w:iCs/>
    </w:rPr>
  </w:style>
  <w:style w:type="table" w:customStyle="1" w:styleId="TableGrid27">
    <w:name w:val="Table Grid27"/>
    <w:basedOn w:val="TableNormal"/>
    <w:next w:val="TableGrid"/>
    <w:uiPriority w:val="39"/>
    <w:rsid w:val="00DA6146"/>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A6146"/>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0671E6"/>
    <w:rPr>
      <w:color w:val="605E5C"/>
      <w:shd w:val="clear" w:color="auto" w:fill="E1DFDD"/>
    </w:rPr>
  </w:style>
  <w:style w:type="character" w:customStyle="1" w:styleId="UnresolvedMention5">
    <w:name w:val="Unresolved Mention5"/>
    <w:basedOn w:val="DefaultParagraphFont"/>
    <w:uiPriority w:val="99"/>
    <w:semiHidden/>
    <w:unhideWhenUsed/>
    <w:rsid w:val="007B4973"/>
    <w:rPr>
      <w:color w:val="605E5C"/>
      <w:shd w:val="clear" w:color="auto" w:fill="E1DFDD"/>
    </w:rPr>
  </w:style>
  <w:style w:type="character" w:customStyle="1" w:styleId="UnresolvedMention6">
    <w:name w:val="Unresolved Mention6"/>
    <w:basedOn w:val="DefaultParagraphFont"/>
    <w:uiPriority w:val="99"/>
    <w:semiHidden/>
    <w:unhideWhenUsed/>
    <w:rsid w:val="00524046"/>
    <w:rPr>
      <w:color w:val="605E5C"/>
      <w:shd w:val="clear" w:color="auto" w:fill="E1DFDD"/>
    </w:rPr>
  </w:style>
  <w:style w:type="character" w:customStyle="1" w:styleId="UnresolvedMention7">
    <w:name w:val="Unresolved Mention7"/>
    <w:basedOn w:val="DefaultParagraphFont"/>
    <w:uiPriority w:val="99"/>
    <w:semiHidden/>
    <w:unhideWhenUsed/>
    <w:rsid w:val="003F5A4C"/>
    <w:rPr>
      <w:color w:val="605E5C"/>
      <w:shd w:val="clear" w:color="auto" w:fill="E1DFDD"/>
    </w:rPr>
  </w:style>
  <w:style w:type="character" w:customStyle="1" w:styleId="kurziv">
    <w:name w:val="kurziv"/>
    <w:basedOn w:val="DefaultParagraphFont"/>
    <w:rsid w:val="00FD0099"/>
  </w:style>
  <w:style w:type="character" w:customStyle="1" w:styleId="fontstyle01">
    <w:name w:val="fontstyle01"/>
    <w:basedOn w:val="DefaultParagraphFont"/>
    <w:rsid w:val="0015358E"/>
    <w:rPr>
      <w:rFonts w:ascii="Times New Roman" w:hAnsi="Times New Roman" w:cs="Times New Roman" w:hint="default"/>
      <w:b w:val="0"/>
      <w:bCs w:val="0"/>
      <w:i w:val="0"/>
      <w:iCs w:val="0"/>
      <w:color w:val="000000"/>
      <w:sz w:val="24"/>
      <w:szCs w:val="24"/>
    </w:rPr>
  </w:style>
  <w:style w:type="paragraph" w:customStyle="1" w:styleId="Point0">
    <w:name w:val="Point 0"/>
    <w:basedOn w:val="Normal"/>
    <w:rsid w:val="001245E9"/>
    <w:pPr>
      <w:suppressAutoHyphens w:val="0"/>
      <w:spacing w:before="120" w:line="240" w:lineRule="auto"/>
      <w:ind w:left="850" w:hanging="850"/>
    </w:pPr>
    <w:rPr>
      <w:rFonts w:ascii="Times New Roman" w:eastAsiaTheme="minorHAnsi" w:hAnsi="Times New Roman"/>
      <w:sz w:val="24"/>
      <w:szCs w:val="24"/>
      <w:lang w:eastAsia="en-GB"/>
    </w:rPr>
  </w:style>
  <w:style w:type="character" w:customStyle="1" w:styleId="CRMarker">
    <w:name w:val="CR Marker"/>
    <w:basedOn w:val="DefaultParagraphFont"/>
    <w:uiPriority w:val="99"/>
    <w:rsid w:val="001245E9"/>
    <w:rPr>
      <w:rFonts w:ascii="Wingdings" w:hAnsi="Wingdings" w:hint="default"/>
    </w:rPr>
  </w:style>
  <w:style w:type="paragraph" w:customStyle="1" w:styleId="Slika">
    <w:name w:val="Slika"/>
    <w:basedOn w:val="Normal"/>
    <w:next w:val="Normal"/>
    <w:link w:val="SlikaChar"/>
    <w:autoRedefine/>
    <w:qFormat/>
    <w:rsid w:val="001245E9"/>
    <w:pPr>
      <w:keepNext/>
      <w:suppressAutoHyphens w:val="0"/>
      <w:spacing w:before="120" w:line="240" w:lineRule="auto"/>
      <w:jc w:val="center"/>
    </w:pPr>
    <w:rPr>
      <w:rFonts w:ascii="Tahoma" w:hAnsi="Tahoma" w:cs="Myriad Pro"/>
      <w:sz w:val="20"/>
      <w:szCs w:val="24"/>
    </w:rPr>
  </w:style>
  <w:style w:type="character" w:customStyle="1" w:styleId="SlikaChar">
    <w:name w:val="Slika Char"/>
    <w:basedOn w:val="DefaultParagraphFont"/>
    <w:link w:val="Slika"/>
    <w:rsid w:val="001245E9"/>
    <w:rPr>
      <w:rFonts w:ascii="Tahoma" w:hAnsi="Tahoma" w:cs="Myriad Pro"/>
      <w:sz w:val="20"/>
      <w:szCs w:val="24"/>
    </w:rPr>
  </w:style>
  <w:style w:type="paragraph" w:customStyle="1" w:styleId="Naslovtablice">
    <w:name w:val="Naslov tablice"/>
    <w:basedOn w:val="Caption"/>
    <w:next w:val="Normal"/>
    <w:link w:val="NaslovtabliceChar"/>
    <w:autoRedefine/>
    <w:qFormat/>
    <w:rsid w:val="001245E9"/>
    <w:pPr>
      <w:keepNext/>
      <w:keepLines/>
      <w:tabs>
        <w:tab w:val="clear" w:pos="1021"/>
      </w:tabs>
      <w:spacing w:after="60" w:line="240" w:lineRule="auto"/>
      <w:ind w:left="0" w:firstLine="0"/>
    </w:pPr>
    <w:rPr>
      <w:rFonts w:ascii="Tahoma" w:hAnsi="Tahoma" w:cs="Tahoma"/>
      <w:b w:val="0"/>
      <w:i/>
      <w:iCs/>
      <w:sz w:val="16"/>
      <w:szCs w:val="20"/>
    </w:rPr>
  </w:style>
  <w:style w:type="character" w:customStyle="1" w:styleId="NaslovtabliceChar">
    <w:name w:val="Naslov tablice Char"/>
    <w:basedOn w:val="DefaultParagraphFont"/>
    <w:link w:val="Naslovtablice"/>
    <w:rsid w:val="001245E9"/>
    <w:rPr>
      <w:rFonts w:ascii="Tahoma" w:hAnsi="Tahoma" w:cs="Tahoma"/>
      <w:i/>
      <w:iCs/>
      <w:sz w:val="16"/>
      <w:szCs w:val="20"/>
    </w:rPr>
  </w:style>
  <w:style w:type="paragraph" w:customStyle="1" w:styleId="Slikanaslov">
    <w:name w:val="Slika naslov"/>
    <w:basedOn w:val="Normal"/>
    <w:next w:val="Normal"/>
    <w:link w:val="SlikanaslovChar"/>
    <w:autoRedefine/>
    <w:uiPriority w:val="99"/>
    <w:qFormat/>
    <w:rsid w:val="001245E9"/>
    <w:pPr>
      <w:keepLines/>
      <w:spacing w:before="60" w:line="240" w:lineRule="auto"/>
      <w:jc w:val="center"/>
    </w:pPr>
    <w:rPr>
      <w:rFonts w:ascii="Tahoma" w:hAnsi="Tahoma" w:cs="Tahoma"/>
      <w:bCs/>
      <w:i/>
      <w:sz w:val="16"/>
      <w:szCs w:val="28"/>
    </w:rPr>
  </w:style>
  <w:style w:type="paragraph" w:customStyle="1" w:styleId="Tblnaslov">
    <w:name w:val="Tbl naslov"/>
    <w:basedOn w:val="Normal"/>
    <w:next w:val="Normal"/>
    <w:link w:val="TblnaslovChar"/>
    <w:qFormat/>
    <w:rsid w:val="001245E9"/>
    <w:pPr>
      <w:keepNext/>
      <w:keepLines/>
      <w:spacing w:before="120" w:after="60" w:line="240" w:lineRule="auto"/>
      <w:jc w:val="right"/>
    </w:pPr>
    <w:rPr>
      <w:rFonts w:ascii="Tahoma" w:hAnsi="Tahoma" w:cs="Myriad Pro"/>
      <w:i/>
      <w:sz w:val="16"/>
      <w:szCs w:val="24"/>
      <w:lang w:eastAsia="de-DE"/>
    </w:rPr>
  </w:style>
  <w:style w:type="character" w:customStyle="1" w:styleId="SlikanaslovChar">
    <w:name w:val="Slika naslov Char"/>
    <w:basedOn w:val="DefaultParagraphFont"/>
    <w:link w:val="Slikanaslov"/>
    <w:uiPriority w:val="99"/>
    <w:rsid w:val="001245E9"/>
    <w:rPr>
      <w:rFonts w:ascii="Tahoma" w:hAnsi="Tahoma" w:cs="Tahoma"/>
      <w:bCs/>
      <w:i/>
      <w:sz w:val="16"/>
      <w:szCs w:val="28"/>
    </w:rPr>
  </w:style>
  <w:style w:type="character" w:customStyle="1" w:styleId="TblnaslovChar">
    <w:name w:val="Tbl naslov Char"/>
    <w:basedOn w:val="DefaultParagraphFont"/>
    <w:link w:val="Tblnaslov"/>
    <w:rsid w:val="001245E9"/>
    <w:rPr>
      <w:rFonts w:ascii="Tahoma" w:hAnsi="Tahoma" w:cs="Myriad Pro"/>
      <w:i/>
      <w:sz w:val="16"/>
      <w:szCs w:val="24"/>
      <w:lang w:eastAsia="de-DE"/>
    </w:rPr>
  </w:style>
  <w:style w:type="character" w:customStyle="1" w:styleId="UnresolvedMention8">
    <w:name w:val="Unresolved Mention8"/>
    <w:basedOn w:val="DefaultParagraphFont"/>
    <w:uiPriority w:val="99"/>
    <w:semiHidden/>
    <w:unhideWhenUsed/>
    <w:rsid w:val="0077091E"/>
    <w:rPr>
      <w:color w:val="605E5C"/>
      <w:shd w:val="clear" w:color="auto" w:fill="E1DFDD"/>
    </w:rPr>
  </w:style>
  <w:style w:type="paragraph" w:customStyle="1" w:styleId="normal-000013">
    <w:name w:val="normal-000013"/>
    <w:basedOn w:val="Normal"/>
    <w:rsid w:val="00FF0CF3"/>
    <w:pPr>
      <w:suppressAutoHyphens w:val="0"/>
      <w:spacing w:before="0" w:after="135" w:line="240" w:lineRule="auto"/>
      <w:jc w:val="left"/>
    </w:pPr>
    <w:rPr>
      <w:rFonts w:ascii="Calibri" w:eastAsiaTheme="minorEastAsia" w:hAnsi="Calibri" w:cs="Calibri"/>
      <w:sz w:val="24"/>
      <w:szCs w:val="24"/>
    </w:rPr>
  </w:style>
  <w:style w:type="paragraph" w:customStyle="1" w:styleId="normal-000017">
    <w:name w:val="normal-000017"/>
    <w:basedOn w:val="Normal"/>
    <w:rsid w:val="00FF0CF3"/>
    <w:pPr>
      <w:suppressAutoHyphens w:val="0"/>
      <w:spacing w:before="0" w:after="135" w:line="240" w:lineRule="auto"/>
      <w:jc w:val="left"/>
    </w:pPr>
    <w:rPr>
      <w:rFonts w:ascii="Calibri" w:eastAsiaTheme="minorEastAsia" w:hAnsi="Calibri" w:cs="Calibri"/>
      <w:sz w:val="20"/>
      <w:szCs w:val="20"/>
    </w:rPr>
  </w:style>
  <w:style w:type="paragraph" w:customStyle="1" w:styleId="normal-000052">
    <w:name w:val="normal-000052"/>
    <w:basedOn w:val="Normal"/>
    <w:rsid w:val="00FF0CF3"/>
    <w:pPr>
      <w:suppressAutoHyphens w:val="0"/>
      <w:spacing w:before="0" w:after="135" w:line="240" w:lineRule="auto"/>
      <w:jc w:val="center"/>
    </w:pPr>
    <w:rPr>
      <w:rFonts w:ascii="Calibri" w:eastAsiaTheme="minorEastAsia" w:hAnsi="Calibri" w:cs="Calibri"/>
      <w:sz w:val="20"/>
      <w:szCs w:val="20"/>
    </w:rPr>
  </w:style>
  <w:style w:type="character" w:customStyle="1" w:styleId="zadanifontodlomka-000018">
    <w:name w:val="zadanifontodlomka-000018"/>
    <w:basedOn w:val="DefaultParagraphFont"/>
    <w:rsid w:val="00FF0CF3"/>
    <w:rPr>
      <w:rFonts w:ascii="Calibri" w:hAnsi="Calibri" w:cs="Calibri" w:hint="default"/>
      <w:b w:val="0"/>
      <w:bCs w:val="0"/>
      <w:sz w:val="20"/>
      <w:szCs w:val="20"/>
    </w:rPr>
  </w:style>
  <w:style w:type="character" w:customStyle="1" w:styleId="zadanifontodlomka-000053">
    <w:name w:val="zadanifontodlomka-000053"/>
    <w:basedOn w:val="DefaultParagraphFont"/>
    <w:rsid w:val="00FF0CF3"/>
    <w:rPr>
      <w:rFonts w:ascii="Calibri" w:hAnsi="Calibri" w:cs="Calibri" w:hint="default"/>
      <w:b/>
      <w:bCs/>
      <w:sz w:val="20"/>
      <w:szCs w:val="20"/>
    </w:rPr>
  </w:style>
  <w:style w:type="paragraph" w:customStyle="1" w:styleId="normal-000139">
    <w:name w:val="normal-000139"/>
    <w:basedOn w:val="Normal"/>
    <w:rsid w:val="000527F4"/>
    <w:pPr>
      <w:suppressAutoHyphens w:val="0"/>
      <w:spacing w:before="0" w:after="135" w:line="240" w:lineRule="auto"/>
      <w:jc w:val="left"/>
    </w:pPr>
    <w:rPr>
      <w:rFonts w:ascii="Calibri" w:eastAsiaTheme="minorEastAsia" w:hAnsi="Calibri" w:cs="Calibri"/>
      <w:sz w:val="16"/>
      <w:szCs w:val="16"/>
    </w:rPr>
  </w:style>
  <w:style w:type="character" w:customStyle="1" w:styleId="zadanifontodlomka-000079">
    <w:name w:val="zadanifontodlomka-000079"/>
    <w:basedOn w:val="DefaultParagraphFont"/>
    <w:rsid w:val="000527F4"/>
    <w:rPr>
      <w:rFonts w:ascii="Calibri" w:hAnsi="Calibri" w:cs="Calibri" w:hint="default"/>
      <w:b w:val="0"/>
      <w:bCs w:val="0"/>
      <w:sz w:val="16"/>
      <w:szCs w:val="16"/>
    </w:rPr>
  </w:style>
  <w:style w:type="character" w:customStyle="1" w:styleId="zadanifontodlomka-000119">
    <w:name w:val="zadanifontodlomka-000119"/>
    <w:basedOn w:val="DefaultParagraphFont"/>
    <w:rsid w:val="000527F4"/>
    <w:rPr>
      <w:rFonts w:ascii="Calibri" w:hAnsi="Calibri" w:cs="Calibri" w:hint="default"/>
      <w:b w:val="0"/>
      <w:bCs w:val="0"/>
      <w:color w:val="000000"/>
      <w:sz w:val="20"/>
      <w:szCs w:val="20"/>
    </w:rPr>
  </w:style>
  <w:style w:type="character" w:customStyle="1" w:styleId="zadanifontodlomka-000138">
    <w:name w:val="zadanifontodlomka-000138"/>
    <w:basedOn w:val="DefaultParagraphFont"/>
    <w:rsid w:val="000527F4"/>
    <w:rPr>
      <w:rFonts w:ascii="Calibri" w:hAnsi="Calibri" w:cs="Calibri" w:hint="default"/>
      <w:b/>
      <w:bCs/>
      <w:color w:val="000000"/>
      <w:sz w:val="20"/>
      <w:szCs w:val="20"/>
    </w:rPr>
  </w:style>
  <w:style w:type="paragraph" w:customStyle="1" w:styleId="PointManual1">
    <w:name w:val="Point Manual (1)"/>
    <w:basedOn w:val="Normal"/>
    <w:rsid w:val="001E4E55"/>
    <w:pPr>
      <w:suppressAutoHyphens w:val="0"/>
      <w:spacing w:before="120" w:line="360" w:lineRule="auto"/>
      <w:ind w:left="1134" w:hanging="567"/>
      <w:jc w:val="left"/>
    </w:pPr>
    <w:rPr>
      <w:rFonts w:ascii="Times New Roman" w:eastAsia="Calibri" w:hAnsi="Times New Roman"/>
      <w:sz w:val="24"/>
      <w:lang w:eastAsia="en-US"/>
    </w:rPr>
  </w:style>
  <w:style w:type="character" w:customStyle="1" w:styleId="Nerijeenospominjanje1">
    <w:name w:val="Neriješeno spominjanje1"/>
    <w:basedOn w:val="DefaultParagraphFont"/>
    <w:uiPriority w:val="99"/>
    <w:semiHidden/>
    <w:unhideWhenUsed/>
    <w:rsid w:val="00EF3815"/>
    <w:rPr>
      <w:color w:val="605E5C"/>
      <w:shd w:val="clear" w:color="auto" w:fill="E1DFDD"/>
    </w:rPr>
  </w:style>
  <w:style w:type="paragraph" w:customStyle="1" w:styleId="Text2">
    <w:name w:val="Text 2"/>
    <w:basedOn w:val="Normal"/>
    <w:rsid w:val="004A5913"/>
    <w:pPr>
      <w:suppressAutoHyphens w:val="0"/>
      <w:spacing w:before="120" w:line="360" w:lineRule="auto"/>
      <w:ind w:left="1134"/>
      <w:jc w:val="left"/>
    </w:pPr>
    <w:rPr>
      <w:rFonts w:ascii="Times New Roman" w:eastAsia="Calibri" w:hAnsi="Times New Roman"/>
      <w:sz w:val="24"/>
      <w:lang w:eastAsia="en-US"/>
    </w:rPr>
  </w:style>
  <w:style w:type="paragraph" w:customStyle="1" w:styleId="Annex">
    <w:name w:val="Annex"/>
    <w:basedOn w:val="Normal"/>
    <w:next w:val="Normal"/>
    <w:rsid w:val="004A5913"/>
    <w:pPr>
      <w:suppressAutoHyphens w:val="0"/>
      <w:spacing w:before="120" w:line="360" w:lineRule="auto"/>
      <w:jc w:val="right"/>
    </w:pPr>
    <w:rPr>
      <w:rFonts w:ascii="Times New Roman" w:eastAsia="Calibri" w:hAnsi="Times New Roman"/>
      <w:b/>
      <w:sz w:val="24"/>
      <w:u w:val="single"/>
      <w:lang w:eastAsia="en-US"/>
    </w:rPr>
  </w:style>
  <w:style w:type="paragraph" w:customStyle="1" w:styleId="ManualNumPar1">
    <w:name w:val="Manual NumPar 1"/>
    <w:basedOn w:val="Normal"/>
    <w:next w:val="Normal"/>
    <w:rsid w:val="004A5913"/>
    <w:pPr>
      <w:suppressAutoHyphens w:val="0"/>
      <w:spacing w:before="120" w:line="360" w:lineRule="auto"/>
      <w:ind w:left="850" w:hanging="850"/>
      <w:jc w:val="left"/>
    </w:pPr>
    <w:rPr>
      <w:rFonts w:ascii="Times New Roman" w:eastAsia="Calibri" w:hAnsi="Times New Roman"/>
      <w:sz w:val="24"/>
      <w:lang w:eastAsia="en-US"/>
    </w:rPr>
  </w:style>
  <w:style w:type="paragraph" w:customStyle="1" w:styleId="ManualNumPar2">
    <w:name w:val="Manual NumPar 2"/>
    <w:basedOn w:val="Normal"/>
    <w:next w:val="Normal"/>
    <w:rsid w:val="004A5913"/>
    <w:pPr>
      <w:suppressAutoHyphens w:val="0"/>
      <w:spacing w:before="120" w:line="360" w:lineRule="auto"/>
      <w:ind w:left="850" w:hanging="850"/>
      <w:jc w:val="left"/>
    </w:pPr>
    <w:rPr>
      <w:rFonts w:ascii="Times New Roman" w:eastAsia="Calibri" w:hAnsi="Times New Roman"/>
      <w:sz w:val="24"/>
      <w:lang w:eastAsia="en-US"/>
    </w:rPr>
  </w:style>
  <w:style w:type="character" w:customStyle="1" w:styleId="defaultparagraphfont-000015">
    <w:name w:val="defaultparagraphfont-000015"/>
    <w:basedOn w:val="DefaultParagraphFont"/>
    <w:rsid w:val="004A5913"/>
    <w:rPr>
      <w:rFonts w:ascii="Minion Pro" w:hAnsi="Minion Pro" w:hint="default"/>
      <w:b w:val="0"/>
      <w:bCs w:val="0"/>
      <w:sz w:val="24"/>
      <w:szCs w:val="24"/>
    </w:rPr>
  </w:style>
  <w:style w:type="paragraph" w:customStyle="1" w:styleId="Normal1">
    <w:name w:val="Normal1"/>
    <w:basedOn w:val="Normal"/>
    <w:rsid w:val="004A5913"/>
    <w:pPr>
      <w:suppressAutoHyphens w:val="0"/>
      <w:spacing w:before="100" w:beforeAutospacing="1" w:after="210" w:line="240" w:lineRule="auto"/>
      <w:jc w:val="left"/>
    </w:pPr>
    <w:rPr>
      <w:rFonts w:ascii="Times New Roman" w:eastAsiaTheme="minorEastAsia" w:hAnsi="Times New Roman"/>
      <w:sz w:val="24"/>
      <w:szCs w:val="24"/>
    </w:rPr>
  </w:style>
  <w:style w:type="character" w:customStyle="1" w:styleId="defaultparagraphfont-000005">
    <w:name w:val="defaultparagraphfont-000005"/>
    <w:basedOn w:val="DefaultParagraphFont"/>
    <w:rsid w:val="004A5913"/>
    <w:rPr>
      <w:rFonts w:ascii="Times New Roman" w:hAnsi="Times New Roman" w:cs="Times New Roman" w:hint="default"/>
      <w:b w:val="0"/>
      <w:bCs w:val="0"/>
      <w:sz w:val="24"/>
      <w:szCs w:val="24"/>
    </w:rPr>
  </w:style>
  <w:style w:type="character" w:styleId="PlaceholderText">
    <w:name w:val="Placeholder Text"/>
    <w:basedOn w:val="DefaultParagraphFont"/>
    <w:uiPriority w:val="99"/>
    <w:semiHidden/>
    <w:rsid w:val="004A5913"/>
    <w:rPr>
      <w:color w:val="808080"/>
    </w:rPr>
  </w:style>
  <w:style w:type="paragraph" w:customStyle="1" w:styleId="xmsonormal">
    <w:name w:val="x_msonormal"/>
    <w:basedOn w:val="Normal"/>
    <w:rsid w:val="002E5F2E"/>
    <w:pPr>
      <w:suppressAutoHyphens w:val="0"/>
      <w:spacing w:before="0" w:after="0" w:line="240" w:lineRule="auto"/>
      <w:jc w:val="left"/>
    </w:pPr>
    <w:rPr>
      <w:rFonts w:ascii="Calibri" w:eastAsiaTheme="minorHAnsi" w:hAnsi="Calibri" w:cs="Calibri"/>
    </w:rPr>
  </w:style>
  <w:style w:type="paragraph" w:customStyle="1" w:styleId="Tabletext">
    <w:name w:val="Table text"/>
    <w:basedOn w:val="Normal"/>
    <w:uiPriority w:val="99"/>
    <w:rsid w:val="00A646A2"/>
    <w:pPr>
      <w:tabs>
        <w:tab w:val="right" w:pos="8504"/>
      </w:tabs>
      <w:suppressAutoHyphens w:val="0"/>
      <w:spacing w:before="40" w:after="40"/>
    </w:pPr>
    <w:rPr>
      <w:sz w:val="18"/>
      <w:szCs w:val="20"/>
      <w:lang w:val="de-DE" w:eastAsia="de-DE"/>
    </w:rPr>
  </w:style>
  <w:style w:type="paragraph" w:styleId="Title">
    <w:name w:val="Title"/>
    <w:basedOn w:val="Normal"/>
    <w:next w:val="Normal"/>
    <w:link w:val="TitleChar"/>
    <w:uiPriority w:val="10"/>
    <w:qFormat/>
    <w:rsid w:val="006119C9"/>
    <w:pPr>
      <w:suppressAutoHyphens w:val="0"/>
      <w:spacing w:before="0" w:after="0" w:line="204" w:lineRule="auto"/>
      <w:contextualSpacing/>
      <w:jc w:val="left"/>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119C9"/>
    <w:rPr>
      <w:rFonts w:asciiTheme="majorHAnsi" w:eastAsiaTheme="majorEastAsia" w:hAnsiTheme="majorHAnsi" w:cstheme="majorBidi"/>
      <w:caps/>
      <w:color w:val="44546A" w:themeColor="text2"/>
      <w:spacing w:val="-15"/>
      <w:sz w:val="72"/>
      <w:szCs w:val="72"/>
    </w:rPr>
  </w:style>
  <w:style w:type="paragraph" w:styleId="Quote">
    <w:name w:val="Quote"/>
    <w:basedOn w:val="Normal"/>
    <w:next w:val="Normal"/>
    <w:link w:val="QuoteChar"/>
    <w:uiPriority w:val="29"/>
    <w:qFormat/>
    <w:rsid w:val="006119C9"/>
    <w:pPr>
      <w:suppressAutoHyphens w:val="0"/>
      <w:spacing w:before="120" w:line="259" w:lineRule="auto"/>
      <w:ind w:left="720"/>
      <w:jc w:val="left"/>
    </w:pPr>
    <w:rPr>
      <w:rFonts w:asciiTheme="minorHAnsi" w:eastAsiaTheme="minorEastAsia" w:hAnsiTheme="minorHAnsi" w:cstheme="minorBidi"/>
      <w:color w:val="44546A" w:themeColor="text2"/>
      <w:sz w:val="24"/>
      <w:szCs w:val="24"/>
    </w:rPr>
  </w:style>
  <w:style w:type="character" w:customStyle="1" w:styleId="QuoteChar">
    <w:name w:val="Quote Char"/>
    <w:basedOn w:val="DefaultParagraphFont"/>
    <w:link w:val="Quote"/>
    <w:uiPriority w:val="29"/>
    <w:rsid w:val="006119C9"/>
    <w:rPr>
      <w:rFonts w:asciiTheme="minorHAnsi" w:eastAsiaTheme="minorEastAsia" w:hAnsiTheme="minorHAnsi" w:cstheme="minorBidi"/>
      <w:color w:val="44546A" w:themeColor="text2"/>
      <w:sz w:val="24"/>
      <w:szCs w:val="24"/>
    </w:rPr>
  </w:style>
  <w:style w:type="paragraph" w:styleId="IntenseQuote">
    <w:name w:val="Intense Quote"/>
    <w:basedOn w:val="Normal"/>
    <w:next w:val="Normal"/>
    <w:link w:val="IntenseQuoteChar"/>
    <w:uiPriority w:val="30"/>
    <w:qFormat/>
    <w:rsid w:val="006119C9"/>
    <w:pPr>
      <w:suppressAutoHyphens w:val="0"/>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119C9"/>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6119C9"/>
    <w:rPr>
      <w:b/>
      <w:bCs/>
      <w:i/>
      <w:iCs/>
    </w:rPr>
  </w:style>
  <w:style w:type="character" w:styleId="SubtleReference">
    <w:name w:val="Subtle Reference"/>
    <w:basedOn w:val="DefaultParagraphFont"/>
    <w:uiPriority w:val="31"/>
    <w:qFormat/>
    <w:rsid w:val="006119C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119C9"/>
    <w:rPr>
      <w:b/>
      <w:bCs/>
      <w:smallCaps/>
      <w:color w:val="44546A" w:themeColor="text2"/>
      <w:u w:val="single"/>
    </w:rPr>
  </w:style>
  <w:style w:type="character" w:styleId="BookTitle">
    <w:name w:val="Book Title"/>
    <w:basedOn w:val="DefaultParagraphFont"/>
    <w:uiPriority w:val="33"/>
    <w:qFormat/>
    <w:rsid w:val="006119C9"/>
    <w:rPr>
      <w:b/>
      <w:bCs/>
      <w:smallCaps/>
      <w:spacing w:val="10"/>
    </w:rPr>
  </w:style>
  <w:style w:type="paragraph" w:customStyle="1" w:styleId="tb-na16">
    <w:name w:val="tb-na16"/>
    <w:basedOn w:val="Normal"/>
    <w:rsid w:val="0049180E"/>
    <w:pPr>
      <w:suppressAutoHyphens w:val="0"/>
      <w:spacing w:before="100" w:beforeAutospacing="1" w:after="100" w:afterAutospacing="1" w:line="240" w:lineRule="auto"/>
      <w:jc w:val="left"/>
    </w:pPr>
    <w:rPr>
      <w:rFonts w:ascii="Times New Roman" w:hAnsi="Times New Roman"/>
      <w:sz w:val="24"/>
      <w:szCs w:val="24"/>
    </w:rPr>
  </w:style>
  <w:style w:type="paragraph" w:customStyle="1" w:styleId="t-12-9-fett-s">
    <w:name w:val="t-12-9-fett-s"/>
    <w:basedOn w:val="Normal"/>
    <w:rsid w:val="0049180E"/>
    <w:pPr>
      <w:suppressAutoHyphens w:val="0"/>
      <w:spacing w:before="100" w:beforeAutospacing="1" w:after="100" w:afterAutospacing="1" w:line="240" w:lineRule="auto"/>
      <w:jc w:val="left"/>
    </w:pPr>
    <w:rPr>
      <w:rFonts w:ascii="Times New Roman" w:hAnsi="Times New Roman"/>
      <w:sz w:val="24"/>
      <w:szCs w:val="24"/>
    </w:rPr>
  </w:style>
  <w:style w:type="character" w:customStyle="1" w:styleId="UnresolvedMention9">
    <w:name w:val="Unresolved Mention9"/>
    <w:basedOn w:val="DefaultParagraphFont"/>
    <w:uiPriority w:val="99"/>
    <w:semiHidden/>
    <w:unhideWhenUsed/>
    <w:rsid w:val="00661946"/>
    <w:rPr>
      <w:color w:val="605E5C"/>
      <w:shd w:val="clear" w:color="auto" w:fill="E1DFDD"/>
    </w:rPr>
  </w:style>
  <w:style w:type="paragraph" w:customStyle="1" w:styleId="ti-grseq-1">
    <w:name w:val="ti-grseq-1"/>
    <w:basedOn w:val="Normal"/>
    <w:rsid w:val="004F5734"/>
    <w:pPr>
      <w:suppressAutoHyphens w:val="0"/>
      <w:spacing w:before="100" w:beforeAutospacing="1" w:after="100" w:afterAutospacing="1" w:line="240" w:lineRule="auto"/>
      <w:jc w:val="left"/>
    </w:pPr>
    <w:rPr>
      <w:rFonts w:ascii="Times New Roman" w:hAnsi="Times New Roman"/>
      <w:sz w:val="24"/>
      <w:szCs w:val="24"/>
    </w:rPr>
  </w:style>
  <w:style w:type="paragraph" w:customStyle="1" w:styleId="xl174">
    <w:name w:val="xl174"/>
    <w:basedOn w:val="Normal"/>
    <w:rsid w:val="00255EB7"/>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line="240" w:lineRule="auto"/>
      <w:jc w:val="center"/>
      <w:textAlignment w:val="center"/>
    </w:pPr>
    <w:rPr>
      <w:rFonts w:ascii="Times New Roman" w:hAnsi="Times New Roman"/>
      <w:color w:val="000000"/>
      <w:sz w:val="16"/>
      <w:szCs w:val="16"/>
    </w:rPr>
  </w:style>
  <w:style w:type="character" w:customStyle="1" w:styleId="UnresolvedMention10">
    <w:name w:val="Unresolved Mention10"/>
    <w:basedOn w:val="DefaultParagraphFont"/>
    <w:uiPriority w:val="99"/>
    <w:semiHidden/>
    <w:unhideWhenUsed/>
    <w:rsid w:val="00B172E3"/>
    <w:rPr>
      <w:color w:val="605E5C"/>
      <w:shd w:val="clear" w:color="auto" w:fill="E1DFDD"/>
    </w:rPr>
  </w:style>
  <w:style w:type="character" w:customStyle="1" w:styleId="zadanifontodlomka-000007">
    <w:name w:val="zadanifontodlomka-000007"/>
    <w:basedOn w:val="DefaultParagraphFont"/>
    <w:rsid w:val="002D4E6B"/>
    <w:rPr>
      <w:rFonts w:ascii="Calibri" w:hAnsi="Calibri" w:cs="Calibri" w:hint="default"/>
      <w:b w:val="0"/>
      <w:bCs w:val="0"/>
    </w:rPr>
  </w:style>
  <w:style w:type="paragraph" w:customStyle="1" w:styleId="000325">
    <w:name w:val="000325"/>
    <w:basedOn w:val="Normal"/>
    <w:rsid w:val="002D4E6B"/>
    <w:pPr>
      <w:suppressAutoHyphens w:val="0"/>
      <w:spacing w:before="100" w:beforeAutospacing="1" w:after="0" w:line="240" w:lineRule="auto"/>
    </w:pPr>
    <w:rPr>
      <w:rFonts w:ascii="Symbol" w:eastAsiaTheme="minorEastAsia" w:hAnsi="Symbol"/>
      <w:sz w:val="24"/>
      <w:szCs w:val="24"/>
    </w:rPr>
  </w:style>
  <w:style w:type="paragraph" w:customStyle="1" w:styleId="standardweb-000323">
    <w:name w:val="standardweb-000323"/>
    <w:basedOn w:val="Normal"/>
    <w:rsid w:val="00220C4F"/>
    <w:pPr>
      <w:suppressAutoHyphens w:val="0"/>
      <w:spacing w:before="100" w:beforeAutospacing="1" w:after="0" w:line="240" w:lineRule="auto"/>
    </w:pPr>
    <w:rPr>
      <w:rFonts w:ascii="Calibri" w:eastAsiaTheme="minorEastAsia" w:hAnsi="Calibri" w:cs="Calibri"/>
      <w:sz w:val="24"/>
      <w:szCs w:val="24"/>
    </w:rPr>
  </w:style>
  <w:style w:type="table" w:customStyle="1" w:styleId="GridTable5Dark-Accent11">
    <w:name w:val="Grid Table 5 Dark - Accent 11"/>
    <w:basedOn w:val="TableNormal"/>
    <w:uiPriority w:val="50"/>
    <w:rsid w:val="00137362"/>
    <w:rPr>
      <w:rFonts w:ascii="Times New Roman" w:hAnsi="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NormalWebChar">
    <w:name w:val="Normal (Web) Char"/>
    <w:link w:val="NormalWeb"/>
    <w:uiPriority w:val="99"/>
    <w:locked/>
    <w:rsid w:val="00785F90"/>
    <w:rPr>
      <w:rFonts w:ascii="Times New Roman" w:hAnsi="Times New Roman"/>
      <w:sz w:val="24"/>
      <w:szCs w:val="24"/>
    </w:rPr>
  </w:style>
  <w:style w:type="table" w:customStyle="1" w:styleId="GridTable1Light14">
    <w:name w:val="Grid Table 1 Light14"/>
    <w:basedOn w:val="TableNormal"/>
    <w:uiPriority w:val="46"/>
    <w:rsid w:val="00C83C24"/>
    <w:rPr>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5">
    <w:name w:val="Grid Table 1 Light15"/>
    <w:basedOn w:val="TableNormal"/>
    <w:uiPriority w:val="46"/>
    <w:rsid w:val="00C83C24"/>
    <w:rPr>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erijeenospominjanje2">
    <w:name w:val="Neriješeno spominjanje2"/>
    <w:basedOn w:val="DefaultParagraphFont"/>
    <w:uiPriority w:val="99"/>
    <w:semiHidden/>
    <w:unhideWhenUsed/>
    <w:rsid w:val="00EF72F7"/>
    <w:rPr>
      <w:color w:val="605E5C"/>
      <w:shd w:val="clear" w:color="auto" w:fill="E1DFDD"/>
    </w:rPr>
  </w:style>
  <w:style w:type="character" w:customStyle="1" w:styleId="longtext">
    <w:name w:val="long_text"/>
    <w:uiPriority w:val="99"/>
    <w:rsid w:val="00E97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6374741">
      <w:bodyDiv w:val="1"/>
      <w:marLeft w:val="0"/>
      <w:marRight w:val="0"/>
      <w:marTop w:val="0"/>
      <w:marBottom w:val="0"/>
      <w:divBdr>
        <w:top w:val="none" w:sz="0" w:space="0" w:color="auto"/>
        <w:left w:val="none" w:sz="0" w:space="0" w:color="auto"/>
        <w:bottom w:val="none" w:sz="0" w:space="0" w:color="auto"/>
        <w:right w:val="none" w:sz="0" w:space="0" w:color="auto"/>
      </w:divBdr>
    </w:div>
    <w:div w:id="9263115">
      <w:bodyDiv w:val="1"/>
      <w:marLeft w:val="0"/>
      <w:marRight w:val="0"/>
      <w:marTop w:val="0"/>
      <w:marBottom w:val="0"/>
      <w:divBdr>
        <w:top w:val="none" w:sz="0" w:space="0" w:color="auto"/>
        <w:left w:val="none" w:sz="0" w:space="0" w:color="auto"/>
        <w:bottom w:val="none" w:sz="0" w:space="0" w:color="auto"/>
        <w:right w:val="none" w:sz="0" w:space="0" w:color="auto"/>
      </w:divBdr>
    </w:div>
    <w:div w:id="14120975">
      <w:bodyDiv w:val="1"/>
      <w:marLeft w:val="0"/>
      <w:marRight w:val="0"/>
      <w:marTop w:val="0"/>
      <w:marBottom w:val="0"/>
      <w:divBdr>
        <w:top w:val="none" w:sz="0" w:space="0" w:color="auto"/>
        <w:left w:val="none" w:sz="0" w:space="0" w:color="auto"/>
        <w:bottom w:val="none" w:sz="0" w:space="0" w:color="auto"/>
        <w:right w:val="none" w:sz="0" w:space="0" w:color="auto"/>
      </w:divBdr>
    </w:div>
    <w:div w:id="15623882">
      <w:bodyDiv w:val="1"/>
      <w:marLeft w:val="0"/>
      <w:marRight w:val="0"/>
      <w:marTop w:val="0"/>
      <w:marBottom w:val="0"/>
      <w:divBdr>
        <w:top w:val="none" w:sz="0" w:space="0" w:color="auto"/>
        <w:left w:val="none" w:sz="0" w:space="0" w:color="auto"/>
        <w:bottom w:val="none" w:sz="0" w:space="0" w:color="auto"/>
        <w:right w:val="none" w:sz="0" w:space="0" w:color="auto"/>
      </w:divBdr>
    </w:div>
    <w:div w:id="17629444">
      <w:bodyDiv w:val="1"/>
      <w:marLeft w:val="0"/>
      <w:marRight w:val="0"/>
      <w:marTop w:val="0"/>
      <w:marBottom w:val="0"/>
      <w:divBdr>
        <w:top w:val="none" w:sz="0" w:space="0" w:color="auto"/>
        <w:left w:val="none" w:sz="0" w:space="0" w:color="auto"/>
        <w:bottom w:val="none" w:sz="0" w:space="0" w:color="auto"/>
        <w:right w:val="none" w:sz="0" w:space="0" w:color="auto"/>
      </w:divBdr>
    </w:div>
    <w:div w:id="21706815">
      <w:bodyDiv w:val="1"/>
      <w:marLeft w:val="0"/>
      <w:marRight w:val="0"/>
      <w:marTop w:val="0"/>
      <w:marBottom w:val="0"/>
      <w:divBdr>
        <w:top w:val="none" w:sz="0" w:space="0" w:color="auto"/>
        <w:left w:val="none" w:sz="0" w:space="0" w:color="auto"/>
        <w:bottom w:val="none" w:sz="0" w:space="0" w:color="auto"/>
        <w:right w:val="none" w:sz="0" w:space="0" w:color="auto"/>
      </w:divBdr>
    </w:div>
    <w:div w:id="23335253">
      <w:bodyDiv w:val="1"/>
      <w:marLeft w:val="0"/>
      <w:marRight w:val="0"/>
      <w:marTop w:val="0"/>
      <w:marBottom w:val="0"/>
      <w:divBdr>
        <w:top w:val="none" w:sz="0" w:space="0" w:color="auto"/>
        <w:left w:val="none" w:sz="0" w:space="0" w:color="auto"/>
        <w:bottom w:val="none" w:sz="0" w:space="0" w:color="auto"/>
        <w:right w:val="none" w:sz="0" w:space="0" w:color="auto"/>
      </w:divBdr>
      <w:divsChild>
        <w:div w:id="468717035">
          <w:marLeft w:val="547"/>
          <w:marRight w:val="0"/>
          <w:marTop w:val="0"/>
          <w:marBottom w:val="0"/>
          <w:divBdr>
            <w:top w:val="none" w:sz="0" w:space="0" w:color="auto"/>
            <w:left w:val="none" w:sz="0" w:space="0" w:color="auto"/>
            <w:bottom w:val="none" w:sz="0" w:space="0" w:color="auto"/>
            <w:right w:val="none" w:sz="0" w:space="0" w:color="auto"/>
          </w:divBdr>
        </w:div>
      </w:divsChild>
    </w:div>
    <w:div w:id="32121989">
      <w:bodyDiv w:val="1"/>
      <w:marLeft w:val="0"/>
      <w:marRight w:val="0"/>
      <w:marTop w:val="0"/>
      <w:marBottom w:val="0"/>
      <w:divBdr>
        <w:top w:val="none" w:sz="0" w:space="0" w:color="auto"/>
        <w:left w:val="none" w:sz="0" w:space="0" w:color="auto"/>
        <w:bottom w:val="none" w:sz="0" w:space="0" w:color="auto"/>
        <w:right w:val="none" w:sz="0" w:space="0" w:color="auto"/>
      </w:divBdr>
    </w:div>
    <w:div w:id="35201226">
      <w:bodyDiv w:val="1"/>
      <w:marLeft w:val="0"/>
      <w:marRight w:val="0"/>
      <w:marTop w:val="0"/>
      <w:marBottom w:val="0"/>
      <w:divBdr>
        <w:top w:val="none" w:sz="0" w:space="0" w:color="auto"/>
        <w:left w:val="none" w:sz="0" w:space="0" w:color="auto"/>
        <w:bottom w:val="none" w:sz="0" w:space="0" w:color="auto"/>
        <w:right w:val="none" w:sz="0" w:space="0" w:color="auto"/>
      </w:divBdr>
    </w:div>
    <w:div w:id="40985381">
      <w:bodyDiv w:val="1"/>
      <w:marLeft w:val="0"/>
      <w:marRight w:val="0"/>
      <w:marTop w:val="0"/>
      <w:marBottom w:val="0"/>
      <w:divBdr>
        <w:top w:val="none" w:sz="0" w:space="0" w:color="auto"/>
        <w:left w:val="none" w:sz="0" w:space="0" w:color="auto"/>
        <w:bottom w:val="none" w:sz="0" w:space="0" w:color="auto"/>
        <w:right w:val="none" w:sz="0" w:space="0" w:color="auto"/>
      </w:divBdr>
    </w:div>
    <w:div w:id="47458682">
      <w:bodyDiv w:val="1"/>
      <w:marLeft w:val="0"/>
      <w:marRight w:val="0"/>
      <w:marTop w:val="0"/>
      <w:marBottom w:val="0"/>
      <w:divBdr>
        <w:top w:val="none" w:sz="0" w:space="0" w:color="auto"/>
        <w:left w:val="none" w:sz="0" w:space="0" w:color="auto"/>
        <w:bottom w:val="none" w:sz="0" w:space="0" w:color="auto"/>
        <w:right w:val="none" w:sz="0" w:space="0" w:color="auto"/>
      </w:divBdr>
    </w:div>
    <w:div w:id="47581193">
      <w:bodyDiv w:val="1"/>
      <w:marLeft w:val="0"/>
      <w:marRight w:val="0"/>
      <w:marTop w:val="0"/>
      <w:marBottom w:val="0"/>
      <w:divBdr>
        <w:top w:val="none" w:sz="0" w:space="0" w:color="auto"/>
        <w:left w:val="none" w:sz="0" w:space="0" w:color="auto"/>
        <w:bottom w:val="none" w:sz="0" w:space="0" w:color="auto"/>
        <w:right w:val="none" w:sz="0" w:space="0" w:color="auto"/>
      </w:divBdr>
      <w:divsChild>
        <w:div w:id="2129739954">
          <w:marLeft w:val="0"/>
          <w:marRight w:val="0"/>
          <w:marTop w:val="0"/>
          <w:marBottom w:val="0"/>
          <w:divBdr>
            <w:top w:val="none" w:sz="0" w:space="0" w:color="auto"/>
            <w:left w:val="none" w:sz="0" w:space="0" w:color="auto"/>
            <w:bottom w:val="none" w:sz="0" w:space="0" w:color="auto"/>
            <w:right w:val="none" w:sz="0" w:space="0" w:color="auto"/>
          </w:divBdr>
          <w:divsChild>
            <w:div w:id="2142844535">
              <w:marLeft w:val="0"/>
              <w:marRight w:val="0"/>
              <w:marTop w:val="218"/>
              <w:marBottom w:val="327"/>
              <w:divBdr>
                <w:top w:val="none" w:sz="0" w:space="0" w:color="auto"/>
                <w:left w:val="none" w:sz="0" w:space="0" w:color="auto"/>
                <w:bottom w:val="none" w:sz="0" w:space="0" w:color="auto"/>
                <w:right w:val="none" w:sz="0" w:space="0" w:color="auto"/>
              </w:divBdr>
            </w:div>
          </w:divsChild>
        </w:div>
      </w:divsChild>
    </w:div>
    <w:div w:id="48040230">
      <w:bodyDiv w:val="1"/>
      <w:marLeft w:val="0"/>
      <w:marRight w:val="0"/>
      <w:marTop w:val="0"/>
      <w:marBottom w:val="0"/>
      <w:divBdr>
        <w:top w:val="none" w:sz="0" w:space="0" w:color="auto"/>
        <w:left w:val="none" w:sz="0" w:space="0" w:color="auto"/>
        <w:bottom w:val="none" w:sz="0" w:space="0" w:color="auto"/>
        <w:right w:val="none" w:sz="0" w:space="0" w:color="auto"/>
      </w:divBdr>
    </w:div>
    <w:div w:id="51268827">
      <w:bodyDiv w:val="1"/>
      <w:marLeft w:val="0"/>
      <w:marRight w:val="0"/>
      <w:marTop w:val="0"/>
      <w:marBottom w:val="0"/>
      <w:divBdr>
        <w:top w:val="none" w:sz="0" w:space="0" w:color="auto"/>
        <w:left w:val="none" w:sz="0" w:space="0" w:color="auto"/>
        <w:bottom w:val="none" w:sz="0" w:space="0" w:color="auto"/>
        <w:right w:val="none" w:sz="0" w:space="0" w:color="auto"/>
      </w:divBdr>
    </w:div>
    <w:div w:id="67074934">
      <w:bodyDiv w:val="1"/>
      <w:marLeft w:val="0"/>
      <w:marRight w:val="0"/>
      <w:marTop w:val="0"/>
      <w:marBottom w:val="0"/>
      <w:divBdr>
        <w:top w:val="none" w:sz="0" w:space="0" w:color="auto"/>
        <w:left w:val="none" w:sz="0" w:space="0" w:color="auto"/>
        <w:bottom w:val="none" w:sz="0" w:space="0" w:color="auto"/>
        <w:right w:val="none" w:sz="0" w:space="0" w:color="auto"/>
      </w:divBdr>
      <w:divsChild>
        <w:div w:id="312562954">
          <w:marLeft w:val="0"/>
          <w:marRight w:val="0"/>
          <w:marTop w:val="0"/>
          <w:marBottom w:val="0"/>
          <w:divBdr>
            <w:top w:val="none" w:sz="0" w:space="0" w:color="auto"/>
            <w:left w:val="none" w:sz="0" w:space="0" w:color="auto"/>
            <w:bottom w:val="none" w:sz="0" w:space="0" w:color="auto"/>
            <w:right w:val="none" w:sz="0" w:space="0" w:color="auto"/>
          </w:divBdr>
          <w:divsChild>
            <w:div w:id="18812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206">
      <w:bodyDiv w:val="1"/>
      <w:marLeft w:val="0"/>
      <w:marRight w:val="0"/>
      <w:marTop w:val="0"/>
      <w:marBottom w:val="0"/>
      <w:divBdr>
        <w:top w:val="none" w:sz="0" w:space="0" w:color="auto"/>
        <w:left w:val="none" w:sz="0" w:space="0" w:color="auto"/>
        <w:bottom w:val="none" w:sz="0" w:space="0" w:color="auto"/>
        <w:right w:val="none" w:sz="0" w:space="0" w:color="auto"/>
      </w:divBdr>
    </w:div>
    <w:div w:id="93323844">
      <w:bodyDiv w:val="1"/>
      <w:marLeft w:val="0"/>
      <w:marRight w:val="0"/>
      <w:marTop w:val="0"/>
      <w:marBottom w:val="0"/>
      <w:divBdr>
        <w:top w:val="none" w:sz="0" w:space="0" w:color="auto"/>
        <w:left w:val="none" w:sz="0" w:space="0" w:color="auto"/>
        <w:bottom w:val="none" w:sz="0" w:space="0" w:color="auto"/>
        <w:right w:val="none" w:sz="0" w:space="0" w:color="auto"/>
      </w:divBdr>
    </w:div>
    <w:div w:id="96801129">
      <w:bodyDiv w:val="1"/>
      <w:marLeft w:val="0"/>
      <w:marRight w:val="0"/>
      <w:marTop w:val="0"/>
      <w:marBottom w:val="0"/>
      <w:divBdr>
        <w:top w:val="none" w:sz="0" w:space="0" w:color="auto"/>
        <w:left w:val="none" w:sz="0" w:space="0" w:color="auto"/>
        <w:bottom w:val="none" w:sz="0" w:space="0" w:color="auto"/>
        <w:right w:val="none" w:sz="0" w:space="0" w:color="auto"/>
      </w:divBdr>
    </w:div>
    <w:div w:id="108671580">
      <w:bodyDiv w:val="1"/>
      <w:marLeft w:val="0"/>
      <w:marRight w:val="0"/>
      <w:marTop w:val="0"/>
      <w:marBottom w:val="0"/>
      <w:divBdr>
        <w:top w:val="none" w:sz="0" w:space="0" w:color="auto"/>
        <w:left w:val="none" w:sz="0" w:space="0" w:color="auto"/>
        <w:bottom w:val="none" w:sz="0" w:space="0" w:color="auto"/>
        <w:right w:val="none" w:sz="0" w:space="0" w:color="auto"/>
      </w:divBdr>
    </w:div>
    <w:div w:id="123625212">
      <w:bodyDiv w:val="1"/>
      <w:marLeft w:val="0"/>
      <w:marRight w:val="0"/>
      <w:marTop w:val="0"/>
      <w:marBottom w:val="0"/>
      <w:divBdr>
        <w:top w:val="none" w:sz="0" w:space="0" w:color="auto"/>
        <w:left w:val="none" w:sz="0" w:space="0" w:color="auto"/>
        <w:bottom w:val="none" w:sz="0" w:space="0" w:color="auto"/>
        <w:right w:val="none" w:sz="0" w:space="0" w:color="auto"/>
      </w:divBdr>
      <w:divsChild>
        <w:div w:id="406072293">
          <w:marLeft w:val="547"/>
          <w:marRight w:val="0"/>
          <w:marTop w:val="0"/>
          <w:marBottom w:val="0"/>
          <w:divBdr>
            <w:top w:val="none" w:sz="0" w:space="0" w:color="auto"/>
            <w:left w:val="none" w:sz="0" w:space="0" w:color="auto"/>
            <w:bottom w:val="none" w:sz="0" w:space="0" w:color="auto"/>
            <w:right w:val="none" w:sz="0" w:space="0" w:color="auto"/>
          </w:divBdr>
        </w:div>
      </w:divsChild>
    </w:div>
    <w:div w:id="130946897">
      <w:bodyDiv w:val="1"/>
      <w:marLeft w:val="0"/>
      <w:marRight w:val="0"/>
      <w:marTop w:val="0"/>
      <w:marBottom w:val="0"/>
      <w:divBdr>
        <w:top w:val="none" w:sz="0" w:space="0" w:color="auto"/>
        <w:left w:val="none" w:sz="0" w:space="0" w:color="auto"/>
        <w:bottom w:val="none" w:sz="0" w:space="0" w:color="auto"/>
        <w:right w:val="none" w:sz="0" w:space="0" w:color="auto"/>
      </w:divBdr>
    </w:div>
    <w:div w:id="131559358">
      <w:bodyDiv w:val="1"/>
      <w:marLeft w:val="0"/>
      <w:marRight w:val="0"/>
      <w:marTop w:val="0"/>
      <w:marBottom w:val="0"/>
      <w:divBdr>
        <w:top w:val="none" w:sz="0" w:space="0" w:color="auto"/>
        <w:left w:val="none" w:sz="0" w:space="0" w:color="auto"/>
        <w:bottom w:val="none" w:sz="0" w:space="0" w:color="auto"/>
        <w:right w:val="none" w:sz="0" w:space="0" w:color="auto"/>
      </w:divBdr>
      <w:divsChild>
        <w:div w:id="145246609">
          <w:marLeft w:val="360"/>
          <w:marRight w:val="0"/>
          <w:marTop w:val="200"/>
          <w:marBottom w:val="0"/>
          <w:divBdr>
            <w:top w:val="none" w:sz="0" w:space="0" w:color="auto"/>
            <w:left w:val="none" w:sz="0" w:space="0" w:color="auto"/>
            <w:bottom w:val="none" w:sz="0" w:space="0" w:color="auto"/>
            <w:right w:val="none" w:sz="0" w:space="0" w:color="auto"/>
          </w:divBdr>
        </w:div>
        <w:div w:id="825125152">
          <w:marLeft w:val="806"/>
          <w:marRight w:val="0"/>
          <w:marTop w:val="200"/>
          <w:marBottom w:val="0"/>
          <w:divBdr>
            <w:top w:val="none" w:sz="0" w:space="0" w:color="auto"/>
            <w:left w:val="none" w:sz="0" w:space="0" w:color="auto"/>
            <w:bottom w:val="none" w:sz="0" w:space="0" w:color="auto"/>
            <w:right w:val="none" w:sz="0" w:space="0" w:color="auto"/>
          </w:divBdr>
        </w:div>
        <w:div w:id="1233544499">
          <w:marLeft w:val="806"/>
          <w:marRight w:val="0"/>
          <w:marTop w:val="200"/>
          <w:marBottom w:val="0"/>
          <w:divBdr>
            <w:top w:val="none" w:sz="0" w:space="0" w:color="auto"/>
            <w:left w:val="none" w:sz="0" w:space="0" w:color="auto"/>
            <w:bottom w:val="none" w:sz="0" w:space="0" w:color="auto"/>
            <w:right w:val="none" w:sz="0" w:space="0" w:color="auto"/>
          </w:divBdr>
        </w:div>
      </w:divsChild>
    </w:div>
    <w:div w:id="152335907">
      <w:bodyDiv w:val="1"/>
      <w:marLeft w:val="0"/>
      <w:marRight w:val="0"/>
      <w:marTop w:val="0"/>
      <w:marBottom w:val="0"/>
      <w:divBdr>
        <w:top w:val="none" w:sz="0" w:space="0" w:color="auto"/>
        <w:left w:val="none" w:sz="0" w:space="0" w:color="auto"/>
        <w:bottom w:val="none" w:sz="0" w:space="0" w:color="auto"/>
        <w:right w:val="none" w:sz="0" w:space="0" w:color="auto"/>
      </w:divBdr>
      <w:divsChild>
        <w:div w:id="523785242">
          <w:marLeft w:val="547"/>
          <w:marRight w:val="0"/>
          <w:marTop w:val="0"/>
          <w:marBottom w:val="0"/>
          <w:divBdr>
            <w:top w:val="none" w:sz="0" w:space="0" w:color="auto"/>
            <w:left w:val="none" w:sz="0" w:space="0" w:color="auto"/>
            <w:bottom w:val="none" w:sz="0" w:space="0" w:color="auto"/>
            <w:right w:val="none" w:sz="0" w:space="0" w:color="auto"/>
          </w:divBdr>
        </w:div>
        <w:div w:id="1395810504">
          <w:marLeft w:val="547"/>
          <w:marRight w:val="0"/>
          <w:marTop w:val="0"/>
          <w:marBottom w:val="0"/>
          <w:divBdr>
            <w:top w:val="none" w:sz="0" w:space="0" w:color="auto"/>
            <w:left w:val="none" w:sz="0" w:space="0" w:color="auto"/>
            <w:bottom w:val="none" w:sz="0" w:space="0" w:color="auto"/>
            <w:right w:val="none" w:sz="0" w:space="0" w:color="auto"/>
          </w:divBdr>
        </w:div>
      </w:divsChild>
    </w:div>
    <w:div w:id="157115672">
      <w:bodyDiv w:val="1"/>
      <w:marLeft w:val="0"/>
      <w:marRight w:val="0"/>
      <w:marTop w:val="0"/>
      <w:marBottom w:val="0"/>
      <w:divBdr>
        <w:top w:val="none" w:sz="0" w:space="0" w:color="auto"/>
        <w:left w:val="none" w:sz="0" w:space="0" w:color="auto"/>
        <w:bottom w:val="none" w:sz="0" w:space="0" w:color="auto"/>
        <w:right w:val="none" w:sz="0" w:space="0" w:color="auto"/>
      </w:divBdr>
    </w:div>
    <w:div w:id="161236162">
      <w:bodyDiv w:val="1"/>
      <w:marLeft w:val="0"/>
      <w:marRight w:val="0"/>
      <w:marTop w:val="0"/>
      <w:marBottom w:val="0"/>
      <w:divBdr>
        <w:top w:val="none" w:sz="0" w:space="0" w:color="auto"/>
        <w:left w:val="none" w:sz="0" w:space="0" w:color="auto"/>
        <w:bottom w:val="none" w:sz="0" w:space="0" w:color="auto"/>
        <w:right w:val="none" w:sz="0" w:space="0" w:color="auto"/>
      </w:divBdr>
    </w:div>
    <w:div w:id="180093144">
      <w:bodyDiv w:val="1"/>
      <w:marLeft w:val="0"/>
      <w:marRight w:val="0"/>
      <w:marTop w:val="0"/>
      <w:marBottom w:val="0"/>
      <w:divBdr>
        <w:top w:val="none" w:sz="0" w:space="0" w:color="auto"/>
        <w:left w:val="none" w:sz="0" w:space="0" w:color="auto"/>
        <w:bottom w:val="none" w:sz="0" w:space="0" w:color="auto"/>
        <w:right w:val="none" w:sz="0" w:space="0" w:color="auto"/>
      </w:divBdr>
      <w:divsChild>
        <w:div w:id="1920670635">
          <w:marLeft w:val="0"/>
          <w:marRight w:val="0"/>
          <w:marTop w:val="0"/>
          <w:marBottom w:val="0"/>
          <w:divBdr>
            <w:top w:val="none" w:sz="0" w:space="0" w:color="auto"/>
            <w:left w:val="none" w:sz="0" w:space="0" w:color="auto"/>
            <w:bottom w:val="none" w:sz="0" w:space="0" w:color="auto"/>
            <w:right w:val="none" w:sz="0" w:space="0" w:color="auto"/>
          </w:divBdr>
          <w:divsChild>
            <w:div w:id="1843157405">
              <w:marLeft w:val="0"/>
              <w:marRight w:val="0"/>
              <w:marTop w:val="0"/>
              <w:marBottom w:val="0"/>
              <w:divBdr>
                <w:top w:val="none" w:sz="0" w:space="0" w:color="auto"/>
                <w:left w:val="none" w:sz="0" w:space="0" w:color="auto"/>
                <w:bottom w:val="none" w:sz="0" w:space="0" w:color="auto"/>
                <w:right w:val="none" w:sz="0" w:space="0" w:color="auto"/>
              </w:divBdr>
              <w:divsChild>
                <w:div w:id="125242775">
                  <w:marLeft w:val="0"/>
                  <w:marRight w:val="0"/>
                  <w:marTop w:val="0"/>
                  <w:marBottom w:val="0"/>
                  <w:divBdr>
                    <w:top w:val="none" w:sz="0" w:space="0" w:color="auto"/>
                    <w:left w:val="none" w:sz="0" w:space="0" w:color="auto"/>
                    <w:bottom w:val="none" w:sz="0" w:space="0" w:color="auto"/>
                    <w:right w:val="none" w:sz="0" w:space="0" w:color="auto"/>
                  </w:divBdr>
                  <w:divsChild>
                    <w:div w:id="1597205979">
                      <w:marLeft w:val="0"/>
                      <w:marRight w:val="0"/>
                      <w:marTop w:val="0"/>
                      <w:marBottom w:val="0"/>
                      <w:divBdr>
                        <w:top w:val="none" w:sz="0" w:space="0" w:color="auto"/>
                        <w:left w:val="none" w:sz="0" w:space="0" w:color="auto"/>
                        <w:bottom w:val="none" w:sz="0" w:space="0" w:color="auto"/>
                        <w:right w:val="none" w:sz="0" w:space="0" w:color="auto"/>
                      </w:divBdr>
                      <w:divsChild>
                        <w:div w:id="1528642053">
                          <w:marLeft w:val="0"/>
                          <w:marRight w:val="0"/>
                          <w:marTop w:val="0"/>
                          <w:marBottom w:val="0"/>
                          <w:divBdr>
                            <w:top w:val="none" w:sz="0" w:space="0" w:color="auto"/>
                            <w:left w:val="none" w:sz="0" w:space="0" w:color="auto"/>
                            <w:bottom w:val="none" w:sz="0" w:space="0" w:color="auto"/>
                            <w:right w:val="none" w:sz="0" w:space="0" w:color="auto"/>
                          </w:divBdr>
                          <w:divsChild>
                            <w:div w:id="15684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33890">
      <w:bodyDiv w:val="1"/>
      <w:marLeft w:val="0"/>
      <w:marRight w:val="0"/>
      <w:marTop w:val="0"/>
      <w:marBottom w:val="0"/>
      <w:divBdr>
        <w:top w:val="none" w:sz="0" w:space="0" w:color="auto"/>
        <w:left w:val="none" w:sz="0" w:space="0" w:color="auto"/>
        <w:bottom w:val="none" w:sz="0" w:space="0" w:color="auto"/>
        <w:right w:val="none" w:sz="0" w:space="0" w:color="auto"/>
      </w:divBdr>
    </w:div>
    <w:div w:id="183642223">
      <w:bodyDiv w:val="1"/>
      <w:marLeft w:val="0"/>
      <w:marRight w:val="0"/>
      <w:marTop w:val="0"/>
      <w:marBottom w:val="0"/>
      <w:divBdr>
        <w:top w:val="none" w:sz="0" w:space="0" w:color="auto"/>
        <w:left w:val="none" w:sz="0" w:space="0" w:color="auto"/>
        <w:bottom w:val="none" w:sz="0" w:space="0" w:color="auto"/>
        <w:right w:val="none" w:sz="0" w:space="0" w:color="auto"/>
      </w:divBdr>
    </w:div>
    <w:div w:id="184289102">
      <w:bodyDiv w:val="1"/>
      <w:marLeft w:val="0"/>
      <w:marRight w:val="0"/>
      <w:marTop w:val="0"/>
      <w:marBottom w:val="0"/>
      <w:divBdr>
        <w:top w:val="none" w:sz="0" w:space="0" w:color="auto"/>
        <w:left w:val="none" w:sz="0" w:space="0" w:color="auto"/>
        <w:bottom w:val="none" w:sz="0" w:space="0" w:color="auto"/>
        <w:right w:val="none" w:sz="0" w:space="0" w:color="auto"/>
      </w:divBdr>
    </w:div>
    <w:div w:id="188379681">
      <w:bodyDiv w:val="1"/>
      <w:marLeft w:val="0"/>
      <w:marRight w:val="0"/>
      <w:marTop w:val="0"/>
      <w:marBottom w:val="0"/>
      <w:divBdr>
        <w:top w:val="none" w:sz="0" w:space="0" w:color="auto"/>
        <w:left w:val="none" w:sz="0" w:space="0" w:color="auto"/>
        <w:bottom w:val="none" w:sz="0" w:space="0" w:color="auto"/>
        <w:right w:val="none" w:sz="0" w:space="0" w:color="auto"/>
      </w:divBdr>
      <w:divsChild>
        <w:div w:id="2064863174">
          <w:marLeft w:val="0"/>
          <w:marRight w:val="0"/>
          <w:marTop w:val="0"/>
          <w:marBottom w:val="0"/>
          <w:divBdr>
            <w:top w:val="none" w:sz="0" w:space="0" w:color="auto"/>
            <w:left w:val="none" w:sz="0" w:space="0" w:color="auto"/>
            <w:bottom w:val="none" w:sz="0" w:space="0" w:color="auto"/>
            <w:right w:val="none" w:sz="0" w:space="0" w:color="auto"/>
          </w:divBdr>
          <w:divsChild>
            <w:div w:id="69134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4858">
      <w:bodyDiv w:val="1"/>
      <w:marLeft w:val="0"/>
      <w:marRight w:val="0"/>
      <w:marTop w:val="0"/>
      <w:marBottom w:val="0"/>
      <w:divBdr>
        <w:top w:val="none" w:sz="0" w:space="0" w:color="auto"/>
        <w:left w:val="none" w:sz="0" w:space="0" w:color="auto"/>
        <w:bottom w:val="none" w:sz="0" w:space="0" w:color="auto"/>
        <w:right w:val="none" w:sz="0" w:space="0" w:color="auto"/>
      </w:divBdr>
    </w:div>
    <w:div w:id="204634508">
      <w:bodyDiv w:val="1"/>
      <w:marLeft w:val="0"/>
      <w:marRight w:val="0"/>
      <w:marTop w:val="0"/>
      <w:marBottom w:val="0"/>
      <w:divBdr>
        <w:top w:val="none" w:sz="0" w:space="0" w:color="auto"/>
        <w:left w:val="none" w:sz="0" w:space="0" w:color="auto"/>
        <w:bottom w:val="none" w:sz="0" w:space="0" w:color="auto"/>
        <w:right w:val="none" w:sz="0" w:space="0" w:color="auto"/>
      </w:divBdr>
    </w:div>
    <w:div w:id="204871384">
      <w:bodyDiv w:val="1"/>
      <w:marLeft w:val="0"/>
      <w:marRight w:val="0"/>
      <w:marTop w:val="0"/>
      <w:marBottom w:val="0"/>
      <w:divBdr>
        <w:top w:val="none" w:sz="0" w:space="0" w:color="auto"/>
        <w:left w:val="none" w:sz="0" w:space="0" w:color="auto"/>
        <w:bottom w:val="none" w:sz="0" w:space="0" w:color="auto"/>
        <w:right w:val="none" w:sz="0" w:space="0" w:color="auto"/>
      </w:divBdr>
    </w:div>
    <w:div w:id="209735225">
      <w:bodyDiv w:val="1"/>
      <w:marLeft w:val="0"/>
      <w:marRight w:val="0"/>
      <w:marTop w:val="0"/>
      <w:marBottom w:val="0"/>
      <w:divBdr>
        <w:top w:val="none" w:sz="0" w:space="0" w:color="auto"/>
        <w:left w:val="none" w:sz="0" w:space="0" w:color="auto"/>
        <w:bottom w:val="none" w:sz="0" w:space="0" w:color="auto"/>
        <w:right w:val="none" w:sz="0" w:space="0" w:color="auto"/>
      </w:divBdr>
    </w:div>
    <w:div w:id="211892062">
      <w:bodyDiv w:val="1"/>
      <w:marLeft w:val="0"/>
      <w:marRight w:val="0"/>
      <w:marTop w:val="0"/>
      <w:marBottom w:val="0"/>
      <w:divBdr>
        <w:top w:val="none" w:sz="0" w:space="0" w:color="auto"/>
        <w:left w:val="none" w:sz="0" w:space="0" w:color="auto"/>
        <w:bottom w:val="none" w:sz="0" w:space="0" w:color="auto"/>
        <w:right w:val="none" w:sz="0" w:space="0" w:color="auto"/>
      </w:divBdr>
      <w:divsChild>
        <w:div w:id="32190597">
          <w:marLeft w:val="0"/>
          <w:marRight w:val="0"/>
          <w:marTop w:val="0"/>
          <w:marBottom w:val="0"/>
          <w:divBdr>
            <w:top w:val="none" w:sz="0" w:space="0" w:color="auto"/>
            <w:left w:val="none" w:sz="0" w:space="0" w:color="auto"/>
            <w:bottom w:val="none" w:sz="0" w:space="0" w:color="auto"/>
            <w:right w:val="none" w:sz="0" w:space="0" w:color="auto"/>
          </w:divBdr>
        </w:div>
        <w:div w:id="1901792901">
          <w:marLeft w:val="0"/>
          <w:marRight w:val="0"/>
          <w:marTop w:val="0"/>
          <w:marBottom w:val="0"/>
          <w:divBdr>
            <w:top w:val="none" w:sz="0" w:space="0" w:color="auto"/>
            <w:left w:val="none" w:sz="0" w:space="0" w:color="auto"/>
            <w:bottom w:val="none" w:sz="0" w:space="0" w:color="auto"/>
            <w:right w:val="none" w:sz="0" w:space="0" w:color="auto"/>
          </w:divBdr>
          <w:divsChild>
            <w:div w:id="1928149406">
              <w:marLeft w:val="0"/>
              <w:marRight w:val="0"/>
              <w:marTop w:val="0"/>
              <w:marBottom w:val="0"/>
              <w:divBdr>
                <w:top w:val="none" w:sz="0" w:space="0" w:color="auto"/>
                <w:left w:val="none" w:sz="0" w:space="0" w:color="auto"/>
                <w:bottom w:val="none" w:sz="0" w:space="0" w:color="auto"/>
                <w:right w:val="none" w:sz="0" w:space="0" w:color="auto"/>
              </w:divBdr>
              <w:divsChild>
                <w:div w:id="1666980358">
                  <w:marLeft w:val="0"/>
                  <w:marRight w:val="0"/>
                  <w:marTop w:val="0"/>
                  <w:marBottom w:val="0"/>
                  <w:divBdr>
                    <w:top w:val="none" w:sz="0" w:space="0" w:color="auto"/>
                    <w:left w:val="none" w:sz="0" w:space="0" w:color="auto"/>
                    <w:bottom w:val="none" w:sz="0" w:space="0" w:color="auto"/>
                    <w:right w:val="none" w:sz="0" w:space="0" w:color="auto"/>
                  </w:divBdr>
                  <w:divsChild>
                    <w:div w:id="1077898130">
                      <w:marLeft w:val="0"/>
                      <w:marRight w:val="0"/>
                      <w:marTop w:val="0"/>
                      <w:marBottom w:val="0"/>
                      <w:divBdr>
                        <w:top w:val="none" w:sz="0" w:space="0" w:color="auto"/>
                        <w:left w:val="none" w:sz="0" w:space="0" w:color="auto"/>
                        <w:bottom w:val="none" w:sz="0" w:space="0" w:color="auto"/>
                        <w:right w:val="none" w:sz="0" w:space="0" w:color="auto"/>
                      </w:divBdr>
                    </w:div>
                    <w:div w:id="1090615977">
                      <w:marLeft w:val="0"/>
                      <w:marRight w:val="0"/>
                      <w:marTop w:val="0"/>
                      <w:marBottom w:val="0"/>
                      <w:divBdr>
                        <w:top w:val="none" w:sz="0" w:space="0" w:color="auto"/>
                        <w:left w:val="none" w:sz="0" w:space="0" w:color="auto"/>
                        <w:bottom w:val="none" w:sz="0" w:space="0" w:color="auto"/>
                        <w:right w:val="none" w:sz="0" w:space="0" w:color="auto"/>
                      </w:divBdr>
                    </w:div>
                    <w:div w:id="17162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79991">
      <w:bodyDiv w:val="1"/>
      <w:marLeft w:val="0"/>
      <w:marRight w:val="0"/>
      <w:marTop w:val="0"/>
      <w:marBottom w:val="0"/>
      <w:divBdr>
        <w:top w:val="none" w:sz="0" w:space="0" w:color="auto"/>
        <w:left w:val="none" w:sz="0" w:space="0" w:color="auto"/>
        <w:bottom w:val="none" w:sz="0" w:space="0" w:color="auto"/>
        <w:right w:val="none" w:sz="0" w:space="0" w:color="auto"/>
      </w:divBdr>
    </w:div>
    <w:div w:id="216019395">
      <w:bodyDiv w:val="1"/>
      <w:marLeft w:val="0"/>
      <w:marRight w:val="0"/>
      <w:marTop w:val="0"/>
      <w:marBottom w:val="0"/>
      <w:divBdr>
        <w:top w:val="none" w:sz="0" w:space="0" w:color="auto"/>
        <w:left w:val="none" w:sz="0" w:space="0" w:color="auto"/>
        <w:bottom w:val="none" w:sz="0" w:space="0" w:color="auto"/>
        <w:right w:val="none" w:sz="0" w:space="0" w:color="auto"/>
      </w:divBdr>
    </w:div>
    <w:div w:id="218442180">
      <w:bodyDiv w:val="1"/>
      <w:marLeft w:val="0"/>
      <w:marRight w:val="0"/>
      <w:marTop w:val="0"/>
      <w:marBottom w:val="0"/>
      <w:divBdr>
        <w:top w:val="none" w:sz="0" w:space="0" w:color="auto"/>
        <w:left w:val="none" w:sz="0" w:space="0" w:color="auto"/>
        <w:bottom w:val="none" w:sz="0" w:space="0" w:color="auto"/>
        <w:right w:val="none" w:sz="0" w:space="0" w:color="auto"/>
      </w:divBdr>
    </w:div>
    <w:div w:id="218514099">
      <w:bodyDiv w:val="1"/>
      <w:marLeft w:val="0"/>
      <w:marRight w:val="0"/>
      <w:marTop w:val="0"/>
      <w:marBottom w:val="0"/>
      <w:divBdr>
        <w:top w:val="none" w:sz="0" w:space="0" w:color="auto"/>
        <w:left w:val="none" w:sz="0" w:space="0" w:color="auto"/>
        <w:bottom w:val="none" w:sz="0" w:space="0" w:color="auto"/>
        <w:right w:val="none" w:sz="0" w:space="0" w:color="auto"/>
      </w:divBdr>
    </w:div>
    <w:div w:id="221714244">
      <w:bodyDiv w:val="1"/>
      <w:marLeft w:val="0"/>
      <w:marRight w:val="0"/>
      <w:marTop w:val="0"/>
      <w:marBottom w:val="0"/>
      <w:divBdr>
        <w:top w:val="none" w:sz="0" w:space="0" w:color="auto"/>
        <w:left w:val="none" w:sz="0" w:space="0" w:color="auto"/>
        <w:bottom w:val="none" w:sz="0" w:space="0" w:color="auto"/>
        <w:right w:val="none" w:sz="0" w:space="0" w:color="auto"/>
      </w:divBdr>
    </w:div>
    <w:div w:id="238906632">
      <w:bodyDiv w:val="1"/>
      <w:marLeft w:val="0"/>
      <w:marRight w:val="0"/>
      <w:marTop w:val="0"/>
      <w:marBottom w:val="0"/>
      <w:divBdr>
        <w:top w:val="none" w:sz="0" w:space="0" w:color="auto"/>
        <w:left w:val="none" w:sz="0" w:space="0" w:color="auto"/>
        <w:bottom w:val="none" w:sz="0" w:space="0" w:color="auto"/>
        <w:right w:val="none" w:sz="0" w:space="0" w:color="auto"/>
      </w:divBdr>
    </w:div>
    <w:div w:id="250092091">
      <w:bodyDiv w:val="1"/>
      <w:marLeft w:val="0"/>
      <w:marRight w:val="0"/>
      <w:marTop w:val="0"/>
      <w:marBottom w:val="0"/>
      <w:divBdr>
        <w:top w:val="none" w:sz="0" w:space="0" w:color="auto"/>
        <w:left w:val="none" w:sz="0" w:space="0" w:color="auto"/>
        <w:bottom w:val="none" w:sz="0" w:space="0" w:color="auto"/>
        <w:right w:val="none" w:sz="0" w:space="0" w:color="auto"/>
      </w:divBdr>
    </w:div>
    <w:div w:id="263611496">
      <w:bodyDiv w:val="1"/>
      <w:marLeft w:val="0"/>
      <w:marRight w:val="0"/>
      <w:marTop w:val="0"/>
      <w:marBottom w:val="0"/>
      <w:divBdr>
        <w:top w:val="none" w:sz="0" w:space="0" w:color="auto"/>
        <w:left w:val="none" w:sz="0" w:space="0" w:color="auto"/>
        <w:bottom w:val="none" w:sz="0" w:space="0" w:color="auto"/>
        <w:right w:val="none" w:sz="0" w:space="0" w:color="auto"/>
      </w:divBdr>
    </w:div>
    <w:div w:id="265767774">
      <w:bodyDiv w:val="1"/>
      <w:marLeft w:val="0"/>
      <w:marRight w:val="0"/>
      <w:marTop w:val="0"/>
      <w:marBottom w:val="0"/>
      <w:divBdr>
        <w:top w:val="none" w:sz="0" w:space="0" w:color="auto"/>
        <w:left w:val="none" w:sz="0" w:space="0" w:color="auto"/>
        <w:bottom w:val="none" w:sz="0" w:space="0" w:color="auto"/>
        <w:right w:val="none" w:sz="0" w:space="0" w:color="auto"/>
      </w:divBdr>
    </w:div>
    <w:div w:id="273830128">
      <w:bodyDiv w:val="1"/>
      <w:marLeft w:val="0"/>
      <w:marRight w:val="0"/>
      <w:marTop w:val="0"/>
      <w:marBottom w:val="0"/>
      <w:divBdr>
        <w:top w:val="none" w:sz="0" w:space="0" w:color="auto"/>
        <w:left w:val="none" w:sz="0" w:space="0" w:color="auto"/>
        <w:bottom w:val="none" w:sz="0" w:space="0" w:color="auto"/>
        <w:right w:val="none" w:sz="0" w:space="0" w:color="auto"/>
      </w:divBdr>
    </w:div>
    <w:div w:id="289166102">
      <w:bodyDiv w:val="1"/>
      <w:marLeft w:val="0"/>
      <w:marRight w:val="0"/>
      <w:marTop w:val="0"/>
      <w:marBottom w:val="0"/>
      <w:divBdr>
        <w:top w:val="none" w:sz="0" w:space="0" w:color="auto"/>
        <w:left w:val="none" w:sz="0" w:space="0" w:color="auto"/>
        <w:bottom w:val="none" w:sz="0" w:space="0" w:color="auto"/>
        <w:right w:val="none" w:sz="0" w:space="0" w:color="auto"/>
      </w:divBdr>
    </w:div>
    <w:div w:id="317808631">
      <w:bodyDiv w:val="1"/>
      <w:marLeft w:val="0"/>
      <w:marRight w:val="0"/>
      <w:marTop w:val="0"/>
      <w:marBottom w:val="0"/>
      <w:divBdr>
        <w:top w:val="none" w:sz="0" w:space="0" w:color="auto"/>
        <w:left w:val="none" w:sz="0" w:space="0" w:color="auto"/>
        <w:bottom w:val="none" w:sz="0" w:space="0" w:color="auto"/>
        <w:right w:val="none" w:sz="0" w:space="0" w:color="auto"/>
      </w:divBdr>
    </w:div>
    <w:div w:id="359671086">
      <w:bodyDiv w:val="1"/>
      <w:marLeft w:val="0"/>
      <w:marRight w:val="0"/>
      <w:marTop w:val="0"/>
      <w:marBottom w:val="0"/>
      <w:divBdr>
        <w:top w:val="none" w:sz="0" w:space="0" w:color="auto"/>
        <w:left w:val="none" w:sz="0" w:space="0" w:color="auto"/>
        <w:bottom w:val="none" w:sz="0" w:space="0" w:color="auto"/>
        <w:right w:val="none" w:sz="0" w:space="0" w:color="auto"/>
      </w:divBdr>
      <w:divsChild>
        <w:div w:id="332539136">
          <w:marLeft w:val="547"/>
          <w:marRight w:val="0"/>
          <w:marTop w:val="0"/>
          <w:marBottom w:val="0"/>
          <w:divBdr>
            <w:top w:val="none" w:sz="0" w:space="0" w:color="auto"/>
            <w:left w:val="none" w:sz="0" w:space="0" w:color="auto"/>
            <w:bottom w:val="none" w:sz="0" w:space="0" w:color="auto"/>
            <w:right w:val="none" w:sz="0" w:space="0" w:color="auto"/>
          </w:divBdr>
        </w:div>
      </w:divsChild>
    </w:div>
    <w:div w:id="360980123">
      <w:bodyDiv w:val="1"/>
      <w:marLeft w:val="0"/>
      <w:marRight w:val="0"/>
      <w:marTop w:val="0"/>
      <w:marBottom w:val="0"/>
      <w:divBdr>
        <w:top w:val="none" w:sz="0" w:space="0" w:color="auto"/>
        <w:left w:val="none" w:sz="0" w:space="0" w:color="auto"/>
        <w:bottom w:val="none" w:sz="0" w:space="0" w:color="auto"/>
        <w:right w:val="none" w:sz="0" w:space="0" w:color="auto"/>
      </w:divBdr>
    </w:div>
    <w:div w:id="363333752">
      <w:bodyDiv w:val="1"/>
      <w:marLeft w:val="0"/>
      <w:marRight w:val="0"/>
      <w:marTop w:val="0"/>
      <w:marBottom w:val="0"/>
      <w:divBdr>
        <w:top w:val="none" w:sz="0" w:space="0" w:color="auto"/>
        <w:left w:val="none" w:sz="0" w:space="0" w:color="auto"/>
        <w:bottom w:val="none" w:sz="0" w:space="0" w:color="auto"/>
        <w:right w:val="none" w:sz="0" w:space="0" w:color="auto"/>
      </w:divBdr>
    </w:div>
    <w:div w:id="366759525">
      <w:bodyDiv w:val="1"/>
      <w:marLeft w:val="0"/>
      <w:marRight w:val="0"/>
      <w:marTop w:val="0"/>
      <w:marBottom w:val="0"/>
      <w:divBdr>
        <w:top w:val="none" w:sz="0" w:space="0" w:color="auto"/>
        <w:left w:val="none" w:sz="0" w:space="0" w:color="auto"/>
        <w:bottom w:val="none" w:sz="0" w:space="0" w:color="auto"/>
        <w:right w:val="none" w:sz="0" w:space="0" w:color="auto"/>
      </w:divBdr>
    </w:div>
    <w:div w:id="369035473">
      <w:bodyDiv w:val="1"/>
      <w:marLeft w:val="0"/>
      <w:marRight w:val="0"/>
      <w:marTop w:val="0"/>
      <w:marBottom w:val="0"/>
      <w:divBdr>
        <w:top w:val="none" w:sz="0" w:space="0" w:color="auto"/>
        <w:left w:val="none" w:sz="0" w:space="0" w:color="auto"/>
        <w:bottom w:val="none" w:sz="0" w:space="0" w:color="auto"/>
        <w:right w:val="none" w:sz="0" w:space="0" w:color="auto"/>
      </w:divBdr>
    </w:div>
    <w:div w:id="386537289">
      <w:bodyDiv w:val="1"/>
      <w:marLeft w:val="0"/>
      <w:marRight w:val="0"/>
      <w:marTop w:val="0"/>
      <w:marBottom w:val="0"/>
      <w:divBdr>
        <w:top w:val="none" w:sz="0" w:space="0" w:color="auto"/>
        <w:left w:val="none" w:sz="0" w:space="0" w:color="auto"/>
        <w:bottom w:val="none" w:sz="0" w:space="0" w:color="auto"/>
        <w:right w:val="none" w:sz="0" w:space="0" w:color="auto"/>
      </w:divBdr>
    </w:div>
    <w:div w:id="386884137">
      <w:bodyDiv w:val="1"/>
      <w:marLeft w:val="0"/>
      <w:marRight w:val="0"/>
      <w:marTop w:val="0"/>
      <w:marBottom w:val="0"/>
      <w:divBdr>
        <w:top w:val="none" w:sz="0" w:space="0" w:color="auto"/>
        <w:left w:val="none" w:sz="0" w:space="0" w:color="auto"/>
        <w:bottom w:val="none" w:sz="0" w:space="0" w:color="auto"/>
        <w:right w:val="none" w:sz="0" w:space="0" w:color="auto"/>
      </w:divBdr>
    </w:div>
    <w:div w:id="395322702">
      <w:bodyDiv w:val="1"/>
      <w:marLeft w:val="0"/>
      <w:marRight w:val="0"/>
      <w:marTop w:val="0"/>
      <w:marBottom w:val="0"/>
      <w:divBdr>
        <w:top w:val="none" w:sz="0" w:space="0" w:color="auto"/>
        <w:left w:val="none" w:sz="0" w:space="0" w:color="auto"/>
        <w:bottom w:val="none" w:sz="0" w:space="0" w:color="auto"/>
        <w:right w:val="none" w:sz="0" w:space="0" w:color="auto"/>
      </w:divBdr>
    </w:div>
    <w:div w:id="396900801">
      <w:bodyDiv w:val="1"/>
      <w:marLeft w:val="0"/>
      <w:marRight w:val="0"/>
      <w:marTop w:val="0"/>
      <w:marBottom w:val="0"/>
      <w:divBdr>
        <w:top w:val="none" w:sz="0" w:space="0" w:color="auto"/>
        <w:left w:val="none" w:sz="0" w:space="0" w:color="auto"/>
        <w:bottom w:val="none" w:sz="0" w:space="0" w:color="auto"/>
        <w:right w:val="none" w:sz="0" w:space="0" w:color="auto"/>
      </w:divBdr>
    </w:div>
    <w:div w:id="400564730">
      <w:bodyDiv w:val="1"/>
      <w:marLeft w:val="0"/>
      <w:marRight w:val="0"/>
      <w:marTop w:val="0"/>
      <w:marBottom w:val="0"/>
      <w:divBdr>
        <w:top w:val="none" w:sz="0" w:space="0" w:color="auto"/>
        <w:left w:val="none" w:sz="0" w:space="0" w:color="auto"/>
        <w:bottom w:val="none" w:sz="0" w:space="0" w:color="auto"/>
        <w:right w:val="none" w:sz="0" w:space="0" w:color="auto"/>
      </w:divBdr>
    </w:div>
    <w:div w:id="410273704">
      <w:bodyDiv w:val="1"/>
      <w:marLeft w:val="0"/>
      <w:marRight w:val="0"/>
      <w:marTop w:val="0"/>
      <w:marBottom w:val="0"/>
      <w:divBdr>
        <w:top w:val="none" w:sz="0" w:space="0" w:color="auto"/>
        <w:left w:val="none" w:sz="0" w:space="0" w:color="auto"/>
        <w:bottom w:val="none" w:sz="0" w:space="0" w:color="auto"/>
        <w:right w:val="none" w:sz="0" w:space="0" w:color="auto"/>
      </w:divBdr>
    </w:div>
    <w:div w:id="418139341">
      <w:bodyDiv w:val="1"/>
      <w:marLeft w:val="0"/>
      <w:marRight w:val="0"/>
      <w:marTop w:val="0"/>
      <w:marBottom w:val="0"/>
      <w:divBdr>
        <w:top w:val="none" w:sz="0" w:space="0" w:color="auto"/>
        <w:left w:val="none" w:sz="0" w:space="0" w:color="auto"/>
        <w:bottom w:val="none" w:sz="0" w:space="0" w:color="auto"/>
        <w:right w:val="none" w:sz="0" w:space="0" w:color="auto"/>
      </w:divBdr>
      <w:divsChild>
        <w:div w:id="9647840">
          <w:marLeft w:val="0"/>
          <w:marRight w:val="0"/>
          <w:marTop w:val="0"/>
          <w:marBottom w:val="0"/>
          <w:divBdr>
            <w:top w:val="none" w:sz="0" w:space="0" w:color="auto"/>
            <w:left w:val="none" w:sz="0" w:space="0" w:color="auto"/>
            <w:bottom w:val="none" w:sz="0" w:space="0" w:color="auto"/>
            <w:right w:val="none" w:sz="0" w:space="0" w:color="auto"/>
          </w:divBdr>
          <w:divsChild>
            <w:div w:id="1231886765">
              <w:marLeft w:val="0"/>
              <w:marRight w:val="0"/>
              <w:marTop w:val="0"/>
              <w:marBottom w:val="0"/>
              <w:divBdr>
                <w:top w:val="none" w:sz="0" w:space="0" w:color="auto"/>
                <w:left w:val="none" w:sz="0" w:space="0" w:color="auto"/>
                <w:bottom w:val="none" w:sz="0" w:space="0" w:color="auto"/>
                <w:right w:val="none" w:sz="0" w:space="0" w:color="auto"/>
              </w:divBdr>
            </w:div>
            <w:div w:id="1655717427">
              <w:marLeft w:val="0"/>
              <w:marRight w:val="0"/>
              <w:marTop w:val="0"/>
              <w:marBottom w:val="0"/>
              <w:divBdr>
                <w:top w:val="none" w:sz="0" w:space="0" w:color="auto"/>
                <w:left w:val="none" w:sz="0" w:space="0" w:color="auto"/>
                <w:bottom w:val="none" w:sz="0" w:space="0" w:color="auto"/>
                <w:right w:val="none" w:sz="0" w:space="0" w:color="auto"/>
              </w:divBdr>
            </w:div>
          </w:divsChild>
        </w:div>
        <w:div w:id="19206804">
          <w:marLeft w:val="0"/>
          <w:marRight w:val="0"/>
          <w:marTop w:val="0"/>
          <w:marBottom w:val="0"/>
          <w:divBdr>
            <w:top w:val="none" w:sz="0" w:space="0" w:color="auto"/>
            <w:left w:val="none" w:sz="0" w:space="0" w:color="auto"/>
            <w:bottom w:val="none" w:sz="0" w:space="0" w:color="auto"/>
            <w:right w:val="none" w:sz="0" w:space="0" w:color="auto"/>
          </w:divBdr>
        </w:div>
        <w:div w:id="24913881">
          <w:marLeft w:val="0"/>
          <w:marRight w:val="0"/>
          <w:marTop w:val="0"/>
          <w:marBottom w:val="0"/>
          <w:divBdr>
            <w:top w:val="none" w:sz="0" w:space="0" w:color="auto"/>
            <w:left w:val="none" w:sz="0" w:space="0" w:color="auto"/>
            <w:bottom w:val="none" w:sz="0" w:space="0" w:color="auto"/>
            <w:right w:val="none" w:sz="0" w:space="0" w:color="auto"/>
          </w:divBdr>
        </w:div>
        <w:div w:id="45685725">
          <w:marLeft w:val="0"/>
          <w:marRight w:val="0"/>
          <w:marTop w:val="0"/>
          <w:marBottom w:val="0"/>
          <w:divBdr>
            <w:top w:val="none" w:sz="0" w:space="0" w:color="auto"/>
            <w:left w:val="none" w:sz="0" w:space="0" w:color="auto"/>
            <w:bottom w:val="none" w:sz="0" w:space="0" w:color="auto"/>
            <w:right w:val="none" w:sz="0" w:space="0" w:color="auto"/>
          </w:divBdr>
        </w:div>
        <w:div w:id="117838689">
          <w:marLeft w:val="0"/>
          <w:marRight w:val="0"/>
          <w:marTop w:val="0"/>
          <w:marBottom w:val="0"/>
          <w:divBdr>
            <w:top w:val="none" w:sz="0" w:space="0" w:color="auto"/>
            <w:left w:val="none" w:sz="0" w:space="0" w:color="auto"/>
            <w:bottom w:val="none" w:sz="0" w:space="0" w:color="auto"/>
            <w:right w:val="none" w:sz="0" w:space="0" w:color="auto"/>
          </w:divBdr>
        </w:div>
        <w:div w:id="133915726">
          <w:marLeft w:val="0"/>
          <w:marRight w:val="0"/>
          <w:marTop w:val="0"/>
          <w:marBottom w:val="0"/>
          <w:divBdr>
            <w:top w:val="none" w:sz="0" w:space="0" w:color="auto"/>
            <w:left w:val="none" w:sz="0" w:space="0" w:color="auto"/>
            <w:bottom w:val="none" w:sz="0" w:space="0" w:color="auto"/>
            <w:right w:val="none" w:sz="0" w:space="0" w:color="auto"/>
          </w:divBdr>
        </w:div>
        <w:div w:id="172190517">
          <w:marLeft w:val="0"/>
          <w:marRight w:val="0"/>
          <w:marTop w:val="0"/>
          <w:marBottom w:val="0"/>
          <w:divBdr>
            <w:top w:val="none" w:sz="0" w:space="0" w:color="auto"/>
            <w:left w:val="none" w:sz="0" w:space="0" w:color="auto"/>
            <w:bottom w:val="none" w:sz="0" w:space="0" w:color="auto"/>
            <w:right w:val="none" w:sz="0" w:space="0" w:color="auto"/>
          </w:divBdr>
        </w:div>
        <w:div w:id="179586601">
          <w:marLeft w:val="0"/>
          <w:marRight w:val="0"/>
          <w:marTop w:val="0"/>
          <w:marBottom w:val="0"/>
          <w:divBdr>
            <w:top w:val="none" w:sz="0" w:space="0" w:color="auto"/>
            <w:left w:val="none" w:sz="0" w:space="0" w:color="auto"/>
            <w:bottom w:val="none" w:sz="0" w:space="0" w:color="auto"/>
            <w:right w:val="none" w:sz="0" w:space="0" w:color="auto"/>
          </w:divBdr>
        </w:div>
        <w:div w:id="276255584">
          <w:marLeft w:val="0"/>
          <w:marRight w:val="0"/>
          <w:marTop w:val="0"/>
          <w:marBottom w:val="0"/>
          <w:divBdr>
            <w:top w:val="none" w:sz="0" w:space="0" w:color="auto"/>
            <w:left w:val="none" w:sz="0" w:space="0" w:color="auto"/>
            <w:bottom w:val="none" w:sz="0" w:space="0" w:color="auto"/>
            <w:right w:val="none" w:sz="0" w:space="0" w:color="auto"/>
          </w:divBdr>
        </w:div>
        <w:div w:id="282659756">
          <w:marLeft w:val="0"/>
          <w:marRight w:val="0"/>
          <w:marTop w:val="0"/>
          <w:marBottom w:val="0"/>
          <w:divBdr>
            <w:top w:val="none" w:sz="0" w:space="0" w:color="auto"/>
            <w:left w:val="none" w:sz="0" w:space="0" w:color="auto"/>
            <w:bottom w:val="none" w:sz="0" w:space="0" w:color="auto"/>
            <w:right w:val="none" w:sz="0" w:space="0" w:color="auto"/>
          </w:divBdr>
        </w:div>
        <w:div w:id="298340139">
          <w:marLeft w:val="0"/>
          <w:marRight w:val="0"/>
          <w:marTop w:val="0"/>
          <w:marBottom w:val="0"/>
          <w:divBdr>
            <w:top w:val="none" w:sz="0" w:space="0" w:color="auto"/>
            <w:left w:val="none" w:sz="0" w:space="0" w:color="auto"/>
            <w:bottom w:val="none" w:sz="0" w:space="0" w:color="auto"/>
            <w:right w:val="none" w:sz="0" w:space="0" w:color="auto"/>
          </w:divBdr>
        </w:div>
        <w:div w:id="353069199">
          <w:marLeft w:val="0"/>
          <w:marRight w:val="0"/>
          <w:marTop w:val="0"/>
          <w:marBottom w:val="0"/>
          <w:divBdr>
            <w:top w:val="none" w:sz="0" w:space="0" w:color="auto"/>
            <w:left w:val="none" w:sz="0" w:space="0" w:color="auto"/>
            <w:bottom w:val="none" w:sz="0" w:space="0" w:color="auto"/>
            <w:right w:val="none" w:sz="0" w:space="0" w:color="auto"/>
          </w:divBdr>
        </w:div>
        <w:div w:id="398788601">
          <w:marLeft w:val="0"/>
          <w:marRight w:val="0"/>
          <w:marTop w:val="0"/>
          <w:marBottom w:val="0"/>
          <w:divBdr>
            <w:top w:val="none" w:sz="0" w:space="0" w:color="auto"/>
            <w:left w:val="none" w:sz="0" w:space="0" w:color="auto"/>
            <w:bottom w:val="none" w:sz="0" w:space="0" w:color="auto"/>
            <w:right w:val="none" w:sz="0" w:space="0" w:color="auto"/>
          </w:divBdr>
        </w:div>
        <w:div w:id="408426173">
          <w:marLeft w:val="0"/>
          <w:marRight w:val="0"/>
          <w:marTop w:val="0"/>
          <w:marBottom w:val="0"/>
          <w:divBdr>
            <w:top w:val="none" w:sz="0" w:space="0" w:color="auto"/>
            <w:left w:val="none" w:sz="0" w:space="0" w:color="auto"/>
            <w:bottom w:val="none" w:sz="0" w:space="0" w:color="auto"/>
            <w:right w:val="none" w:sz="0" w:space="0" w:color="auto"/>
          </w:divBdr>
          <w:divsChild>
            <w:div w:id="646128922">
              <w:marLeft w:val="0"/>
              <w:marRight w:val="0"/>
              <w:marTop w:val="0"/>
              <w:marBottom w:val="0"/>
              <w:divBdr>
                <w:top w:val="none" w:sz="0" w:space="0" w:color="auto"/>
                <w:left w:val="none" w:sz="0" w:space="0" w:color="auto"/>
                <w:bottom w:val="none" w:sz="0" w:space="0" w:color="auto"/>
                <w:right w:val="none" w:sz="0" w:space="0" w:color="auto"/>
              </w:divBdr>
            </w:div>
            <w:div w:id="1374042577">
              <w:marLeft w:val="0"/>
              <w:marRight w:val="0"/>
              <w:marTop w:val="0"/>
              <w:marBottom w:val="0"/>
              <w:divBdr>
                <w:top w:val="none" w:sz="0" w:space="0" w:color="auto"/>
                <w:left w:val="none" w:sz="0" w:space="0" w:color="auto"/>
                <w:bottom w:val="none" w:sz="0" w:space="0" w:color="auto"/>
                <w:right w:val="none" w:sz="0" w:space="0" w:color="auto"/>
              </w:divBdr>
            </w:div>
            <w:div w:id="1542815639">
              <w:marLeft w:val="0"/>
              <w:marRight w:val="0"/>
              <w:marTop w:val="0"/>
              <w:marBottom w:val="0"/>
              <w:divBdr>
                <w:top w:val="none" w:sz="0" w:space="0" w:color="auto"/>
                <w:left w:val="none" w:sz="0" w:space="0" w:color="auto"/>
                <w:bottom w:val="none" w:sz="0" w:space="0" w:color="auto"/>
                <w:right w:val="none" w:sz="0" w:space="0" w:color="auto"/>
              </w:divBdr>
            </w:div>
            <w:div w:id="1610044667">
              <w:marLeft w:val="0"/>
              <w:marRight w:val="0"/>
              <w:marTop w:val="0"/>
              <w:marBottom w:val="0"/>
              <w:divBdr>
                <w:top w:val="none" w:sz="0" w:space="0" w:color="auto"/>
                <w:left w:val="none" w:sz="0" w:space="0" w:color="auto"/>
                <w:bottom w:val="none" w:sz="0" w:space="0" w:color="auto"/>
                <w:right w:val="none" w:sz="0" w:space="0" w:color="auto"/>
              </w:divBdr>
            </w:div>
            <w:div w:id="1914586336">
              <w:marLeft w:val="0"/>
              <w:marRight w:val="0"/>
              <w:marTop w:val="0"/>
              <w:marBottom w:val="0"/>
              <w:divBdr>
                <w:top w:val="none" w:sz="0" w:space="0" w:color="auto"/>
                <w:left w:val="none" w:sz="0" w:space="0" w:color="auto"/>
                <w:bottom w:val="none" w:sz="0" w:space="0" w:color="auto"/>
                <w:right w:val="none" w:sz="0" w:space="0" w:color="auto"/>
              </w:divBdr>
            </w:div>
          </w:divsChild>
        </w:div>
        <w:div w:id="418259278">
          <w:marLeft w:val="0"/>
          <w:marRight w:val="0"/>
          <w:marTop w:val="0"/>
          <w:marBottom w:val="0"/>
          <w:divBdr>
            <w:top w:val="none" w:sz="0" w:space="0" w:color="auto"/>
            <w:left w:val="none" w:sz="0" w:space="0" w:color="auto"/>
            <w:bottom w:val="none" w:sz="0" w:space="0" w:color="auto"/>
            <w:right w:val="none" w:sz="0" w:space="0" w:color="auto"/>
          </w:divBdr>
        </w:div>
        <w:div w:id="430245879">
          <w:marLeft w:val="0"/>
          <w:marRight w:val="0"/>
          <w:marTop w:val="0"/>
          <w:marBottom w:val="0"/>
          <w:divBdr>
            <w:top w:val="none" w:sz="0" w:space="0" w:color="auto"/>
            <w:left w:val="none" w:sz="0" w:space="0" w:color="auto"/>
            <w:bottom w:val="none" w:sz="0" w:space="0" w:color="auto"/>
            <w:right w:val="none" w:sz="0" w:space="0" w:color="auto"/>
          </w:divBdr>
        </w:div>
        <w:div w:id="467018932">
          <w:marLeft w:val="0"/>
          <w:marRight w:val="0"/>
          <w:marTop w:val="0"/>
          <w:marBottom w:val="0"/>
          <w:divBdr>
            <w:top w:val="none" w:sz="0" w:space="0" w:color="auto"/>
            <w:left w:val="none" w:sz="0" w:space="0" w:color="auto"/>
            <w:bottom w:val="none" w:sz="0" w:space="0" w:color="auto"/>
            <w:right w:val="none" w:sz="0" w:space="0" w:color="auto"/>
          </w:divBdr>
        </w:div>
        <w:div w:id="481119936">
          <w:marLeft w:val="0"/>
          <w:marRight w:val="0"/>
          <w:marTop w:val="0"/>
          <w:marBottom w:val="0"/>
          <w:divBdr>
            <w:top w:val="none" w:sz="0" w:space="0" w:color="auto"/>
            <w:left w:val="none" w:sz="0" w:space="0" w:color="auto"/>
            <w:bottom w:val="none" w:sz="0" w:space="0" w:color="auto"/>
            <w:right w:val="none" w:sz="0" w:space="0" w:color="auto"/>
          </w:divBdr>
        </w:div>
        <w:div w:id="500047478">
          <w:marLeft w:val="0"/>
          <w:marRight w:val="0"/>
          <w:marTop w:val="0"/>
          <w:marBottom w:val="0"/>
          <w:divBdr>
            <w:top w:val="none" w:sz="0" w:space="0" w:color="auto"/>
            <w:left w:val="none" w:sz="0" w:space="0" w:color="auto"/>
            <w:bottom w:val="none" w:sz="0" w:space="0" w:color="auto"/>
            <w:right w:val="none" w:sz="0" w:space="0" w:color="auto"/>
          </w:divBdr>
        </w:div>
        <w:div w:id="505748365">
          <w:marLeft w:val="0"/>
          <w:marRight w:val="0"/>
          <w:marTop w:val="0"/>
          <w:marBottom w:val="0"/>
          <w:divBdr>
            <w:top w:val="none" w:sz="0" w:space="0" w:color="auto"/>
            <w:left w:val="none" w:sz="0" w:space="0" w:color="auto"/>
            <w:bottom w:val="none" w:sz="0" w:space="0" w:color="auto"/>
            <w:right w:val="none" w:sz="0" w:space="0" w:color="auto"/>
          </w:divBdr>
          <w:divsChild>
            <w:div w:id="774134476">
              <w:marLeft w:val="0"/>
              <w:marRight w:val="0"/>
              <w:marTop w:val="0"/>
              <w:marBottom w:val="0"/>
              <w:divBdr>
                <w:top w:val="none" w:sz="0" w:space="0" w:color="auto"/>
                <w:left w:val="none" w:sz="0" w:space="0" w:color="auto"/>
                <w:bottom w:val="none" w:sz="0" w:space="0" w:color="auto"/>
                <w:right w:val="none" w:sz="0" w:space="0" w:color="auto"/>
              </w:divBdr>
            </w:div>
            <w:div w:id="1196650501">
              <w:marLeft w:val="0"/>
              <w:marRight w:val="0"/>
              <w:marTop w:val="0"/>
              <w:marBottom w:val="0"/>
              <w:divBdr>
                <w:top w:val="none" w:sz="0" w:space="0" w:color="auto"/>
                <w:left w:val="none" w:sz="0" w:space="0" w:color="auto"/>
                <w:bottom w:val="none" w:sz="0" w:space="0" w:color="auto"/>
                <w:right w:val="none" w:sz="0" w:space="0" w:color="auto"/>
              </w:divBdr>
            </w:div>
            <w:div w:id="1328748650">
              <w:marLeft w:val="0"/>
              <w:marRight w:val="0"/>
              <w:marTop w:val="0"/>
              <w:marBottom w:val="0"/>
              <w:divBdr>
                <w:top w:val="none" w:sz="0" w:space="0" w:color="auto"/>
                <w:left w:val="none" w:sz="0" w:space="0" w:color="auto"/>
                <w:bottom w:val="none" w:sz="0" w:space="0" w:color="auto"/>
                <w:right w:val="none" w:sz="0" w:space="0" w:color="auto"/>
              </w:divBdr>
            </w:div>
            <w:div w:id="1357270080">
              <w:marLeft w:val="0"/>
              <w:marRight w:val="0"/>
              <w:marTop w:val="0"/>
              <w:marBottom w:val="0"/>
              <w:divBdr>
                <w:top w:val="none" w:sz="0" w:space="0" w:color="auto"/>
                <w:left w:val="none" w:sz="0" w:space="0" w:color="auto"/>
                <w:bottom w:val="none" w:sz="0" w:space="0" w:color="auto"/>
                <w:right w:val="none" w:sz="0" w:space="0" w:color="auto"/>
              </w:divBdr>
            </w:div>
          </w:divsChild>
        </w:div>
        <w:div w:id="524909808">
          <w:marLeft w:val="0"/>
          <w:marRight w:val="0"/>
          <w:marTop w:val="0"/>
          <w:marBottom w:val="0"/>
          <w:divBdr>
            <w:top w:val="none" w:sz="0" w:space="0" w:color="auto"/>
            <w:left w:val="none" w:sz="0" w:space="0" w:color="auto"/>
            <w:bottom w:val="none" w:sz="0" w:space="0" w:color="auto"/>
            <w:right w:val="none" w:sz="0" w:space="0" w:color="auto"/>
          </w:divBdr>
        </w:div>
        <w:div w:id="581990296">
          <w:marLeft w:val="0"/>
          <w:marRight w:val="0"/>
          <w:marTop w:val="0"/>
          <w:marBottom w:val="0"/>
          <w:divBdr>
            <w:top w:val="none" w:sz="0" w:space="0" w:color="auto"/>
            <w:left w:val="none" w:sz="0" w:space="0" w:color="auto"/>
            <w:bottom w:val="none" w:sz="0" w:space="0" w:color="auto"/>
            <w:right w:val="none" w:sz="0" w:space="0" w:color="auto"/>
          </w:divBdr>
          <w:divsChild>
            <w:div w:id="1053238515">
              <w:marLeft w:val="0"/>
              <w:marRight w:val="0"/>
              <w:marTop w:val="0"/>
              <w:marBottom w:val="0"/>
              <w:divBdr>
                <w:top w:val="none" w:sz="0" w:space="0" w:color="auto"/>
                <w:left w:val="none" w:sz="0" w:space="0" w:color="auto"/>
                <w:bottom w:val="none" w:sz="0" w:space="0" w:color="auto"/>
                <w:right w:val="none" w:sz="0" w:space="0" w:color="auto"/>
              </w:divBdr>
            </w:div>
          </w:divsChild>
        </w:div>
        <w:div w:id="584991799">
          <w:marLeft w:val="0"/>
          <w:marRight w:val="0"/>
          <w:marTop w:val="0"/>
          <w:marBottom w:val="0"/>
          <w:divBdr>
            <w:top w:val="none" w:sz="0" w:space="0" w:color="auto"/>
            <w:left w:val="none" w:sz="0" w:space="0" w:color="auto"/>
            <w:bottom w:val="none" w:sz="0" w:space="0" w:color="auto"/>
            <w:right w:val="none" w:sz="0" w:space="0" w:color="auto"/>
          </w:divBdr>
        </w:div>
        <w:div w:id="594021605">
          <w:marLeft w:val="0"/>
          <w:marRight w:val="0"/>
          <w:marTop w:val="0"/>
          <w:marBottom w:val="0"/>
          <w:divBdr>
            <w:top w:val="none" w:sz="0" w:space="0" w:color="auto"/>
            <w:left w:val="none" w:sz="0" w:space="0" w:color="auto"/>
            <w:bottom w:val="none" w:sz="0" w:space="0" w:color="auto"/>
            <w:right w:val="none" w:sz="0" w:space="0" w:color="auto"/>
          </w:divBdr>
        </w:div>
        <w:div w:id="613555126">
          <w:marLeft w:val="0"/>
          <w:marRight w:val="0"/>
          <w:marTop w:val="0"/>
          <w:marBottom w:val="0"/>
          <w:divBdr>
            <w:top w:val="none" w:sz="0" w:space="0" w:color="auto"/>
            <w:left w:val="none" w:sz="0" w:space="0" w:color="auto"/>
            <w:bottom w:val="none" w:sz="0" w:space="0" w:color="auto"/>
            <w:right w:val="none" w:sz="0" w:space="0" w:color="auto"/>
          </w:divBdr>
        </w:div>
        <w:div w:id="628896150">
          <w:marLeft w:val="0"/>
          <w:marRight w:val="0"/>
          <w:marTop w:val="0"/>
          <w:marBottom w:val="0"/>
          <w:divBdr>
            <w:top w:val="none" w:sz="0" w:space="0" w:color="auto"/>
            <w:left w:val="none" w:sz="0" w:space="0" w:color="auto"/>
            <w:bottom w:val="none" w:sz="0" w:space="0" w:color="auto"/>
            <w:right w:val="none" w:sz="0" w:space="0" w:color="auto"/>
          </w:divBdr>
        </w:div>
        <w:div w:id="697465586">
          <w:marLeft w:val="0"/>
          <w:marRight w:val="0"/>
          <w:marTop w:val="0"/>
          <w:marBottom w:val="0"/>
          <w:divBdr>
            <w:top w:val="none" w:sz="0" w:space="0" w:color="auto"/>
            <w:left w:val="none" w:sz="0" w:space="0" w:color="auto"/>
            <w:bottom w:val="none" w:sz="0" w:space="0" w:color="auto"/>
            <w:right w:val="none" w:sz="0" w:space="0" w:color="auto"/>
          </w:divBdr>
        </w:div>
        <w:div w:id="707030125">
          <w:marLeft w:val="0"/>
          <w:marRight w:val="0"/>
          <w:marTop w:val="0"/>
          <w:marBottom w:val="0"/>
          <w:divBdr>
            <w:top w:val="none" w:sz="0" w:space="0" w:color="auto"/>
            <w:left w:val="none" w:sz="0" w:space="0" w:color="auto"/>
            <w:bottom w:val="none" w:sz="0" w:space="0" w:color="auto"/>
            <w:right w:val="none" w:sz="0" w:space="0" w:color="auto"/>
          </w:divBdr>
        </w:div>
        <w:div w:id="728267873">
          <w:marLeft w:val="0"/>
          <w:marRight w:val="0"/>
          <w:marTop w:val="0"/>
          <w:marBottom w:val="0"/>
          <w:divBdr>
            <w:top w:val="none" w:sz="0" w:space="0" w:color="auto"/>
            <w:left w:val="none" w:sz="0" w:space="0" w:color="auto"/>
            <w:bottom w:val="none" w:sz="0" w:space="0" w:color="auto"/>
            <w:right w:val="none" w:sz="0" w:space="0" w:color="auto"/>
          </w:divBdr>
        </w:div>
        <w:div w:id="728580038">
          <w:marLeft w:val="0"/>
          <w:marRight w:val="0"/>
          <w:marTop w:val="0"/>
          <w:marBottom w:val="0"/>
          <w:divBdr>
            <w:top w:val="none" w:sz="0" w:space="0" w:color="auto"/>
            <w:left w:val="none" w:sz="0" w:space="0" w:color="auto"/>
            <w:bottom w:val="none" w:sz="0" w:space="0" w:color="auto"/>
            <w:right w:val="none" w:sz="0" w:space="0" w:color="auto"/>
          </w:divBdr>
        </w:div>
        <w:div w:id="731732557">
          <w:marLeft w:val="0"/>
          <w:marRight w:val="0"/>
          <w:marTop w:val="0"/>
          <w:marBottom w:val="0"/>
          <w:divBdr>
            <w:top w:val="none" w:sz="0" w:space="0" w:color="auto"/>
            <w:left w:val="none" w:sz="0" w:space="0" w:color="auto"/>
            <w:bottom w:val="none" w:sz="0" w:space="0" w:color="auto"/>
            <w:right w:val="none" w:sz="0" w:space="0" w:color="auto"/>
          </w:divBdr>
        </w:div>
        <w:div w:id="739710927">
          <w:marLeft w:val="0"/>
          <w:marRight w:val="0"/>
          <w:marTop w:val="0"/>
          <w:marBottom w:val="0"/>
          <w:divBdr>
            <w:top w:val="none" w:sz="0" w:space="0" w:color="auto"/>
            <w:left w:val="none" w:sz="0" w:space="0" w:color="auto"/>
            <w:bottom w:val="none" w:sz="0" w:space="0" w:color="auto"/>
            <w:right w:val="none" w:sz="0" w:space="0" w:color="auto"/>
          </w:divBdr>
        </w:div>
        <w:div w:id="740177905">
          <w:marLeft w:val="0"/>
          <w:marRight w:val="0"/>
          <w:marTop w:val="0"/>
          <w:marBottom w:val="0"/>
          <w:divBdr>
            <w:top w:val="none" w:sz="0" w:space="0" w:color="auto"/>
            <w:left w:val="none" w:sz="0" w:space="0" w:color="auto"/>
            <w:bottom w:val="none" w:sz="0" w:space="0" w:color="auto"/>
            <w:right w:val="none" w:sz="0" w:space="0" w:color="auto"/>
          </w:divBdr>
          <w:divsChild>
            <w:div w:id="1100956749">
              <w:marLeft w:val="0"/>
              <w:marRight w:val="0"/>
              <w:marTop w:val="0"/>
              <w:marBottom w:val="0"/>
              <w:divBdr>
                <w:top w:val="none" w:sz="0" w:space="0" w:color="auto"/>
                <w:left w:val="none" w:sz="0" w:space="0" w:color="auto"/>
                <w:bottom w:val="none" w:sz="0" w:space="0" w:color="auto"/>
                <w:right w:val="none" w:sz="0" w:space="0" w:color="auto"/>
              </w:divBdr>
            </w:div>
            <w:div w:id="1549806164">
              <w:marLeft w:val="0"/>
              <w:marRight w:val="0"/>
              <w:marTop w:val="0"/>
              <w:marBottom w:val="0"/>
              <w:divBdr>
                <w:top w:val="none" w:sz="0" w:space="0" w:color="auto"/>
                <w:left w:val="none" w:sz="0" w:space="0" w:color="auto"/>
                <w:bottom w:val="none" w:sz="0" w:space="0" w:color="auto"/>
                <w:right w:val="none" w:sz="0" w:space="0" w:color="auto"/>
              </w:divBdr>
            </w:div>
            <w:div w:id="1814519682">
              <w:marLeft w:val="0"/>
              <w:marRight w:val="0"/>
              <w:marTop w:val="0"/>
              <w:marBottom w:val="0"/>
              <w:divBdr>
                <w:top w:val="none" w:sz="0" w:space="0" w:color="auto"/>
                <w:left w:val="none" w:sz="0" w:space="0" w:color="auto"/>
                <w:bottom w:val="none" w:sz="0" w:space="0" w:color="auto"/>
                <w:right w:val="none" w:sz="0" w:space="0" w:color="auto"/>
              </w:divBdr>
            </w:div>
            <w:div w:id="1831017152">
              <w:marLeft w:val="0"/>
              <w:marRight w:val="0"/>
              <w:marTop w:val="0"/>
              <w:marBottom w:val="0"/>
              <w:divBdr>
                <w:top w:val="none" w:sz="0" w:space="0" w:color="auto"/>
                <w:left w:val="none" w:sz="0" w:space="0" w:color="auto"/>
                <w:bottom w:val="none" w:sz="0" w:space="0" w:color="auto"/>
                <w:right w:val="none" w:sz="0" w:space="0" w:color="auto"/>
              </w:divBdr>
            </w:div>
          </w:divsChild>
        </w:div>
        <w:div w:id="758404575">
          <w:marLeft w:val="0"/>
          <w:marRight w:val="0"/>
          <w:marTop w:val="0"/>
          <w:marBottom w:val="0"/>
          <w:divBdr>
            <w:top w:val="none" w:sz="0" w:space="0" w:color="auto"/>
            <w:left w:val="none" w:sz="0" w:space="0" w:color="auto"/>
            <w:bottom w:val="none" w:sz="0" w:space="0" w:color="auto"/>
            <w:right w:val="none" w:sz="0" w:space="0" w:color="auto"/>
          </w:divBdr>
        </w:div>
        <w:div w:id="807481405">
          <w:marLeft w:val="0"/>
          <w:marRight w:val="0"/>
          <w:marTop w:val="0"/>
          <w:marBottom w:val="0"/>
          <w:divBdr>
            <w:top w:val="none" w:sz="0" w:space="0" w:color="auto"/>
            <w:left w:val="none" w:sz="0" w:space="0" w:color="auto"/>
            <w:bottom w:val="none" w:sz="0" w:space="0" w:color="auto"/>
            <w:right w:val="none" w:sz="0" w:space="0" w:color="auto"/>
          </w:divBdr>
        </w:div>
        <w:div w:id="824974334">
          <w:marLeft w:val="0"/>
          <w:marRight w:val="0"/>
          <w:marTop w:val="0"/>
          <w:marBottom w:val="0"/>
          <w:divBdr>
            <w:top w:val="none" w:sz="0" w:space="0" w:color="auto"/>
            <w:left w:val="none" w:sz="0" w:space="0" w:color="auto"/>
            <w:bottom w:val="none" w:sz="0" w:space="0" w:color="auto"/>
            <w:right w:val="none" w:sz="0" w:space="0" w:color="auto"/>
          </w:divBdr>
          <w:divsChild>
            <w:div w:id="652491391">
              <w:marLeft w:val="0"/>
              <w:marRight w:val="0"/>
              <w:marTop w:val="0"/>
              <w:marBottom w:val="0"/>
              <w:divBdr>
                <w:top w:val="none" w:sz="0" w:space="0" w:color="auto"/>
                <w:left w:val="none" w:sz="0" w:space="0" w:color="auto"/>
                <w:bottom w:val="none" w:sz="0" w:space="0" w:color="auto"/>
                <w:right w:val="none" w:sz="0" w:space="0" w:color="auto"/>
              </w:divBdr>
            </w:div>
          </w:divsChild>
        </w:div>
        <w:div w:id="880214584">
          <w:marLeft w:val="0"/>
          <w:marRight w:val="0"/>
          <w:marTop w:val="0"/>
          <w:marBottom w:val="0"/>
          <w:divBdr>
            <w:top w:val="none" w:sz="0" w:space="0" w:color="auto"/>
            <w:left w:val="none" w:sz="0" w:space="0" w:color="auto"/>
            <w:bottom w:val="none" w:sz="0" w:space="0" w:color="auto"/>
            <w:right w:val="none" w:sz="0" w:space="0" w:color="auto"/>
          </w:divBdr>
        </w:div>
        <w:div w:id="923227864">
          <w:marLeft w:val="0"/>
          <w:marRight w:val="0"/>
          <w:marTop w:val="0"/>
          <w:marBottom w:val="0"/>
          <w:divBdr>
            <w:top w:val="none" w:sz="0" w:space="0" w:color="auto"/>
            <w:left w:val="none" w:sz="0" w:space="0" w:color="auto"/>
            <w:bottom w:val="none" w:sz="0" w:space="0" w:color="auto"/>
            <w:right w:val="none" w:sz="0" w:space="0" w:color="auto"/>
          </w:divBdr>
          <w:divsChild>
            <w:div w:id="530072075">
              <w:marLeft w:val="0"/>
              <w:marRight w:val="0"/>
              <w:marTop w:val="0"/>
              <w:marBottom w:val="0"/>
              <w:divBdr>
                <w:top w:val="none" w:sz="0" w:space="0" w:color="auto"/>
                <w:left w:val="none" w:sz="0" w:space="0" w:color="auto"/>
                <w:bottom w:val="none" w:sz="0" w:space="0" w:color="auto"/>
                <w:right w:val="none" w:sz="0" w:space="0" w:color="auto"/>
              </w:divBdr>
            </w:div>
            <w:div w:id="770900840">
              <w:marLeft w:val="0"/>
              <w:marRight w:val="0"/>
              <w:marTop w:val="0"/>
              <w:marBottom w:val="0"/>
              <w:divBdr>
                <w:top w:val="none" w:sz="0" w:space="0" w:color="auto"/>
                <w:left w:val="none" w:sz="0" w:space="0" w:color="auto"/>
                <w:bottom w:val="none" w:sz="0" w:space="0" w:color="auto"/>
                <w:right w:val="none" w:sz="0" w:space="0" w:color="auto"/>
              </w:divBdr>
            </w:div>
          </w:divsChild>
        </w:div>
        <w:div w:id="924143075">
          <w:marLeft w:val="0"/>
          <w:marRight w:val="0"/>
          <w:marTop w:val="0"/>
          <w:marBottom w:val="0"/>
          <w:divBdr>
            <w:top w:val="none" w:sz="0" w:space="0" w:color="auto"/>
            <w:left w:val="none" w:sz="0" w:space="0" w:color="auto"/>
            <w:bottom w:val="none" w:sz="0" w:space="0" w:color="auto"/>
            <w:right w:val="none" w:sz="0" w:space="0" w:color="auto"/>
          </w:divBdr>
        </w:div>
        <w:div w:id="947009760">
          <w:marLeft w:val="0"/>
          <w:marRight w:val="0"/>
          <w:marTop w:val="0"/>
          <w:marBottom w:val="0"/>
          <w:divBdr>
            <w:top w:val="none" w:sz="0" w:space="0" w:color="auto"/>
            <w:left w:val="none" w:sz="0" w:space="0" w:color="auto"/>
            <w:bottom w:val="none" w:sz="0" w:space="0" w:color="auto"/>
            <w:right w:val="none" w:sz="0" w:space="0" w:color="auto"/>
          </w:divBdr>
        </w:div>
        <w:div w:id="949825279">
          <w:marLeft w:val="0"/>
          <w:marRight w:val="0"/>
          <w:marTop w:val="0"/>
          <w:marBottom w:val="0"/>
          <w:divBdr>
            <w:top w:val="none" w:sz="0" w:space="0" w:color="auto"/>
            <w:left w:val="none" w:sz="0" w:space="0" w:color="auto"/>
            <w:bottom w:val="none" w:sz="0" w:space="0" w:color="auto"/>
            <w:right w:val="none" w:sz="0" w:space="0" w:color="auto"/>
          </w:divBdr>
        </w:div>
        <w:div w:id="974793688">
          <w:marLeft w:val="0"/>
          <w:marRight w:val="0"/>
          <w:marTop w:val="0"/>
          <w:marBottom w:val="0"/>
          <w:divBdr>
            <w:top w:val="none" w:sz="0" w:space="0" w:color="auto"/>
            <w:left w:val="none" w:sz="0" w:space="0" w:color="auto"/>
            <w:bottom w:val="none" w:sz="0" w:space="0" w:color="auto"/>
            <w:right w:val="none" w:sz="0" w:space="0" w:color="auto"/>
          </w:divBdr>
        </w:div>
        <w:div w:id="1120294992">
          <w:marLeft w:val="0"/>
          <w:marRight w:val="0"/>
          <w:marTop w:val="0"/>
          <w:marBottom w:val="0"/>
          <w:divBdr>
            <w:top w:val="none" w:sz="0" w:space="0" w:color="auto"/>
            <w:left w:val="none" w:sz="0" w:space="0" w:color="auto"/>
            <w:bottom w:val="none" w:sz="0" w:space="0" w:color="auto"/>
            <w:right w:val="none" w:sz="0" w:space="0" w:color="auto"/>
          </w:divBdr>
          <w:divsChild>
            <w:div w:id="171644868">
              <w:marLeft w:val="0"/>
              <w:marRight w:val="0"/>
              <w:marTop w:val="0"/>
              <w:marBottom w:val="0"/>
              <w:divBdr>
                <w:top w:val="none" w:sz="0" w:space="0" w:color="auto"/>
                <w:left w:val="none" w:sz="0" w:space="0" w:color="auto"/>
                <w:bottom w:val="none" w:sz="0" w:space="0" w:color="auto"/>
                <w:right w:val="none" w:sz="0" w:space="0" w:color="auto"/>
              </w:divBdr>
            </w:div>
          </w:divsChild>
        </w:div>
        <w:div w:id="1209338841">
          <w:marLeft w:val="0"/>
          <w:marRight w:val="0"/>
          <w:marTop w:val="0"/>
          <w:marBottom w:val="0"/>
          <w:divBdr>
            <w:top w:val="none" w:sz="0" w:space="0" w:color="auto"/>
            <w:left w:val="none" w:sz="0" w:space="0" w:color="auto"/>
            <w:bottom w:val="none" w:sz="0" w:space="0" w:color="auto"/>
            <w:right w:val="none" w:sz="0" w:space="0" w:color="auto"/>
          </w:divBdr>
        </w:div>
        <w:div w:id="1244872146">
          <w:marLeft w:val="0"/>
          <w:marRight w:val="0"/>
          <w:marTop w:val="0"/>
          <w:marBottom w:val="0"/>
          <w:divBdr>
            <w:top w:val="none" w:sz="0" w:space="0" w:color="auto"/>
            <w:left w:val="none" w:sz="0" w:space="0" w:color="auto"/>
            <w:bottom w:val="none" w:sz="0" w:space="0" w:color="auto"/>
            <w:right w:val="none" w:sz="0" w:space="0" w:color="auto"/>
          </w:divBdr>
        </w:div>
        <w:div w:id="1255748940">
          <w:marLeft w:val="0"/>
          <w:marRight w:val="0"/>
          <w:marTop w:val="0"/>
          <w:marBottom w:val="0"/>
          <w:divBdr>
            <w:top w:val="none" w:sz="0" w:space="0" w:color="auto"/>
            <w:left w:val="none" w:sz="0" w:space="0" w:color="auto"/>
            <w:bottom w:val="none" w:sz="0" w:space="0" w:color="auto"/>
            <w:right w:val="none" w:sz="0" w:space="0" w:color="auto"/>
          </w:divBdr>
        </w:div>
        <w:div w:id="1270160449">
          <w:marLeft w:val="0"/>
          <w:marRight w:val="0"/>
          <w:marTop w:val="0"/>
          <w:marBottom w:val="0"/>
          <w:divBdr>
            <w:top w:val="none" w:sz="0" w:space="0" w:color="auto"/>
            <w:left w:val="none" w:sz="0" w:space="0" w:color="auto"/>
            <w:bottom w:val="none" w:sz="0" w:space="0" w:color="auto"/>
            <w:right w:val="none" w:sz="0" w:space="0" w:color="auto"/>
          </w:divBdr>
        </w:div>
        <w:div w:id="1297370186">
          <w:marLeft w:val="0"/>
          <w:marRight w:val="0"/>
          <w:marTop w:val="0"/>
          <w:marBottom w:val="0"/>
          <w:divBdr>
            <w:top w:val="none" w:sz="0" w:space="0" w:color="auto"/>
            <w:left w:val="none" w:sz="0" w:space="0" w:color="auto"/>
            <w:bottom w:val="none" w:sz="0" w:space="0" w:color="auto"/>
            <w:right w:val="none" w:sz="0" w:space="0" w:color="auto"/>
          </w:divBdr>
          <w:divsChild>
            <w:div w:id="553740954">
              <w:marLeft w:val="0"/>
              <w:marRight w:val="0"/>
              <w:marTop w:val="0"/>
              <w:marBottom w:val="0"/>
              <w:divBdr>
                <w:top w:val="none" w:sz="0" w:space="0" w:color="auto"/>
                <w:left w:val="none" w:sz="0" w:space="0" w:color="auto"/>
                <w:bottom w:val="none" w:sz="0" w:space="0" w:color="auto"/>
                <w:right w:val="none" w:sz="0" w:space="0" w:color="auto"/>
              </w:divBdr>
            </w:div>
          </w:divsChild>
        </w:div>
        <w:div w:id="1317226462">
          <w:marLeft w:val="0"/>
          <w:marRight w:val="0"/>
          <w:marTop w:val="0"/>
          <w:marBottom w:val="0"/>
          <w:divBdr>
            <w:top w:val="none" w:sz="0" w:space="0" w:color="auto"/>
            <w:left w:val="none" w:sz="0" w:space="0" w:color="auto"/>
            <w:bottom w:val="none" w:sz="0" w:space="0" w:color="auto"/>
            <w:right w:val="none" w:sz="0" w:space="0" w:color="auto"/>
          </w:divBdr>
        </w:div>
        <w:div w:id="1344168027">
          <w:marLeft w:val="0"/>
          <w:marRight w:val="0"/>
          <w:marTop w:val="0"/>
          <w:marBottom w:val="0"/>
          <w:divBdr>
            <w:top w:val="none" w:sz="0" w:space="0" w:color="auto"/>
            <w:left w:val="none" w:sz="0" w:space="0" w:color="auto"/>
            <w:bottom w:val="none" w:sz="0" w:space="0" w:color="auto"/>
            <w:right w:val="none" w:sz="0" w:space="0" w:color="auto"/>
          </w:divBdr>
        </w:div>
        <w:div w:id="1367759736">
          <w:marLeft w:val="0"/>
          <w:marRight w:val="0"/>
          <w:marTop w:val="0"/>
          <w:marBottom w:val="0"/>
          <w:divBdr>
            <w:top w:val="none" w:sz="0" w:space="0" w:color="auto"/>
            <w:left w:val="none" w:sz="0" w:space="0" w:color="auto"/>
            <w:bottom w:val="none" w:sz="0" w:space="0" w:color="auto"/>
            <w:right w:val="none" w:sz="0" w:space="0" w:color="auto"/>
          </w:divBdr>
        </w:div>
        <w:div w:id="1392653719">
          <w:marLeft w:val="0"/>
          <w:marRight w:val="0"/>
          <w:marTop w:val="0"/>
          <w:marBottom w:val="0"/>
          <w:divBdr>
            <w:top w:val="none" w:sz="0" w:space="0" w:color="auto"/>
            <w:left w:val="none" w:sz="0" w:space="0" w:color="auto"/>
            <w:bottom w:val="none" w:sz="0" w:space="0" w:color="auto"/>
            <w:right w:val="none" w:sz="0" w:space="0" w:color="auto"/>
          </w:divBdr>
        </w:div>
        <w:div w:id="1410498422">
          <w:marLeft w:val="0"/>
          <w:marRight w:val="0"/>
          <w:marTop w:val="0"/>
          <w:marBottom w:val="0"/>
          <w:divBdr>
            <w:top w:val="none" w:sz="0" w:space="0" w:color="auto"/>
            <w:left w:val="none" w:sz="0" w:space="0" w:color="auto"/>
            <w:bottom w:val="none" w:sz="0" w:space="0" w:color="auto"/>
            <w:right w:val="none" w:sz="0" w:space="0" w:color="auto"/>
          </w:divBdr>
        </w:div>
        <w:div w:id="1412004569">
          <w:marLeft w:val="0"/>
          <w:marRight w:val="0"/>
          <w:marTop w:val="0"/>
          <w:marBottom w:val="0"/>
          <w:divBdr>
            <w:top w:val="none" w:sz="0" w:space="0" w:color="auto"/>
            <w:left w:val="none" w:sz="0" w:space="0" w:color="auto"/>
            <w:bottom w:val="none" w:sz="0" w:space="0" w:color="auto"/>
            <w:right w:val="none" w:sz="0" w:space="0" w:color="auto"/>
          </w:divBdr>
        </w:div>
        <w:div w:id="1413426617">
          <w:marLeft w:val="0"/>
          <w:marRight w:val="0"/>
          <w:marTop w:val="0"/>
          <w:marBottom w:val="0"/>
          <w:divBdr>
            <w:top w:val="none" w:sz="0" w:space="0" w:color="auto"/>
            <w:left w:val="none" w:sz="0" w:space="0" w:color="auto"/>
            <w:bottom w:val="none" w:sz="0" w:space="0" w:color="auto"/>
            <w:right w:val="none" w:sz="0" w:space="0" w:color="auto"/>
          </w:divBdr>
        </w:div>
        <w:div w:id="1746024990">
          <w:marLeft w:val="0"/>
          <w:marRight w:val="0"/>
          <w:marTop w:val="0"/>
          <w:marBottom w:val="0"/>
          <w:divBdr>
            <w:top w:val="none" w:sz="0" w:space="0" w:color="auto"/>
            <w:left w:val="none" w:sz="0" w:space="0" w:color="auto"/>
            <w:bottom w:val="none" w:sz="0" w:space="0" w:color="auto"/>
            <w:right w:val="none" w:sz="0" w:space="0" w:color="auto"/>
          </w:divBdr>
        </w:div>
        <w:div w:id="1797603567">
          <w:marLeft w:val="0"/>
          <w:marRight w:val="0"/>
          <w:marTop w:val="0"/>
          <w:marBottom w:val="0"/>
          <w:divBdr>
            <w:top w:val="none" w:sz="0" w:space="0" w:color="auto"/>
            <w:left w:val="none" w:sz="0" w:space="0" w:color="auto"/>
            <w:bottom w:val="none" w:sz="0" w:space="0" w:color="auto"/>
            <w:right w:val="none" w:sz="0" w:space="0" w:color="auto"/>
          </w:divBdr>
        </w:div>
        <w:div w:id="1884488237">
          <w:marLeft w:val="0"/>
          <w:marRight w:val="0"/>
          <w:marTop w:val="0"/>
          <w:marBottom w:val="0"/>
          <w:divBdr>
            <w:top w:val="none" w:sz="0" w:space="0" w:color="auto"/>
            <w:left w:val="none" w:sz="0" w:space="0" w:color="auto"/>
            <w:bottom w:val="none" w:sz="0" w:space="0" w:color="auto"/>
            <w:right w:val="none" w:sz="0" w:space="0" w:color="auto"/>
          </w:divBdr>
        </w:div>
        <w:div w:id="1917812261">
          <w:marLeft w:val="0"/>
          <w:marRight w:val="0"/>
          <w:marTop w:val="0"/>
          <w:marBottom w:val="0"/>
          <w:divBdr>
            <w:top w:val="none" w:sz="0" w:space="0" w:color="auto"/>
            <w:left w:val="none" w:sz="0" w:space="0" w:color="auto"/>
            <w:bottom w:val="none" w:sz="0" w:space="0" w:color="auto"/>
            <w:right w:val="none" w:sz="0" w:space="0" w:color="auto"/>
          </w:divBdr>
        </w:div>
        <w:div w:id="1968663477">
          <w:marLeft w:val="0"/>
          <w:marRight w:val="0"/>
          <w:marTop w:val="0"/>
          <w:marBottom w:val="0"/>
          <w:divBdr>
            <w:top w:val="none" w:sz="0" w:space="0" w:color="auto"/>
            <w:left w:val="none" w:sz="0" w:space="0" w:color="auto"/>
            <w:bottom w:val="none" w:sz="0" w:space="0" w:color="auto"/>
            <w:right w:val="none" w:sz="0" w:space="0" w:color="auto"/>
          </w:divBdr>
        </w:div>
        <w:div w:id="1980498654">
          <w:marLeft w:val="0"/>
          <w:marRight w:val="0"/>
          <w:marTop w:val="0"/>
          <w:marBottom w:val="0"/>
          <w:divBdr>
            <w:top w:val="none" w:sz="0" w:space="0" w:color="auto"/>
            <w:left w:val="none" w:sz="0" w:space="0" w:color="auto"/>
            <w:bottom w:val="none" w:sz="0" w:space="0" w:color="auto"/>
            <w:right w:val="none" w:sz="0" w:space="0" w:color="auto"/>
          </w:divBdr>
        </w:div>
        <w:div w:id="2006012040">
          <w:marLeft w:val="0"/>
          <w:marRight w:val="0"/>
          <w:marTop w:val="0"/>
          <w:marBottom w:val="0"/>
          <w:divBdr>
            <w:top w:val="none" w:sz="0" w:space="0" w:color="auto"/>
            <w:left w:val="none" w:sz="0" w:space="0" w:color="auto"/>
            <w:bottom w:val="none" w:sz="0" w:space="0" w:color="auto"/>
            <w:right w:val="none" w:sz="0" w:space="0" w:color="auto"/>
          </w:divBdr>
        </w:div>
        <w:div w:id="2011563020">
          <w:marLeft w:val="0"/>
          <w:marRight w:val="0"/>
          <w:marTop w:val="0"/>
          <w:marBottom w:val="0"/>
          <w:divBdr>
            <w:top w:val="none" w:sz="0" w:space="0" w:color="auto"/>
            <w:left w:val="none" w:sz="0" w:space="0" w:color="auto"/>
            <w:bottom w:val="none" w:sz="0" w:space="0" w:color="auto"/>
            <w:right w:val="none" w:sz="0" w:space="0" w:color="auto"/>
          </w:divBdr>
          <w:divsChild>
            <w:div w:id="1059287295">
              <w:marLeft w:val="0"/>
              <w:marRight w:val="0"/>
              <w:marTop w:val="0"/>
              <w:marBottom w:val="0"/>
              <w:divBdr>
                <w:top w:val="none" w:sz="0" w:space="0" w:color="auto"/>
                <w:left w:val="none" w:sz="0" w:space="0" w:color="auto"/>
                <w:bottom w:val="none" w:sz="0" w:space="0" w:color="auto"/>
                <w:right w:val="none" w:sz="0" w:space="0" w:color="auto"/>
              </w:divBdr>
            </w:div>
            <w:div w:id="1528331920">
              <w:marLeft w:val="0"/>
              <w:marRight w:val="0"/>
              <w:marTop w:val="0"/>
              <w:marBottom w:val="0"/>
              <w:divBdr>
                <w:top w:val="none" w:sz="0" w:space="0" w:color="auto"/>
                <w:left w:val="none" w:sz="0" w:space="0" w:color="auto"/>
                <w:bottom w:val="none" w:sz="0" w:space="0" w:color="auto"/>
                <w:right w:val="none" w:sz="0" w:space="0" w:color="auto"/>
              </w:divBdr>
            </w:div>
            <w:div w:id="1967274947">
              <w:marLeft w:val="0"/>
              <w:marRight w:val="0"/>
              <w:marTop w:val="0"/>
              <w:marBottom w:val="0"/>
              <w:divBdr>
                <w:top w:val="none" w:sz="0" w:space="0" w:color="auto"/>
                <w:left w:val="none" w:sz="0" w:space="0" w:color="auto"/>
                <w:bottom w:val="none" w:sz="0" w:space="0" w:color="auto"/>
                <w:right w:val="none" w:sz="0" w:space="0" w:color="auto"/>
              </w:divBdr>
            </w:div>
            <w:div w:id="2127044580">
              <w:marLeft w:val="0"/>
              <w:marRight w:val="0"/>
              <w:marTop w:val="0"/>
              <w:marBottom w:val="0"/>
              <w:divBdr>
                <w:top w:val="none" w:sz="0" w:space="0" w:color="auto"/>
                <w:left w:val="none" w:sz="0" w:space="0" w:color="auto"/>
                <w:bottom w:val="none" w:sz="0" w:space="0" w:color="auto"/>
                <w:right w:val="none" w:sz="0" w:space="0" w:color="auto"/>
              </w:divBdr>
            </w:div>
          </w:divsChild>
        </w:div>
        <w:div w:id="2071146148">
          <w:marLeft w:val="0"/>
          <w:marRight w:val="0"/>
          <w:marTop w:val="0"/>
          <w:marBottom w:val="0"/>
          <w:divBdr>
            <w:top w:val="none" w:sz="0" w:space="0" w:color="auto"/>
            <w:left w:val="none" w:sz="0" w:space="0" w:color="auto"/>
            <w:bottom w:val="none" w:sz="0" w:space="0" w:color="auto"/>
            <w:right w:val="none" w:sz="0" w:space="0" w:color="auto"/>
          </w:divBdr>
        </w:div>
      </w:divsChild>
    </w:div>
    <w:div w:id="435172470">
      <w:bodyDiv w:val="1"/>
      <w:marLeft w:val="0"/>
      <w:marRight w:val="0"/>
      <w:marTop w:val="0"/>
      <w:marBottom w:val="0"/>
      <w:divBdr>
        <w:top w:val="none" w:sz="0" w:space="0" w:color="auto"/>
        <w:left w:val="none" w:sz="0" w:space="0" w:color="auto"/>
        <w:bottom w:val="none" w:sz="0" w:space="0" w:color="auto"/>
        <w:right w:val="none" w:sz="0" w:space="0" w:color="auto"/>
      </w:divBdr>
    </w:div>
    <w:div w:id="440993208">
      <w:bodyDiv w:val="1"/>
      <w:marLeft w:val="0"/>
      <w:marRight w:val="0"/>
      <w:marTop w:val="0"/>
      <w:marBottom w:val="0"/>
      <w:divBdr>
        <w:top w:val="none" w:sz="0" w:space="0" w:color="auto"/>
        <w:left w:val="none" w:sz="0" w:space="0" w:color="auto"/>
        <w:bottom w:val="none" w:sz="0" w:space="0" w:color="auto"/>
        <w:right w:val="none" w:sz="0" w:space="0" w:color="auto"/>
      </w:divBdr>
    </w:div>
    <w:div w:id="458914094">
      <w:bodyDiv w:val="1"/>
      <w:marLeft w:val="0"/>
      <w:marRight w:val="0"/>
      <w:marTop w:val="0"/>
      <w:marBottom w:val="0"/>
      <w:divBdr>
        <w:top w:val="none" w:sz="0" w:space="0" w:color="auto"/>
        <w:left w:val="none" w:sz="0" w:space="0" w:color="auto"/>
        <w:bottom w:val="none" w:sz="0" w:space="0" w:color="auto"/>
        <w:right w:val="none" w:sz="0" w:space="0" w:color="auto"/>
      </w:divBdr>
    </w:div>
    <w:div w:id="467938374">
      <w:bodyDiv w:val="1"/>
      <w:marLeft w:val="0"/>
      <w:marRight w:val="0"/>
      <w:marTop w:val="0"/>
      <w:marBottom w:val="0"/>
      <w:divBdr>
        <w:top w:val="none" w:sz="0" w:space="0" w:color="auto"/>
        <w:left w:val="none" w:sz="0" w:space="0" w:color="auto"/>
        <w:bottom w:val="none" w:sz="0" w:space="0" w:color="auto"/>
        <w:right w:val="none" w:sz="0" w:space="0" w:color="auto"/>
      </w:divBdr>
      <w:divsChild>
        <w:div w:id="66002494">
          <w:marLeft w:val="0"/>
          <w:marRight w:val="0"/>
          <w:marTop w:val="0"/>
          <w:marBottom w:val="0"/>
          <w:divBdr>
            <w:top w:val="none" w:sz="0" w:space="0" w:color="auto"/>
            <w:left w:val="none" w:sz="0" w:space="0" w:color="auto"/>
            <w:bottom w:val="none" w:sz="0" w:space="0" w:color="auto"/>
            <w:right w:val="none" w:sz="0" w:space="0" w:color="auto"/>
          </w:divBdr>
        </w:div>
        <w:div w:id="459496920">
          <w:marLeft w:val="0"/>
          <w:marRight w:val="0"/>
          <w:marTop w:val="0"/>
          <w:marBottom w:val="0"/>
          <w:divBdr>
            <w:top w:val="none" w:sz="0" w:space="0" w:color="auto"/>
            <w:left w:val="none" w:sz="0" w:space="0" w:color="auto"/>
            <w:bottom w:val="none" w:sz="0" w:space="0" w:color="auto"/>
            <w:right w:val="none" w:sz="0" w:space="0" w:color="auto"/>
          </w:divBdr>
        </w:div>
        <w:div w:id="674191651">
          <w:marLeft w:val="0"/>
          <w:marRight w:val="0"/>
          <w:marTop w:val="0"/>
          <w:marBottom w:val="0"/>
          <w:divBdr>
            <w:top w:val="none" w:sz="0" w:space="0" w:color="auto"/>
            <w:left w:val="none" w:sz="0" w:space="0" w:color="auto"/>
            <w:bottom w:val="none" w:sz="0" w:space="0" w:color="auto"/>
            <w:right w:val="none" w:sz="0" w:space="0" w:color="auto"/>
          </w:divBdr>
        </w:div>
        <w:div w:id="749274089">
          <w:marLeft w:val="0"/>
          <w:marRight w:val="0"/>
          <w:marTop w:val="0"/>
          <w:marBottom w:val="0"/>
          <w:divBdr>
            <w:top w:val="none" w:sz="0" w:space="0" w:color="auto"/>
            <w:left w:val="none" w:sz="0" w:space="0" w:color="auto"/>
            <w:bottom w:val="none" w:sz="0" w:space="0" w:color="auto"/>
            <w:right w:val="none" w:sz="0" w:space="0" w:color="auto"/>
          </w:divBdr>
        </w:div>
        <w:div w:id="766312857">
          <w:marLeft w:val="0"/>
          <w:marRight w:val="0"/>
          <w:marTop w:val="0"/>
          <w:marBottom w:val="0"/>
          <w:divBdr>
            <w:top w:val="none" w:sz="0" w:space="0" w:color="auto"/>
            <w:left w:val="none" w:sz="0" w:space="0" w:color="auto"/>
            <w:bottom w:val="none" w:sz="0" w:space="0" w:color="auto"/>
            <w:right w:val="none" w:sz="0" w:space="0" w:color="auto"/>
          </w:divBdr>
        </w:div>
        <w:div w:id="977029369">
          <w:marLeft w:val="0"/>
          <w:marRight w:val="0"/>
          <w:marTop w:val="0"/>
          <w:marBottom w:val="0"/>
          <w:divBdr>
            <w:top w:val="none" w:sz="0" w:space="0" w:color="auto"/>
            <w:left w:val="none" w:sz="0" w:space="0" w:color="auto"/>
            <w:bottom w:val="none" w:sz="0" w:space="0" w:color="auto"/>
            <w:right w:val="none" w:sz="0" w:space="0" w:color="auto"/>
          </w:divBdr>
        </w:div>
        <w:div w:id="1054894069">
          <w:marLeft w:val="0"/>
          <w:marRight w:val="0"/>
          <w:marTop w:val="0"/>
          <w:marBottom w:val="0"/>
          <w:divBdr>
            <w:top w:val="none" w:sz="0" w:space="0" w:color="auto"/>
            <w:left w:val="none" w:sz="0" w:space="0" w:color="auto"/>
            <w:bottom w:val="none" w:sz="0" w:space="0" w:color="auto"/>
            <w:right w:val="none" w:sz="0" w:space="0" w:color="auto"/>
          </w:divBdr>
        </w:div>
        <w:div w:id="1165512825">
          <w:marLeft w:val="0"/>
          <w:marRight w:val="0"/>
          <w:marTop w:val="0"/>
          <w:marBottom w:val="0"/>
          <w:divBdr>
            <w:top w:val="none" w:sz="0" w:space="0" w:color="auto"/>
            <w:left w:val="none" w:sz="0" w:space="0" w:color="auto"/>
            <w:bottom w:val="none" w:sz="0" w:space="0" w:color="auto"/>
            <w:right w:val="none" w:sz="0" w:space="0" w:color="auto"/>
          </w:divBdr>
        </w:div>
        <w:div w:id="1494373616">
          <w:marLeft w:val="0"/>
          <w:marRight w:val="0"/>
          <w:marTop w:val="0"/>
          <w:marBottom w:val="0"/>
          <w:divBdr>
            <w:top w:val="none" w:sz="0" w:space="0" w:color="auto"/>
            <w:left w:val="none" w:sz="0" w:space="0" w:color="auto"/>
            <w:bottom w:val="none" w:sz="0" w:space="0" w:color="auto"/>
            <w:right w:val="none" w:sz="0" w:space="0" w:color="auto"/>
          </w:divBdr>
        </w:div>
        <w:div w:id="1669286701">
          <w:marLeft w:val="0"/>
          <w:marRight w:val="0"/>
          <w:marTop w:val="0"/>
          <w:marBottom w:val="0"/>
          <w:divBdr>
            <w:top w:val="none" w:sz="0" w:space="0" w:color="auto"/>
            <w:left w:val="none" w:sz="0" w:space="0" w:color="auto"/>
            <w:bottom w:val="none" w:sz="0" w:space="0" w:color="auto"/>
            <w:right w:val="none" w:sz="0" w:space="0" w:color="auto"/>
          </w:divBdr>
        </w:div>
      </w:divsChild>
    </w:div>
    <w:div w:id="471558161">
      <w:bodyDiv w:val="1"/>
      <w:marLeft w:val="0"/>
      <w:marRight w:val="0"/>
      <w:marTop w:val="0"/>
      <w:marBottom w:val="0"/>
      <w:divBdr>
        <w:top w:val="none" w:sz="0" w:space="0" w:color="auto"/>
        <w:left w:val="none" w:sz="0" w:space="0" w:color="auto"/>
        <w:bottom w:val="none" w:sz="0" w:space="0" w:color="auto"/>
        <w:right w:val="none" w:sz="0" w:space="0" w:color="auto"/>
      </w:divBdr>
      <w:divsChild>
        <w:div w:id="2023319670">
          <w:marLeft w:val="547"/>
          <w:marRight w:val="0"/>
          <w:marTop w:val="0"/>
          <w:marBottom w:val="0"/>
          <w:divBdr>
            <w:top w:val="none" w:sz="0" w:space="0" w:color="auto"/>
            <w:left w:val="none" w:sz="0" w:space="0" w:color="auto"/>
            <w:bottom w:val="none" w:sz="0" w:space="0" w:color="auto"/>
            <w:right w:val="none" w:sz="0" w:space="0" w:color="auto"/>
          </w:divBdr>
        </w:div>
      </w:divsChild>
    </w:div>
    <w:div w:id="481234349">
      <w:bodyDiv w:val="1"/>
      <w:marLeft w:val="0"/>
      <w:marRight w:val="0"/>
      <w:marTop w:val="0"/>
      <w:marBottom w:val="0"/>
      <w:divBdr>
        <w:top w:val="none" w:sz="0" w:space="0" w:color="auto"/>
        <w:left w:val="none" w:sz="0" w:space="0" w:color="auto"/>
        <w:bottom w:val="none" w:sz="0" w:space="0" w:color="auto"/>
        <w:right w:val="none" w:sz="0" w:space="0" w:color="auto"/>
      </w:divBdr>
    </w:div>
    <w:div w:id="489640867">
      <w:bodyDiv w:val="1"/>
      <w:marLeft w:val="0"/>
      <w:marRight w:val="0"/>
      <w:marTop w:val="0"/>
      <w:marBottom w:val="0"/>
      <w:divBdr>
        <w:top w:val="none" w:sz="0" w:space="0" w:color="auto"/>
        <w:left w:val="none" w:sz="0" w:space="0" w:color="auto"/>
        <w:bottom w:val="none" w:sz="0" w:space="0" w:color="auto"/>
        <w:right w:val="none" w:sz="0" w:space="0" w:color="auto"/>
      </w:divBdr>
      <w:divsChild>
        <w:div w:id="1080295638">
          <w:marLeft w:val="547"/>
          <w:marRight w:val="0"/>
          <w:marTop w:val="0"/>
          <w:marBottom w:val="0"/>
          <w:divBdr>
            <w:top w:val="none" w:sz="0" w:space="0" w:color="auto"/>
            <w:left w:val="none" w:sz="0" w:space="0" w:color="auto"/>
            <w:bottom w:val="none" w:sz="0" w:space="0" w:color="auto"/>
            <w:right w:val="none" w:sz="0" w:space="0" w:color="auto"/>
          </w:divBdr>
        </w:div>
      </w:divsChild>
    </w:div>
    <w:div w:id="497774598">
      <w:bodyDiv w:val="1"/>
      <w:marLeft w:val="0"/>
      <w:marRight w:val="0"/>
      <w:marTop w:val="0"/>
      <w:marBottom w:val="0"/>
      <w:divBdr>
        <w:top w:val="none" w:sz="0" w:space="0" w:color="auto"/>
        <w:left w:val="none" w:sz="0" w:space="0" w:color="auto"/>
        <w:bottom w:val="none" w:sz="0" w:space="0" w:color="auto"/>
        <w:right w:val="none" w:sz="0" w:space="0" w:color="auto"/>
      </w:divBdr>
    </w:div>
    <w:div w:id="505824968">
      <w:bodyDiv w:val="1"/>
      <w:marLeft w:val="0"/>
      <w:marRight w:val="0"/>
      <w:marTop w:val="0"/>
      <w:marBottom w:val="0"/>
      <w:divBdr>
        <w:top w:val="none" w:sz="0" w:space="0" w:color="auto"/>
        <w:left w:val="none" w:sz="0" w:space="0" w:color="auto"/>
        <w:bottom w:val="none" w:sz="0" w:space="0" w:color="auto"/>
        <w:right w:val="none" w:sz="0" w:space="0" w:color="auto"/>
      </w:divBdr>
    </w:div>
    <w:div w:id="512693714">
      <w:bodyDiv w:val="1"/>
      <w:marLeft w:val="0"/>
      <w:marRight w:val="0"/>
      <w:marTop w:val="0"/>
      <w:marBottom w:val="0"/>
      <w:divBdr>
        <w:top w:val="none" w:sz="0" w:space="0" w:color="auto"/>
        <w:left w:val="none" w:sz="0" w:space="0" w:color="auto"/>
        <w:bottom w:val="none" w:sz="0" w:space="0" w:color="auto"/>
        <w:right w:val="none" w:sz="0" w:space="0" w:color="auto"/>
      </w:divBdr>
    </w:div>
    <w:div w:id="522672653">
      <w:bodyDiv w:val="1"/>
      <w:marLeft w:val="0"/>
      <w:marRight w:val="0"/>
      <w:marTop w:val="0"/>
      <w:marBottom w:val="0"/>
      <w:divBdr>
        <w:top w:val="none" w:sz="0" w:space="0" w:color="auto"/>
        <w:left w:val="none" w:sz="0" w:space="0" w:color="auto"/>
        <w:bottom w:val="none" w:sz="0" w:space="0" w:color="auto"/>
        <w:right w:val="none" w:sz="0" w:space="0" w:color="auto"/>
      </w:divBdr>
      <w:divsChild>
        <w:div w:id="1930460840">
          <w:marLeft w:val="0"/>
          <w:marRight w:val="0"/>
          <w:marTop w:val="0"/>
          <w:marBottom w:val="0"/>
          <w:divBdr>
            <w:top w:val="none" w:sz="0" w:space="0" w:color="auto"/>
            <w:left w:val="none" w:sz="0" w:space="0" w:color="auto"/>
            <w:bottom w:val="none" w:sz="0" w:space="0" w:color="auto"/>
            <w:right w:val="none" w:sz="0" w:space="0" w:color="auto"/>
          </w:divBdr>
        </w:div>
      </w:divsChild>
    </w:div>
    <w:div w:id="537165298">
      <w:bodyDiv w:val="1"/>
      <w:marLeft w:val="0"/>
      <w:marRight w:val="0"/>
      <w:marTop w:val="0"/>
      <w:marBottom w:val="0"/>
      <w:divBdr>
        <w:top w:val="none" w:sz="0" w:space="0" w:color="auto"/>
        <w:left w:val="none" w:sz="0" w:space="0" w:color="auto"/>
        <w:bottom w:val="none" w:sz="0" w:space="0" w:color="auto"/>
        <w:right w:val="none" w:sz="0" w:space="0" w:color="auto"/>
      </w:divBdr>
    </w:div>
    <w:div w:id="541556451">
      <w:bodyDiv w:val="1"/>
      <w:marLeft w:val="0"/>
      <w:marRight w:val="0"/>
      <w:marTop w:val="0"/>
      <w:marBottom w:val="0"/>
      <w:divBdr>
        <w:top w:val="none" w:sz="0" w:space="0" w:color="auto"/>
        <w:left w:val="none" w:sz="0" w:space="0" w:color="auto"/>
        <w:bottom w:val="none" w:sz="0" w:space="0" w:color="auto"/>
        <w:right w:val="none" w:sz="0" w:space="0" w:color="auto"/>
      </w:divBdr>
    </w:div>
    <w:div w:id="542402725">
      <w:bodyDiv w:val="1"/>
      <w:marLeft w:val="0"/>
      <w:marRight w:val="0"/>
      <w:marTop w:val="0"/>
      <w:marBottom w:val="0"/>
      <w:divBdr>
        <w:top w:val="none" w:sz="0" w:space="0" w:color="auto"/>
        <w:left w:val="none" w:sz="0" w:space="0" w:color="auto"/>
        <w:bottom w:val="none" w:sz="0" w:space="0" w:color="auto"/>
        <w:right w:val="none" w:sz="0" w:space="0" w:color="auto"/>
      </w:divBdr>
    </w:div>
    <w:div w:id="557981829">
      <w:bodyDiv w:val="1"/>
      <w:marLeft w:val="0"/>
      <w:marRight w:val="0"/>
      <w:marTop w:val="0"/>
      <w:marBottom w:val="0"/>
      <w:divBdr>
        <w:top w:val="none" w:sz="0" w:space="0" w:color="auto"/>
        <w:left w:val="none" w:sz="0" w:space="0" w:color="auto"/>
        <w:bottom w:val="none" w:sz="0" w:space="0" w:color="auto"/>
        <w:right w:val="none" w:sz="0" w:space="0" w:color="auto"/>
      </w:divBdr>
      <w:divsChild>
        <w:div w:id="697435798">
          <w:marLeft w:val="547"/>
          <w:marRight w:val="0"/>
          <w:marTop w:val="0"/>
          <w:marBottom w:val="0"/>
          <w:divBdr>
            <w:top w:val="none" w:sz="0" w:space="0" w:color="auto"/>
            <w:left w:val="none" w:sz="0" w:space="0" w:color="auto"/>
            <w:bottom w:val="none" w:sz="0" w:space="0" w:color="auto"/>
            <w:right w:val="none" w:sz="0" w:space="0" w:color="auto"/>
          </w:divBdr>
        </w:div>
      </w:divsChild>
    </w:div>
    <w:div w:id="564224535">
      <w:bodyDiv w:val="1"/>
      <w:marLeft w:val="0"/>
      <w:marRight w:val="0"/>
      <w:marTop w:val="0"/>
      <w:marBottom w:val="0"/>
      <w:divBdr>
        <w:top w:val="none" w:sz="0" w:space="0" w:color="auto"/>
        <w:left w:val="none" w:sz="0" w:space="0" w:color="auto"/>
        <w:bottom w:val="none" w:sz="0" w:space="0" w:color="auto"/>
        <w:right w:val="none" w:sz="0" w:space="0" w:color="auto"/>
      </w:divBdr>
    </w:div>
    <w:div w:id="565995238">
      <w:bodyDiv w:val="1"/>
      <w:marLeft w:val="0"/>
      <w:marRight w:val="0"/>
      <w:marTop w:val="0"/>
      <w:marBottom w:val="0"/>
      <w:divBdr>
        <w:top w:val="none" w:sz="0" w:space="0" w:color="auto"/>
        <w:left w:val="none" w:sz="0" w:space="0" w:color="auto"/>
        <w:bottom w:val="none" w:sz="0" w:space="0" w:color="auto"/>
        <w:right w:val="none" w:sz="0" w:space="0" w:color="auto"/>
      </w:divBdr>
      <w:divsChild>
        <w:div w:id="454956311">
          <w:marLeft w:val="0"/>
          <w:marRight w:val="0"/>
          <w:marTop w:val="0"/>
          <w:marBottom w:val="0"/>
          <w:divBdr>
            <w:top w:val="none" w:sz="0" w:space="0" w:color="auto"/>
            <w:left w:val="none" w:sz="0" w:space="0" w:color="auto"/>
            <w:bottom w:val="none" w:sz="0" w:space="0" w:color="auto"/>
            <w:right w:val="none" w:sz="0" w:space="0" w:color="auto"/>
          </w:divBdr>
          <w:divsChild>
            <w:div w:id="1059783384">
              <w:marLeft w:val="0"/>
              <w:marRight w:val="0"/>
              <w:marTop w:val="0"/>
              <w:marBottom w:val="0"/>
              <w:divBdr>
                <w:top w:val="none" w:sz="0" w:space="0" w:color="auto"/>
                <w:left w:val="none" w:sz="0" w:space="0" w:color="auto"/>
                <w:bottom w:val="none" w:sz="0" w:space="0" w:color="auto"/>
                <w:right w:val="none" w:sz="0" w:space="0" w:color="auto"/>
              </w:divBdr>
              <w:divsChild>
                <w:div w:id="183446217">
                  <w:marLeft w:val="0"/>
                  <w:marRight w:val="0"/>
                  <w:marTop w:val="0"/>
                  <w:marBottom w:val="0"/>
                  <w:divBdr>
                    <w:top w:val="none" w:sz="0" w:space="0" w:color="auto"/>
                    <w:left w:val="none" w:sz="0" w:space="0" w:color="auto"/>
                    <w:bottom w:val="none" w:sz="0" w:space="0" w:color="auto"/>
                    <w:right w:val="none" w:sz="0" w:space="0" w:color="auto"/>
                  </w:divBdr>
                  <w:divsChild>
                    <w:div w:id="1105618518">
                      <w:marLeft w:val="0"/>
                      <w:marRight w:val="0"/>
                      <w:marTop w:val="0"/>
                      <w:marBottom w:val="0"/>
                      <w:divBdr>
                        <w:top w:val="none" w:sz="0" w:space="0" w:color="auto"/>
                        <w:left w:val="none" w:sz="0" w:space="0" w:color="auto"/>
                        <w:bottom w:val="none" w:sz="0" w:space="0" w:color="auto"/>
                        <w:right w:val="none" w:sz="0" w:space="0" w:color="auto"/>
                      </w:divBdr>
                      <w:divsChild>
                        <w:div w:id="19984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49988">
      <w:bodyDiv w:val="1"/>
      <w:marLeft w:val="0"/>
      <w:marRight w:val="0"/>
      <w:marTop w:val="0"/>
      <w:marBottom w:val="0"/>
      <w:divBdr>
        <w:top w:val="none" w:sz="0" w:space="0" w:color="auto"/>
        <w:left w:val="none" w:sz="0" w:space="0" w:color="auto"/>
        <w:bottom w:val="none" w:sz="0" w:space="0" w:color="auto"/>
        <w:right w:val="none" w:sz="0" w:space="0" w:color="auto"/>
      </w:divBdr>
    </w:div>
    <w:div w:id="572930034">
      <w:bodyDiv w:val="1"/>
      <w:marLeft w:val="0"/>
      <w:marRight w:val="0"/>
      <w:marTop w:val="0"/>
      <w:marBottom w:val="0"/>
      <w:divBdr>
        <w:top w:val="none" w:sz="0" w:space="0" w:color="auto"/>
        <w:left w:val="none" w:sz="0" w:space="0" w:color="auto"/>
        <w:bottom w:val="none" w:sz="0" w:space="0" w:color="auto"/>
        <w:right w:val="none" w:sz="0" w:space="0" w:color="auto"/>
      </w:divBdr>
    </w:div>
    <w:div w:id="587007053">
      <w:bodyDiv w:val="1"/>
      <w:marLeft w:val="0"/>
      <w:marRight w:val="0"/>
      <w:marTop w:val="0"/>
      <w:marBottom w:val="0"/>
      <w:divBdr>
        <w:top w:val="none" w:sz="0" w:space="0" w:color="auto"/>
        <w:left w:val="none" w:sz="0" w:space="0" w:color="auto"/>
        <w:bottom w:val="none" w:sz="0" w:space="0" w:color="auto"/>
        <w:right w:val="none" w:sz="0" w:space="0" w:color="auto"/>
      </w:divBdr>
      <w:divsChild>
        <w:div w:id="1132165860">
          <w:marLeft w:val="0"/>
          <w:marRight w:val="0"/>
          <w:marTop w:val="0"/>
          <w:marBottom w:val="0"/>
          <w:divBdr>
            <w:top w:val="none" w:sz="0" w:space="0" w:color="auto"/>
            <w:left w:val="none" w:sz="0" w:space="0" w:color="auto"/>
            <w:bottom w:val="none" w:sz="0" w:space="0" w:color="auto"/>
            <w:right w:val="none" w:sz="0" w:space="0" w:color="auto"/>
          </w:divBdr>
          <w:divsChild>
            <w:div w:id="2083017318">
              <w:marLeft w:val="0"/>
              <w:marRight w:val="0"/>
              <w:marTop w:val="197"/>
              <w:marBottom w:val="296"/>
              <w:divBdr>
                <w:top w:val="none" w:sz="0" w:space="0" w:color="auto"/>
                <w:left w:val="none" w:sz="0" w:space="0" w:color="auto"/>
                <w:bottom w:val="none" w:sz="0" w:space="0" w:color="auto"/>
                <w:right w:val="none" w:sz="0" w:space="0" w:color="auto"/>
              </w:divBdr>
            </w:div>
          </w:divsChild>
        </w:div>
      </w:divsChild>
    </w:div>
    <w:div w:id="592781063">
      <w:bodyDiv w:val="1"/>
      <w:marLeft w:val="0"/>
      <w:marRight w:val="0"/>
      <w:marTop w:val="0"/>
      <w:marBottom w:val="0"/>
      <w:divBdr>
        <w:top w:val="none" w:sz="0" w:space="0" w:color="auto"/>
        <w:left w:val="none" w:sz="0" w:space="0" w:color="auto"/>
        <w:bottom w:val="none" w:sz="0" w:space="0" w:color="auto"/>
        <w:right w:val="none" w:sz="0" w:space="0" w:color="auto"/>
      </w:divBdr>
    </w:div>
    <w:div w:id="606356079">
      <w:bodyDiv w:val="1"/>
      <w:marLeft w:val="0"/>
      <w:marRight w:val="0"/>
      <w:marTop w:val="0"/>
      <w:marBottom w:val="0"/>
      <w:divBdr>
        <w:top w:val="none" w:sz="0" w:space="0" w:color="auto"/>
        <w:left w:val="none" w:sz="0" w:space="0" w:color="auto"/>
        <w:bottom w:val="none" w:sz="0" w:space="0" w:color="auto"/>
        <w:right w:val="none" w:sz="0" w:space="0" w:color="auto"/>
      </w:divBdr>
    </w:div>
    <w:div w:id="609633124">
      <w:bodyDiv w:val="1"/>
      <w:marLeft w:val="0"/>
      <w:marRight w:val="0"/>
      <w:marTop w:val="0"/>
      <w:marBottom w:val="0"/>
      <w:divBdr>
        <w:top w:val="none" w:sz="0" w:space="0" w:color="auto"/>
        <w:left w:val="none" w:sz="0" w:space="0" w:color="auto"/>
        <w:bottom w:val="none" w:sz="0" w:space="0" w:color="auto"/>
        <w:right w:val="none" w:sz="0" w:space="0" w:color="auto"/>
      </w:divBdr>
    </w:div>
    <w:div w:id="633799199">
      <w:bodyDiv w:val="1"/>
      <w:marLeft w:val="0"/>
      <w:marRight w:val="0"/>
      <w:marTop w:val="0"/>
      <w:marBottom w:val="0"/>
      <w:divBdr>
        <w:top w:val="none" w:sz="0" w:space="0" w:color="auto"/>
        <w:left w:val="none" w:sz="0" w:space="0" w:color="auto"/>
        <w:bottom w:val="none" w:sz="0" w:space="0" w:color="auto"/>
        <w:right w:val="none" w:sz="0" w:space="0" w:color="auto"/>
      </w:divBdr>
    </w:div>
    <w:div w:id="634414898">
      <w:bodyDiv w:val="1"/>
      <w:marLeft w:val="0"/>
      <w:marRight w:val="0"/>
      <w:marTop w:val="0"/>
      <w:marBottom w:val="0"/>
      <w:divBdr>
        <w:top w:val="none" w:sz="0" w:space="0" w:color="auto"/>
        <w:left w:val="none" w:sz="0" w:space="0" w:color="auto"/>
        <w:bottom w:val="none" w:sz="0" w:space="0" w:color="auto"/>
        <w:right w:val="none" w:sz="0" w:space="0" w:color="auto"/>
      </w:divBdr>
    </w:div>
    <w:div w:id="642467709">
      <w:bodyDiv w:val="1"/>
      <w:marLeft w:val="0"/>
      <w:marRight w:val="0"/>
      <w:marTop w:val="0"/>
      <w:marBottom w:val="0"/>
      <w:divBdr>
        <w:top w:val="none" w:sz="0" w:space="0" w:color="auto"/>
        <w:left w:val="none" w:sz="0" w:space="0" w:color="auto"/>
        <w:bottom w:val="none" w:sz="0" w:space="0" w:color="auto"/>
        <w:right w:val="none" w:sz="0" w:space="0" w:color="auto"/>
      </w:divBdr>
    </w:div>
    <w:div w:id="659582896">
      <w:bodyDiv w:val="1"/>
      <w:marLeft w:val="0"/>
      <w:marRight w:val="0"/>
      <w:marTop w:val="0"/>
      <w:marBottom w:val="0"/>
      <w:divBdr>
        <w:top w:val="none" w:sz="0" w:space="0" w:color="auto"/>
        <w:left w:val="none" w:sz="0" w:space="0" w:color="auto"/>
        <w:bottom w:val="none" w:sz="0" w:space="0" w:color="auto"/>
        <w:right w:val="none" w:sz="0" w:space="0" w:color="auto"/>
      </w:divBdr>
    </w:div>
    <w:div w:id="674457761">
      <w:bodyDiv w:val="1"/>
      <w:marLeft w:val="0"/>
      <w:marRight w:val="0"/>
      <w:marTop w:val="0"/>
      <w:marBottom w:val="0"/>
      <w:divBdr>
        <w:top w:val="none" w:sz="0" w:space="0" w:color="auto"/>
        <w:left w:val="none" w:sz="0" w:space="0" w:color="auto"/>
        <w:bottom w:val="none" w:sz="0" w:space="0" w:color="auto"/>
        <w:right w:val="none" w:sz="0" w:space="0" w:color="auto"/>
      </w:divBdr>
    </w:div>
    <w:div w:id="674578222">
      <w:bodyDiv w:val="1"/>
      <w:marLeft w:val="0"/>
      <w:marRight w:val="0"/>
      <w:marTop w:val="0"/>
      <w:marBottom w:val="0"/>
      <w:divBdr>
        <w:top w:val="none" w:sz="0" w:space="0" w:color="auto"/>
        <w:left w:val="none" w:sz="0" w:space="0" w:color="auto"/>
        <w:bottom w:val="none" w:sz="0" w:space="0" w:color="auto"/>
        <w:right w:val="none" w:sz="0" w:space="0" w:color="auto"/>
      </w:divBdr>
    </w:div>
    <w:div w:id="692076166">
      <w:bodyDiv w:val="1"/>
      <w:marLeft w:val="0"/>
      <w:marRight w:val="0"/>
      <w:marTop w:val="0"/>
      <w:marBottom w:val="0"/>
      <w:divBdr>
        <w:top w:val="none" w:sz="0" w:space="0" w:color="auto"/>
        <w:left w:val="none" w:sz="0" w:space="0" w:color="auto"/>
        <w:bottom w:val="none" w:sz="0" w:space="0" w:color="auto"/>
        <w:right w:val="none" w:sz="0" w:space="0" w:color="auto"/>
      </w:divBdr>
    </w:div>
    <w:div w:id="700395920">
      <w:bodyDiv w:val="1"/>
      <w:marLeft w:val="0"/>
      <w:marRight w:val="0"/>
      <w:marTop w:val="0"/>
      <w:marBottom w:val="0"/>
      <w:divBdr>
        <w:top w:val="none" w:sz="0" w:space="0" w:color="auto"/>
        <w:left w:val="none" w:sz="0" w:space="0" w:color="auto"/>
        <w:bottom w:val="none" w:sz="0" w:space="0" w:color="auto"/>
        <w:right w:val="none" w:sz="0" w:space="0" w:color="auto"/>
      </w:divBdr>
    </w:div>
    <w:div w:id="712002854">
      <w:bodyDiv w:val="1"/>
      <w:marLeft w:val="0"/>
      <w:marRight w:val="0"/>
      <w:marTop w:val="0"/>
      <w:marBottom w:val="0"/>
      <w:divBdr>
        <w:top w:val="none" w:sz="0" w:space="0" w:color="auto"/>
        <w:left w:val="none" w:sz="0" w:space="0" w:color="auto"/>
        <w:bottom w:val="none" w:sz="0" w:space="0" w:color="auto"/>
        <w:right w:val="none" w:sz="0" w:space="0" w:color="auto"/>
      </w:divBdr>
    </w:div>
    <w:div w:id="715617356">
      <w:bodyDiv w:val="1"/>
      <w:marLeft w:val="0"/>
      <w:marRight w:val="0"/>
      <w:marTop w:val="0"/>
      <w:marBottom w:val="0"/>
      <w:divBdr>
        <w:top w:val="none" w:sz="0" w:space="0" w:color="auto"/>
        <w:left w:val="none" w:sz="0" w:space="0" w:color="auto"/>
        <w:bottom w:val="none" w:sz="0" w:space="0" w:color="auto"/>
        <w:right w:val="none" w:sz="0" w:space="0" w:color="auto"/>
      </w:divBdr>
      <w:divsChild>
        <w:div w:id="303316510">
          <w:marLeft w:val="327"/>
          <w:marRight w:val="327"/>
          <w:marTop w:val="0"/>
          <w:marBottom w:val="0"/>
          <w:divBdr>
            <w:top w:val="none" w:sz="0" w:space="0" w:color="auto"/>
            <w:left w:val="none" w:sz="0" w:space="0" w:color="auto"/>
            <w:bottom w:val="none" w:sz="0" w:space="0" w:color="auto"/>
            <w:right w:val="none" w:sz="0" w:space="0" w:color="auto"/>
          </w:divBdr>
          <w:divsChild>
            <w:div w:id="70861112">
              <w:marLeft w:val="0"/>
              <w:marRight w:val="0"/>
              <w:marTop w:val="0"/>
              <w:marBottom w:val="0"/>
              <w:divBdr>
                <w:top w:val="none" w:sz="0" w:space="0" w:color="auto"/>
                <w:left w:val="none" w:sz="0" w:space="0" w:color="auto"/>
                <w:bottom w:val="none" w:sz="0" w:space="0" w:color="auto"/>
                <w:right w:val="none" w:sz="0" w:space="0" w:color="auto"/>
              </w:divBdr>
            </w:div>
            <w:div w:id="101385977">
              <w:marLeft w:val="0"/>
              <w:marRight w:val="0"/>
              <w:marTop w:val="0"/>
              <w:marBottom w:val="0"/>
              <w:divBdr>
                <w:top w:val="none" w:sz="0" w:space="0" w:color="auto"/>
                <w:left w:val="none" w:sz="0" w:space="0" w:color="auto"/>
                <w:bottom w:val="none" w:sz="0" w:space="0" w:color="auto"/>
                <w:right w:val="none" w:sz="0" w:space="0" w:color="auto"/>
              </w:divBdr>
            </w:div>
            <w:div w:id="118257989">
              <w:marLeft w:val="0"/>
              <w:marRight w:val="0"/>
              <w:marTop w:val="0"/>
              <w:marBottom w:val="0"/>
              <w:divBdr>
                <w:top w:val="none" w:sz="0" w:space="0" w:color="auto"/>
                <w:left w:val="none" w:sz="0" w:space="0" w:color="auto"/>
                <w:bottom w:val="none" w:sz="0" w:space="0" w:color="auto"/>
                <w:right w:val="none" w:sz="0" w:space="0" w:color="auto"/>
              </w:divBdr>
            </w:div>
            <w:div w:id="239097746">
              <w:marLeft w:val="0"/>
              <w:marRight w:val="0"/>
              <w:marTop w:val="0"/>
              <w:marBottom w:val="0"/>
              <w:divBdr>
                <w:top w:val="none" w:sz="0" w:space="0" w:color="auto"/>
                <w:left w:val="none" w:sz="0" w:space="0" w:color="auto"/>
                <w:bottom w:val="none" w:sz="0" w:space="0" w:color="auto"/>
                <w:right w:val="none" w:sz="0" w:space="0" w:color="auto"/>
              </w:divBdr>
            </w:div>
            <w:div w:id="265580581">
              <w:marLeft w:val="0"/>
              <w:marRight w:val="0"/>
              <w:marTop w:val="0"/>
              <w:marBottom w:val="0"/>
              <w:divBdr>
                <w:top w:val="none" w:sz="0" w:space="0" w:color="auto"/>
                <w:left w:val="none" w:sz="0" w:space="0" w:color="auto"/>
                <w:bottom w:val="none" w:sz="0" w:space="0" w:color="auto"/>
                <w:right w:val="none" w:sz="0" w:space="0" w:color="auto"/>
              </w:divBdr>
            </w:div>
            <w:div w:id="302468206">
              <w:marLeft w:val="0"/>
              <w:marRight w:val="0"/>
              <w:marTop w:val="0"/>
              <w:marBottom w:val="0"/>
              <w:divBdr>
                <w:top w:val="none" w:sz="0" w:space="0" w:color="auto"/>
                <w:left w:val="none" w:sz="0" w:space="0" w:color="auto"/>
                <w:bottom w:val="none" w:sz="0" w:space="0" w:color="auto"/>
                <w:right w:val="none" w:sz="0" w:space="0" w:color="auto"/>
              </w:divBdr>
            </w:div>
            <w:div w:id="367996783">
              <w:marLeft w:val="0"/>
              <w:marRight w:val="0"/>
              <w:marTop w:val="0"/>
              <w:marBottom w:val="0"/>
              <w:divBdr>
                <w:top w:val="none" w:sz="0" w:space="0" w:color="auto"/>
                <w:left w:val="none" w:sz="0" w:space="0" w:color="auto"/>
                <w:bottom w:val="none" w:sz="0" w:space="0" w:color="auto"/>
                <w:right w:val="none" w:sz="0" w:space="0" w:color="auto"/>
              </w:divBdr>
              <w:divsChild>
                <w:div w:id="293751497">
                  <w:marLeft w:val="0"/>
                  <w:marRight w:val="0"/>
                  <w:marTop w:val="0"/>
                  <w:marBottom w:val="0"/>
                  <w:divBdr>
                    <w:top w:val="none" w:sz="0" w:space="0" w:color="auto"/>
                    <w:left w:val="none" w:sz="0" w:space="0" w:color="auto"/>
                    <w:bottom w:val="none" w:sz="0" w:space="0" w:color="auto"/>
                    <w:right w:val="none" w:sz="0" w:space="0" w:color="auto"/>
                  </w:divBdr>
                </w:div>
              </w:divsChild>
            </w:div>
            <w:div w:id="402141752">
              <w:marLeft w:val="0"/>
              <w:marRight w:val="0"/>
              <w:marTop w:val="0"/>
              <w:marBottom w:val="0"/>
              <w:divBdr>
                <w:top w:val="none" w:sz="0" w:space="0" w:color="auto"/>
                <w:left w:val="none" w:sz="0" w:space="0" w:color="auto"/>
                <w:bottom w:val="none" w:sz="0" w:space="0" w:color="auto"/>
                <w:right w:val="none" w:sz="0" w:space="0" w:color="auto"/>
              </w:divBdr>
            </w:div>
            <w:div w:id="484591531">
              <w:marLeft w:val="0"/>
              <w:marRight w:val="0"/>
              <w:marTop w:val="0"/>
              <w:marBottom w:val="0"/>
              <w:divBdr>
                <w:top w:val="none" w:sz="0" w:space="0" w:color="auto"/>
                <w:left w:val="none" w:sz="0" w:space="0" w:color="auto"/>
                <w:bottom w:val="none" w:sz="0" w:space="0" w:color="auto"/>
                <w:right w:val="none" w:sz="0" w:space="0" w:color="auto"/>
              </w:divBdr>
            </w:div>
            <w:div w:id="595745189">
              <w:marLeft w:val="0"/>
              <w:marRight w:val="0"/>
              <w:marTop w:val="0"/>
              <w:marBottom w:val="0"/>
              <w:divBdr>
                <w:top w:val="none" w:sz="0" w:space="0" w:color="auto"/>
                <w:left w:val="none" w:sz="0" w:space="0" w:color="auto"/>
                <w:bottom w:val="none" w:sz="0" w:space="0" w:color="auto"/>
                <w:right w:val="none" w:sz="0" w:space="0" w:color="auto"/>
              </w:divBdr>
            </w:div>
            <w:div w:id="628168096">
              <w:marLeft w:val="0"/>
              <w:marRight w:val="0"/>
              <w:marTop w:val="0"/>
              <w:marBottom w:val="0"/>
              <w:divBdr>
                <w:top w:val="none" w:sz="0" w:space="0" w:color="auto"/>
                <w:left w:val="none" w:sz="0" w:space="0" w:color="auto"/>
                <w:bottom w:val="none" w:sz="0" w:space="0" w:color="auto"/>
                <w:right w:val="none" w:sz="0" w:space="0" w:color="auto"/>
              </w:divBdr>
            </w:div>
            <w:div w:id="718477339">
              <w:marLeft w:val="0"/>
              <w:marRight w:val="0"/>
              <w:marTop w:val="0"/>
              <w:marBottom w:val="0"/>
              <w:divBdr>
                <w:top w:val="none" w:sz="0" w:space="0" w:color="auto"/>
                <w:left w:val="none" w:sz="0" w:space="0" w:color="auto"/>
                <w:bottom w:val="none" w:sz="0" w:space="0" w:color="auto"/>
                <w:right w:val="none" w:sz="0" w:space="0" w:color="auto"/>
              </w:divBdr>
            </w:div>
            <w:div w:id="821771030">
              <w:marLeft w:val="0"/>
              <w:marRight w:val="0"/>
              <w:marTop w:val="0"/>
              <w:marBottom w:val="0"/>
              <w:divBdr>
                <w:top w:val="none" w:sz="0" w:space="0" w:color="auto"/>
                <w:left w:val="none" w:sz="0" w:space="0" w:color="auto"/>
                <w:bottom w:val="none" w:sz="0" w:space="0" w:color="auto"/>
                <w:right w:val="none" w:sz="0" w:space="0" w:color="auto"/>
              </w:divBdr>
            </w:div>
            <w:div w:id="1033581447">
              <w:marLeft w:val="0"/>
              <w:marRight w:val="0"/>
              <w:marTop w:val="0"/>
              <w:marBottom w:val="0"/>
              <w:divBdr>
                <w:top w:val="none" w:sz="0" w:space="0" w:color="auto"/>
                <w:left w:val="none" w:sz="0" w:space="0" w:color="auto"/>
                <w:bottom w:val="none" w:sz="0" w:space="0" w:color="auto"/>
                <w:right w:val="none" w:sz="0" w:space="0" w:color="auto"/>
              </w:divBdr>
            </w:div>
            <w:div w:id="1158614895">
              <w:marLeft w:val="0"/>
              <w:marRight w:val="0"/>
              <w:marTop w:val="0"/>
              <w:marBottom w:val="0"/>
              <w:divBdr>
                <w:top w:val="none" w:sz="0" w:space="0" w:color="auto"/>
                <w:left w:val="none" w:sz="0" w:space="0" w:color="auto"/>
                <w:bottom w:val="none" w:sz="0" w:space="0" w:color="auto"/>
                <w:right w:val="none" w:sz="0" w:space="0" w:color="auto"/>
              </w:divBdr>
            </w:div>
            <w:div w:id="1184326298">
              <w:marLeft w:val="0"/>
              <w:marRight w:val="0"/>
              <w:marTop w:val="0"/>
              <w:marBottom w:val="0"/>
              <w:divBdr>
                <w:top w:val="none" w:sz="0" w:space="0" w:color="auto"/>
                <w:left w:val="none" w:sz="0" w:space="0" w:color="auto"/>
                <w:bottom w:val="none" w:sz="0" w:space="0" w:color="auto"/>
                <w:right w:val="none" w:sz="0" w:space="0" w:color="auto"/>
              </w:divBdr>
            </w:div>
            <w:div w:id="1189029255">
              <w:marLeft w:val="0"/>
              <w:marRight w:val="0"/>
              <w:marTop w:val="0"/>
              <w:marBottom w:val="0"/>
              <w:divBdr>
                <w:top w:val="none" w:sz="0" w:space="0" w:color="auto"/>
                <w:left w:val="none" w:sz="0" w:space="0" w:color="auto"/>
                <w:bottom w:val="none" w:sz="0" w:space="0" w:color="auto"/>
                <w:right w:val="none" w:sz="0" w:space="0" w:color="auto"/>
              </w:divBdr>
            </w:div>
            <w:div w:id="1238242845">
              <w:marLeft w:val="0"/>
              <w:marRight w:val="0"/>
              <w:marTop w:val="0"/>
              <w:marBottom w:val="0"/>
              <w:divBdr>
                <w:top w:val="none" w:sz="0" w:space="0" w:color="auto"/>
                <w:left w:val="none" w:sz="0" w:space="0" w:color="auto"/>
                <w:bottom w:val="none" w:sz="0" w:space="0" w:color="auto"/>
                <w:right w:val="none" w:sz="0" w:space="0" w:color="auto"/>
              </w:divBdr>
            </w:div>
            <w:div w:id="1303391233">
              <w:marLeft w:val="0"/>
              <w:marRight w:val="0"/>
              <w:marTop w:val="0"/>
              <w:marBottom w:val="0"/>
              <w:divBdr>
                <w:top w:val="none" w:sz="0" w:space="0" w:color="auto"/>
                <w:left w:val="none" w:sz="0" w:space="0" w:color="auto"/>
                <w:bottom w:val="none" w:sz="0" w:space="0" w:color="auto"/>
                <w:right w:val="none" w:sz="0" w:space="0" w:color="auto"/>
              </w:divBdr>
            </w:div>
            <w:div w:id="1410686762">
              <w:marLeft w:val="0"/>
              <w:marRight w:val="0"/>
              <w:marTop w:val="0"/>
              <w:marBottom w:val="0"/>
              <w:divBdr>
                <w:top w:val="none" w:sz="0" w:space="0" w:color="auto"/>
                <w:left w:val="none" w:sz="0" w:space="0" w:color="auto"/>
                <w:bottom w:val="none" w:sz="0" w:space="0" w:color="auto"/>
                <w:right w:val="none" w:sz="0" w:space="0" w:color="auto"/>
              </w:divBdr>
            </w:div>
            <w:div w:id="1563443389">
              <w:marLeft w:val="0"/>
              <w:marRight w:val="0"/>
              <w:marTop w:val="0"/>
              <w:marBottom w:val="0"/>
              <w:divBdr>
                <w:top w:val="none" w:sz="0" w:space="0" w:color="auto"/>
                <w:left w:val="none" w:sz="0" w:space="0" w:color="auto"/>
                <w:bottom w:val="none" w:sz="0" w:space="0" w:color="auto"/>
                <w:right w:val="none" w:sz="0" w:space="0" w:color="auto"/>
              </w:divBdr>
            </w:div>
            <w:div w:id="1657537940">
              <w:marLeft w:val="0"/>
              <w:marRight w:val="0"/>
              <w:marTop w:val="0"/>
              <w:marBottom w:val="0"/>
              <w:divBdr>
                <w:top w:val="none" w:sz="0" w:space="0" w:color="auto"/>
                <w:left w:val="none" w:sz="0" w:space="0" w:color="auto"/>
                <w:bottom w:val="none" w:sz="0" w:space="0" w:color="auto"/>
                <w:right w:val="none" w:sz="0" w:space="0" w:color="auto"/>
              </w:divBdr>
              <w:divsChild>
                <w:div w:id="1607543360">
                  <w:marLeft w:val="0"/>
                  <w:marRight w:val="0"/>
                  <w:marTop w:val="0"/>
                  <w:marBottom w:val="0"/>
                  <w:divBdr>
                    <w:top w:val="none" w:sz="0" w:space="0" w:color="auto"/>
                    <w:left w:val="none" w:sz="0" w:space="0" w:color="auto"/>
                    <w:bottom w:val="none" w:sz="0" w:space="0" w:color="auto"/>
                    <w:right w:val="none" w:sz="0" w:space="0" w:color="auto"/>
                  </w:divBdr>
                </w:div>
              </w:divsChild>
            </w:div>
            <w:div w:id="21269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52522">
      <w:bodyDiv w:val="1"/>
      <w:marLeft w:val="0"/>
      <w:marRight w:val="0"/>
      <w:marTop w:val="0"/>
      <w:marBottom w:val="0"/>
      <w:divBdr>
        <w:top w:val="none" w:sz="0" w:space="0" w:color="auto"/>
        <w:left w:val="none" w:sz="0" w:space="0" w:color="auto"/>
        <w:bottom w:val="none" w:sz="0" w:space="0" w:color="auto"/>
        <w:right w:val="none" w:sz="0" w:space="0" w:color="auto"/>
      </w:divBdr>
    </w:div>
    <w:div w:id="725378606">
      <w:bodyDiv w:val="1"/>
      <w:marLeft w:val="0"/>
      <w:marRight w:val="0"/>
      <w:marTop w:val="0"/>
      <w:marBottom w:val="0"/>
      <w:divBdr>
        <w:top w:val="none" w:sz="0" w:space="0" w:color="auto"/>
        <w:left w:val="none" w:sz="0" w:space="0" w:color="auto"/>
        <w:bottom w:val="none" w:sz="0" w:space="0" w:color="auto"/>
        <w:right w:val="none" w:sz="0" w:space="0" w:color="auto"/>
      </w:divBdr>
    </w:div>
    <w:div w:id="726297182">
      <w:bodyDiv w:val="1"/>
      <w:marLeft w:val="0"/>
      <w:marRight w:val="0"/>
      <w:marTop w:val="0"/>
      <w:marBottom w:val="0"/>
      <w:divBdr>
        <w:top w:val="none" w:sz="0" w:space="0" w:color="auto"/>
        <w:left w:val="none" w:sz="0" w:space="0" w:color="auto"/>
        <w:bottom w:val="none" w:sz="0" w:space="0" w:color="auto"/>
        <w:right w:val="none" w:sz="0" w:space="0" w:color="auto"/>
      </w:divBdr>
    </w:div>
    <w:div w:id="726535621">
      <w:bodyDiv w:val="1"/>
      <w:marLeft w:val="0"/>
      <w:marRight w:val="0"/>
      <w:marTop w:val="0"/>
      <w:marBottom w:val="0"/>
      <w:divBdr>
        <w:top w:val="none" w:sz="0" w:space="0" w:color="auto"/>
        <w:left w:val="none" w:sz="0" w:space="0" w:color="auto"/>
        <w:bottom w:val="none" w:sz="0" w:space="0" w:color="auto"/>
        <w:right w:val="none" w:sz="0" w:space="0" w:color="auto"/>
      </w:divBdr>
      <w:divsChild>
        <w:div w:id="53555218">
          <w:marLeft w:val="0"/>
          <w:marRight w:val="0"/>
          <w:marTop w:val="0"/>
          <w:marBottom w:val="0"/>
          <w:divBdr>
            <w:top w:val="none" w:sz="0" w:space="0" w:color="auto"/>
            <w:left w:val="none" w:sz="0" w:space="0" w:color="auto"/>
            <w:bottom w:val="none" w:sz="0" w:space="0" w:color="auto"/>
            <w:right w:val="none" w:sz="0" w:space="0" w:color="auto"/>
          </w:divBdr>
        </w:div>
        <w:div w:id="1283151137">
          <w:marLeft w:val="0"/>
          <w:marRight w:val="0"/>
          <w:marTop w:val="0"/>
          <w:marBottom w:val="0"/>
          <w:divBdr>
            <w:top w:val="none" w:sz="0" w:space="0" w:color="auto"/>
            <w:left w:val="none" w:sz="0" w:space="0" w:color="auto"/>
            <w:bottom w:val="none" w:sz="0" w:space="0" w:color="auto"/>
            <w:right w:val="none" w:sz="0" w:space="0" w:color="auto"/>
          </w:divBdr>
        </w:div>
        <w:div w:id="2049066579">
          <w:marLeft w:val="0"/>
          <w:marRight w:val="0"/>
          <w:marTop w:val="0"/>
          <w:marBottom w:val="0"/>
          <w:divBdr>
            <w:top w:val="none" w:sz="0" w:space="0" w:color="auto"/>
            <w:left w:val="none" w:sz="0" w:space="0" w:color="auto"/>
            <w:bottom w:val="none" w:sz="0" w:space="0" w:color="auto"/>
            <w:right w:val="none" w:sz="0" w:space="0" w:color="auto"/>
          </w:divBdr>
        </w:div>
      </w:divsChild>
    </w:div>
    <w:div w:id="732503797">
      <w:bodyDiv w:val="1"/>
      <w:marLeft w:val="0"/>
      <w:marRight w:val="0"/>
      <w:marTop w:val="0"/>
      <w:marBottom w:val="0"/>
      <w:divBdr>
        <w:top w:val="none" w:sz="0" w:space="0" w:color="auto"/>
        <w:left w:val="none" w:sz="0" w:space="0" w:color="auto"/>
        <w:bottom w:val="none" w:sz="0" w:space="0" w:color="auto"/>
        <w:right w:val="none" w:sz="0" w:space="0" w:color="auto"/>
      </w:divBdr>
    </w:div>
    <w:div w:id="737552974">
      <w:bodyDiv w:val="1"/>
      <w:marLeft w:val="0"/>
      <w:marRight w:val="0"/>
      <w:marTop w:val="0"/>
      <w:marBottom w:val="0"/>
      <w:divBdr>
        <w:top w:val="none" w:sz="0" w:space="0" w:color="auto"/>
        <w:left w:val="none" w:sz="0" w:space="0" w:color="auto"/>
        <w:bottom w:val="none" w:sz="0" w:space="0" w:color="auto"/>
        <w:right w:val="none" w:sz="0" w:space="0" w:color="auto"/>
      </w:divBdr>
    </w:div>
    <w:div w:id="737942137">
      <w:bodyDiv w:val="1"/>
      <w:marLeft w:val="0"/>
      <w:marRight w:val="0"/>
      <w:marTop w:val="0"/>
      <w:marBottom w:val="0"/>
      <w:divBdr>
        <w:top w:val="none" w:sz="0" w:space="0" w:color="auto"/>
        <w:left w:val="none" w:sz="0" w:space="0" w:color="auto"/>
        <w:bottom w:val="none" w:sz="0" w:space="0" w:color="auto"/>
        <w:right w:val="none" w:sz="0" w:space="0" w:color="auto"/>
      </w:divBdr>
      <w:divsChild>
        <w:div w:id="465009150">
          <w:marLeft w:val="547"/>
          <w:marRight w:val="0"/>
          <w:marTop w:val="0"/>
          <w:marBottom w:val="0"/>
          <w:divBdr>
            <w:top w:val="none" w:sz="0" w:space="0" w:color="auto"/>
            <w:left w:val="none" w:sz="0" w:space="0" w:color="auto"/>
            <w:bottom w:val="none" w:sz="0" w:space="0" w:color="auto"/>
            <w:right w:val="none" w:sz="0" w:space="0" w:color="auto"/>
          </w:divBdr>
        </w:div>
      </w:divsChild>
    </w:div>
    <w:div w:id="746726457">
      <w:bodyDiv w:val="1"/>
      <w:marLeft w:val="0"/>
      <w:marRight w:val="0"/>
      <w:marTop w:val="0"/>
      <w:marBottom w:val="0"/>
      <w:divBdr>
        <w:top w:val="none" w:sz="0" w:space="0" w:color="auto"/>
        <w:left w:val="none" w:sz="0" w:space="0" w:color="auto"/>
        <w:bottom w:val="none" w:sz="0" w:space="0" w:color="auto"/>
        <w:right w:val="none" w:sz="0" w:space="0" w:color="auto"/>
      </w:divBdr>
    </w:div>
    <w:div w:id="747851698">
      <w:bodyDiv w:val="1"/>
      <w:marLeft w:val="0"/>
      <w:marRight w:val="0"/>
      <w:marTop w:val="0"/>
      <w:marBottom w:val="0"/>
      <w:divBdr>
        <w:top w:val="none" w:sz="0" w:space="0" w:color="auto"/>
        <w:left w:val="none" w:sz="0" w:space="0" w:color="auto"/>
        <w:bottom w:val="none" w:sz="0" w:space="0" w:color="auto"/>
        <w:right w:val="none" w:sz="0" w:space="0" w:color="auto"/>
      </w:divBdr>
    </w:div>
    <w:div w:id="754324039">
      <w:bodyDiv w:val="1"/>
      <w:marLeft w:val="0"/>
      <w:marRight w:val="0"/>
      <w:marTop w:val="0"/>
      <w:marBottom w:val="0"/>
      <w:divBdr>
        <w:top w:val="none" w:sz="0" w:space="0" w:color="auto"/>
        <w:left w:val="none" w:sz="0" w:space="0" w:color="auto"/>
        <w:bottom w:val="none" w:sz="0" w:space="0" w:color="auto"/>
        <w:right w:val="none" w:sz="0" w:space="0" w:color="auto"/>
      </w:divBdr>
    </w:div>
    <w:div w:id="755635203">
      <w:bodyDiv w:val="1"/>
      <w:marLeft w:val="0"/>
      <w:marRight w:val="0"/>
      <w:marTop w:val="0"/>
      <w:marBottom w:val="0"/>
      <w:divBdr>
        <w:top w:val="none" w:sz="0" w:space="0" w:color="auto"/>
        <w:left w:val="none" w:sz="0" w:space="0" w:color="auto"/>
        <w:bottom w:val="none" w:sz="0" w:space="0" w:color="auto"/>
        <w:right w:val="none" w:sz="0" w:space="0" w:color="auto"/>
      </w:divBdr>
    </w:div>
    <w:div w:id="762843329">
      <w:bodyDiv w:val="1"/>
      <w:marLeft w:val="0"/>
      <w:marRight w:val="0"/>
      <w:marTop w:val="0"/>
      <w:marBottom w:val="0"/>
      <w:divBdr>
        <w:top w:val="none" w:sz="0" w:space="0" w:color="auto"/>
        <w:left w:val="none" w:sz="0" w:space="0" w:color="auto"/>
        <w:bottom w:val="none" w:sz="0" w:space="0" w:color="auto"/>
        <w:right w:val="none" w:sz="0" w:space="0" w:color="auto"/>
      </w:divBdr>
    </w:div>
    <w:div w:id="765198620">
      <w:bodyDiv w:val="1"/>
      <w:marLeft w:val="0"/>
      <w:marRight w:val="0"/>
      <w:marTop w:val="0"/>
      <w:marBottom w:val="0"/>
      <w:divBdr>
        <w:top w:val="none" w:sz="0" w:space="0" w:color="auto"/>
        <w:left w:val="none" w:sz="0" w:space="0" w:color="auto"/>
        <w:bottom w:val="none" w:sz="0" w:space="0" w:color="auto"/>
        <w:right w:val="none" w:sz="0" w:space="0" w:color="auto"/>
      </w:divBdr>
    </w:div>
    <w:div w:id="769935873">
      <w:bodyDiv w:val="1"/>
      <w:marLeft w:val="0"/>
      <w:marRight w:val="0"/>
      <w:marTop w:val="0"/>
      <w:marBottom w:val="0"/>
      <w:divBdr>
        <w:top w:val="none" w:sz="0" w:space="0" w:color="auto"/>
        <w:left w:val="none" w:sz="0" w:space="0" w:color="auto"/>
        <w:bottom w:val="none" w:sz="0" w:space="0" w:color="auto"/>
        <w:right w:val="none" w:sz="0" w:space="0" w:color="auto"/>
      </w:divBdr>
    </w:div>
    <w:div w:id="777334340">
      <w:bodyDiv w:val="1"/>
      <w:marLeft w:val="0"/>
      <w:marRight w:val="0"/>
      <w:marTop w:val="0"/>
      <w:marBottom w:val="0"/>
      <w:divBdr>
        <w:top w:val="none" w:sz="0" w:space="0" w:color="auto"/>
        <w:left w:val="none" w:sz="0" w:space="0" w:color="auto"/>
        <w:bottom w:val="none" w:sz="0" w:space="0" w:color="auto"/>
        <w:right w:val="none" w:sz="0" w:space="0" w:color="auto"/>
      </w:divBdr>
    </w:div>
    <w:div w:id="786973307">
      <w:bodyDiv w:val="1"/>
      <w:marLeft w:val="0"/>
      <w:marRight w:val="0"/>
      <w:marTop w:val="0"/>
      <w:marBottom w:val="0"/>
      <w:divBdr>
        <w:top w:val="none" w:sz="0" w:space="0" w:color="auto"/>
        <w:left w:val="none" w:sz="0" w:space="0" w:color="auto"/>
        <w:bottom w:val="none" w:sz="0" w:space="0" w:color="auto"/>
        <w:right w:val="none" w:sz="0" w:space="0" w:color="auto"/>
      </w:divBdr>
    </w:div>
    <w:div w:id="809059507">
      <w:bodyDiv w:val="1"/>
      <w:marLeft w:val="0"/>
      <w:marRight w:val="0"/>
      <w:marTop w:val="0"/>
      <w:marBottom w:val="0"/>
      <w:divBdr>
        <w:top w:val="none" w:sz="0" w:space="0" w:color="auto"/>
        <w:left w:val="none" w:sz="0" w:space="0" w:color="auto"/>
        <w:bottom w:val="none" w:sz="0" w:space="0" w:color="auto"/>
        <w:right w:val="none" w:sz="0" w:space="0" w:color="auto"/>
      </w:divBdr>
      <w:divsChild>
        <w:div w:id="662464827">
          <w:marLeft w:val="0"/>
          <w:marRight w:val="0"/>
          <w:marTop w:val="0"/>
          <w:marBottom w:val="0"/>
          <w:divBdr>
            <w:top w:val="none" w:sz="0" w:space="0" w:color="auto"/>
            <w:left w:val="none" w:sz="0" w:space="0" w:color="auto"/>
            <w:bottom w:val="none" w:sz="0" w:space="0" w:color="auto"/>
            <w:right w:val="none" w:sz="0" w:space="0" w:color="auto"/>
          </w:divBdr>
          <w:divsChild>
            <w:div w:id="1209150745">
              <w:marLeft w:val="0"/>
              <w:marRight w:val="0"/>
              <w:marTop w:val="197"/>
              <w:marBottom w:val="296"/>
              <w:divBdr>
                <w:top w:val="none" w:sz="0" w:space="0" w:color="auto"/>
                <w:left w:val="none" w:sz="0" w:space="0" w:color="auto"/>
                <w:bottom w:val="none" w:sz="0" w:space="0" w:color="auto"/>
                <w:right w:val="none" w:sz="0" w:space="0" w:color="auto"/>
              </w:divBdr>
            </w:div>
          </w:divsChild>
        </w:div>
      </w:divsChild>
    </w:div>
    <w:div w:id="811021037">
      <w:bodyDiv w:val="1"/>
      <w:marLeft w:val="0"/>
      <w:marRight w:val="0"/>
      <w:marTop w:val="0"/>
      <w:marBottom w:val="0"/>
      <w:divBdr>
        <w:top w:val="none" w:sz="0" w:space="0" w:color="auto"/>
        <w:left w:val="none" w:sz="0" w:space="0" w:color="auto"/>
        <w:bottom w:val="none" w:sz="0" w:space="0" w:color="auto"/>
        <w:right w:val="none" w:sz="0" w:space="0" w:color="auto"/>
      </w:divBdr>
    </w:div>
    <w:div w:id="815220040">
      <w:bodyDiv w:val="1"/>
      <w:marLeft w:val="0"/>
      <w:marRight w:val="0"/>
      <w:marTop w:val="0"/>
      <w:marBottom w:val="0"/>
      <w:divBdr>
        <w:top w:val="none" w:sz="0" w:space="0" w:color="auto"/>
        <w:left w:val="none" w:sz="0" w:space="0" w:color="auto"/>
        <w:bottom w:val="none" w:sz="0" w:space="0" w:color="auto"/>
        <w:right w:val="none" w:sz="0" w:space="0" w:color="auto"/>
      </w:divBdr>
    </w:div>
    <w:div w:id="817261653">
      <w:bodyDiv w:val="1"/>
      <w:marLeft w:val="0"/>
      <w:marRight w:val="0"/>
      <w:marTop w:val="0"/>
      <w:marBottom w:val="0"/>
      <w:divBdr>
        <w:top w:val="none" w:sz="0" w:space="0" w:color="auto"/>
        <w:left w:val="none" w:sz="0" w:space="0" w:color="auto"/>
        <w:bottom w:val="none" w:sz="0" w:space="0" w:color="auto"/>
        <w:right w:val="none" w:sz="0" w:space="0" w:color="auto"/>
      </w:divBdr>
    </w:div>
    <w:div w:id="818036478">
      <w:bodyDiv w:val="1"/>
      <w:marLeft w:val="0"/>
      <w:marRight w:val="0"/>
      <w:marTop w:val="0"/>
      <w:marBottom w:val="0"/>
      <w:divBdr>
        <w:top w:val="none" w:sz="0" w:space="0" w:color="auto"/>
        <w:left w:val="none" w:sz="0" w:space="0" w:color="auto"/>
        <w:bottom w:val="none" w:sz="0" w:space="0" w:color="auto"/>
        <w:right w:val="none" w:sz="0" w:space="0" w:color="auto"/>
      </w:divBdr>
    </w:div>
    <w:div w:id="862864537">
      <w:bodyDiv w:val="1"/>
      <w:marLeft w:val="0"/>
      <w:marRight w:val="0"/>
      <w:marTop w:val="0"/>
      <w:marBottom w:val="0"/>
      <w:divBdr>
        <w:top w:val="none" w:sz="0" w:space="0" w:color="auto"/>
        <w:left w:val="none" w:sz="0" w:space="0" w:color="auto"/>
        <w:bottom w:val="none" w:sz="0" w:space="0" w:color="auto"/>
        <w:right w:val="none" w:sz="0" w:space="0" w:color="auto"/>
      </w:divBdr>
    </w:div>
    <w:div w:id="865337682">
      <w:bodyDiv w:val="1"/>
      <w:marLeft w:val="0"/>
      <w:marRight w:val="0"/>
      <w:marTop w:val="0"/>
      <w:marBottom w:val="0"/>
      <w:divBdr>
        <w:top w:val="none" w:sz="0" w:space="0" w:color="auto"/>
        <w:left w:val="none" w:sz="0" w:space="0" w:color="auto"/>
        <w:bottom w:val="none" w:sz="0" w:space="0" w:color="auto"/>
        <w:right w:val="none" w:sz="0" w:space="0" w:color="auto"/>
      </w:divBdr>
    </w:div>
    <w:div w:id="904029397">
      <w:bodyDiv w:val="1"/>
      <w:marLeft w:val="0"/>
      <w:marRight w:val="0"/>
      <w:marTop w:val="0"/>
      <w:marBottom w:val="0"/>
      <w:divBdr>
        <w:top w:val="none" w:sz="0" w:space="0" w:color="auto"/>
        <w:left w:val="none" w:sz="0" w:space="0" w:color="auto"/>
        <w:bottom w:val="none" w:sz="0" w:space="0" w:color="auto"/>
        <w:right w:val="none" w:sz="0" w:space="0" w:color="auto"/>
      </w:divBdr>
    </w:div>
    <w:div w:id="925259954">
      <w:bodyDiv w:val="1"/>
      <w:marLeft w:val="0"/>
      <w:marRight w:val="0"/>
      <w:marTop w:val="0"/>
      <w:marBottom w:val="0"/>
      <w:divBdr>
        <w:top w:val="none" w:sz="0" w:space="0" w:color="auto"/>
        <w:left w:val="none" w:sz="0" w:space="0" w:color="auto"/>
        <w:bottom w:val="none" w:sz="0" w:space="0" w:color="auto"/>
        <w:right w:val="none" w:sz="0" w:space="0" w:color="auto"/>
      </w:divBdr>
    </w:div>
    <w:div w:id="955522254">
      <w:bodyDiv w:val="1"/>
      <w:marLeft w:val="0"/>
      <w:marRight w:val="0"/>
      <w:marTop w:val="0"/>
      <w:marBottom w:val="0"/>
      <w:divBdr>
        <w:top w:val="none" w:sz="0" w:space="0" w:color="auto"/>
        <w:left w:val="none" w:sz="0" w:space="0" w:color="auto"/>
        <w:bottom w:val="none" w:sz="0" w:space="0" w:color="auto"/>
        <w:right w:val="none" w:sz="0" w:space="0" w:color="auto"/>
      </w:divBdr>
    </w:div>
    <w:div w:id="962151114">
      <w:bodyDiv w:val="1"/>
      <w:marLeft w:val="0"/>
      <w:marRight w:val="0"/>
      <w:marTop w:val="0"/>
      <w:marBottom w:val="0"/>
      <w:divBdr>
        <w:top w:val="none" w:sz="0" w:space="0" w:color="auto"/>
        <w:left w:val="none" w:sz="0" w:space="0" w:color="auto"/>
        <w:bottom w:val="none" w:sz="0" w:space="0" w:color="auto"/>
        <w:right w:val="none" w:sz="0" w:space="0" w:color="auto"/>
      </w:divBdr>
    </w:div>
    <w:div w:id="966013272">
      <w:bodyDiv w:val="1"/>
      <w:marLeft w:val="0"/>
      <w:marRight w:val="0"/>
      <w:marTop w:val="0"/>
      <w:marBottom w:val="0"/>
      <w:divBdr>
        <w:top w:val="none" w:sz="0" w:space="0" w:color="auto"/>
        <w:left w:val="none" w:sz="0" w:space="0" w:color="auto"/>
        <w:bottom w:val="none" w:sz="0" w:space="0" w:color="auto"/>
        <w:right w:val="none" w:sz="0" w:space="0" w:color="auto"/>
      </w:divBdr>
      <w:divsChild>
        <w:div w:id="1415391476">
          <w:marLeft w:val="547"/>
          <w:marRight w:val="0"/>
          <w:marTop w:val="0"/>
          <w:marBottom w:val="0"/>
          <w:divBdr>
            <w:top w:val="none" w:sz="0" w:space="0" w:color="auto"/>
            <w:left w:val="none" w:sz="0" w:space="0" w:color="auto"/>
            <w:bottom w:val="none" w:sz="0" w:space="0" w:color="auto"/>
            <w:right w:val="none" w:sz="0" w:space="0" w:color="auto"/>
          </w:divBdr>
        </w:div>
      </w:divsChild>
    </w:div>
    <w:div w:id="976643364">
      <w:bodyDiv w:val="1"/>
      <w:marLeft w:val="0"/>
      <w:marRight w:val="0"/>
      <w:marTop w:val="0"/>
      <w:marBottom w:val="0"/>
      <w:divBdr>
        <w:top w:val="none" w:sz="0" w:space="0" w:color="auto"/>
        <w:left w:val="none" w:sz="0" w:space="0" w:color="auto"/>
        <w:bottom w:val="none" w:sz="0" w:space="0" w:color="auto"/>
        <w:right w:val="none" w:sz="0" w:space="0" w:color="auto"/>
      </w:divBdr>
    </w:div>
    <w:div w:id="981348960">
      <w:bodyDiv w:val="1"/>
      <w:marLeft w:val="0"/>
      <w:marRight w:val="0"/>
      <w:marTop w:val="0"/>
      <w:marBottom w:val="0"/>
      <w:divBdr>
        <w:top w:val="none" w:sz="0" w:space="0" w:color="auto"/>
        <w:left w:val="none" w:sz="0" w:space="0" w:color="auto"/>
        <w:bottom w:val="none" w:sz="0" w:space="0" w:color="auto"/>
        <w:right w:val="none" w:sz="0" w:space="0" w:color="auto"/>
      </w:divBdr>
    </w:div>
    <w:div w:id="982152435">
      <w:bodyDiv w:val="1"/>
      <w:marLeft w:val="0"/>
      <w:marRight w:val="0"/>
      <w:marTop w:val="0"/>
      <w:marBottom w:val="0"/>
      <w:divBdr>
        <w:top w:val="none" w:sz="0" w:space="0" w:color="auto"/>
        <w:left w:val="none" w:sz="0" w:space="0" w:color="auto"/>
        <w:bottom w:val="none" w:sz="0" w:space="0" w:color="auto"/>
        <w:right w:val="none" w:sz="0" w:space="0" w:color="auto"/>
      </w:divBdr>
    </w:div>
    <w:div w:id="988630785">
      <w:bodyDiv w:val="1"/>
      <w:marLeft w:val="0"/>
      <w:marRight w:val="0"/>
      <w:marTop w:val="0"/>
      <w:marBottom w:val="0"/>
      <w:divBdr>
        <w:top w:val="none" w:sz="0" w:space="0" w:color="auto"/>
        <w:left w:val="none" w:sz="0" w:space="0" w:color="auto"/>
        <w:bottom w:val="none" w:sz="0" w:space="0" w:color="auto"/>
        <w:right w:val="none" w:sz="0" w:space="0" w:color="auto"/>
      </w:divBdr>
    </w:div>
    <w:div w:id="995915861">
      <w:bodyDiv w:val="1"/>
      <w:marLeft w:val="0"/>
      <w:marRight w:val="0"/>
      <w:marTop w:val="0"/>
      <w:marBottom w:val="0"/>
      <w:divBdr>
        <w:top w:val="none" w:sz="0" w:space="0" w:color="auto"/>
        <w:left w:val="none" w:sz="0" w:space="0" w:color="auto"/>
        <w:bottom w:val="none" w:sz="0" w:space="0" w:color="auto"/>
        <w:right w:val="none" w:sz="0" w:space="0" w:color="auto"/>
      </w:divBdr>
    </w:div>
    <w:div w:id="999885667">
      <w:bodyDiv w:val="1"/>
      <w:marLeft w:val="0"/>
      <w:marRight w:val="0"/>
      <w:marTop w:val="0"/>
      <w:marBottom w:val="0"/>
      <w:divBdr>
        <w:top w:val="none" w:sz="0" w:space="0" w:color="auto"/>
        <w:left w:val="none" w:sz="0" w:space="0" w:color="auto"/>
        <w:bottom w:val="none" w:sz="0" w:space="0" w:color="auto"/>
        <w:right w:val="none" w:sz="0" w:space="0" w:color="auto"/>
      </w:divBdr>
    </w:div>
    <w:div w:id="1005128224">
      <w:bodyDiv w:val="1"/>
      <w:marLeft w:val="0"/>
      <w:marRight w:val="0"/>
      <w:marTop w:val="0"/>
      <w:marBottom w:val="0"/>
      <w:divBdr>
        <w:top w:val="none" w:sz="0" w:space="0" w:color="auto"/>
        <w:left w:val="none" w:sz="0" w:space="0" w:color="auto"/>
        <w:bottom w:val="none" w:sz="0" w:space="0" w:color="auto"/>
        <w:right w:val="none" w:sz="0" w:space="0" w:color="auto"/>
      </w:divBdr>
    </w:div>
    <w:div w:id="1008866409">
      <w:bodyDiv w:val="1"/>
      <w:marLeft w:val="0"/>
      <w:marRight w:val="0"/>
      <w:marTop w:val="0"/>
      <w:marBottom w:val="0"/>
      <w:divBdr>
        <w:top w:val="none" w:sz="0" w:space="0" w:color="auto"/>
        <w:left w:val="none" w:sz="0" w:space="0" w:color="auto"/>
        <w:bottom w:val="none" w:sz="0" w:space="0" w:color="auto"/>
        <w:right w:val="none" w:sz="0" w:space="0" w:color="auto"/>
      </w:divBdr>
    </w:div>
    <w:div w:id="1009913449">
      <w:bodyDiv w:val="1"/>
      <w:marLeft w:val="0"/>
      <w:marRight w:val="0"/>
      <w:marTop w:val="0"/>
      <w:marBottom w:val="0"/>
      <w:divBdr>
        <w:top w:val="none" w:sz="0" w:space="0" w:color="auto"/>
        <w:left w:val="none" w:sz="0" w:space="0" w:color="auto"/>
        <w:bottom w:val="none" w:sz="0" w:space="0" w:color="auto"/>
        <w:right w:val="none" w:sz="0" w:space="0" w:color="auto"/>
      </w:divBdr>
    </w:div>
    <w:div w:id="1029839318">
      <w:bodyDiv w:val="1"/>
      <w:marLeft w:val="0"/>
      <w:marRight w:val="0"/>
      <w:marTop w:val="0"/>
      <w:marBottom w:val="0"/>
      <w:divBdr>
        <w:top w:val="none" w:sz="0" w:space="0" w:color="auto"/>
        <w:left w:val="none" w:sz="0" w:space="0" w:color="auto"/>
        <w:bottom w:val="none" w:sz="0" w:space="0" w:color="auto"/>
        <w:right w:val="none" w:sz="0" w:space="0" w:color="auto"/>
      </w:divBdr>
    </w:div>
    <w:div w:id="1037391740">
      <w:bodyDiv w:val="1"/>
      <w:marLeft w:val="0"/>
      <w:marRight w:val="0"/>
      <w:marTop w:val="0"/>
      <w:marBottom w:val="0"/>
      <w:divBdr>
        <w:top w:val="none" w:sz="0" w:space="0" w:color="auto"/>
        <w:left w:val="none" w:sz="0" w:space="0" w:color="auto"/>
        <w:bottom w:val="none" w:sz="0" w:space="0" w:color="auto"/>
        <w:right w:val="none" w:sz="0" w:space="0" w:color="auto"/>
      </w:divBdr>
      <w:divsChild>
        <w:div w:id="2004039645">
          <w:marLeft w:val="0"/>
          <w:marRight w:val="0"/>
          <w:marTop w:val="0"/>
          <w:marBottom w:val="0"/>
          <w:divBdr>
            <w:top w:val="none" w:sz="0" w:space="0" w:color="auto"/>
            <w:left w:val="none" w:sz="0" w:space="0" w:color="auto"/>
            <w:bottom w:val="none" w:sz="0" w:space="0" w:color="auto"/>
            <w:right w:val="none" w:sz="0" w:space="0" w:color="auto"/>
          </w:divBdr>
          <w:divsChild>
            <w:div w:id="696272530">
              <w:marLeft w:val="0"/>
              <w:marRight w:val="0"/>
              <w:marTop w:val="0"/>
              <w:marBottom w:val="0"/>
              <w:divBdr>
                <w:top w:val="none" w:sz="0" w:space="0" w:color="auto"/>
                <w:left w:val="none" w:sz="0" w:space="0" w:color="auto"/>
                <w:bottom w:val="none" w:sz="0" w:space="0" w:color="auto"/>
                <w:right w:val="none" w:sz="0" w:space="0" w:color="auto"/>
              </w:divBdr>
              <w:divsChild>
                <w:div w:id="358092013">
                  <w:marLeft w:val="0"/>
                  <w:marRight w:val="0"/>
                  <w:marTop w:val="0"/>
                  <w:marBottom w:val="0"/>
                  <w:divBdr>
                    <w:top w:val="none" w:sz="0" w:space="0" w:color="auto"/>
                    <w:left w:val="none" w:sz="0" w:space="0" w:color="auto"/>
                    <w:bottom w:val="none" w:sz="0" w:space="0" w:color="auto"/>
                    <w:right w:val="none" w:sz="0" w:space="0" w:color="auto"/>
                  </w:divBdr>
                  <w:divsChild>
                    <w:div w:id="1126391605">
                      <w:marLeft w:val="0"/>
                      <w:marRight w:val="0"/>
                      <w:marTop w:val="0"/>
                      <w:marBottom w:val="0"/>
                      <w:divBdr>
                        <w:top w:val="none" w:sz="0" w:space="0" w:color="auto"/>
                        <w:left w:val="none" w:sz="0" w:space="0" w:color="auto"/>
                        <w:bottom w:val="none" w:sz="0" w:space="0" w:color="auto"/>
                        <w:right w:val="none" w:sz="0" w:space="0" w:color="auto"/>
                      </w:divBdr>
                      <w:divsChild>
                        <w:div w:id="14343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96595">
      <w:bodyDiv w:val="1"/>
      <w:marLeft w:val="0"/>
      <w:marRight w:val="0"/>
      <w:marTop w:val="0"/>
      <w:marBottom w:val="0"/>
      <w:divBdr>
        <w:top w:val="none" w:sz="0" w:space="0" w:color="auto"/>
        <w:left w:val="none" w:sz="0" w:space="0" w:color="auto"/>
        <w:bottom w:val="none" w:sz="0" w:space="0" w:color="auto"/>
        <w:right w:val="none" w:sz="0" w:space="0" w:color="auto"/>
      </w:divBdr>
    </w:div>
    <w:div w:id="1057164778">
      <w:bodyDiv w:val="1"/>
      <w:marLeft w:val="0"/>
      <w:marRight w:val="0"/>
      <w:marTop w:val="0"/>
      <w:marBottom w:val="0"/>
      <w:divBdr>
        <w:top w:val="none" w:sz="0" w:space="0" w:color="auto"/>
        <w:left w:val="none" w:sz="0" w:space="0" w:color="auto"/>
        <w:bottom w:val="none" w:sz="0" w:space="0" w:color="auto"/>
        <w:right w:val="none" w:sz="0" w:space="0" w:color="auto"/>
      </w:divBdr>
    </w:div>
    <w:div w:id="1076786390">
      <w:bodyDiv w:val="1"/>
      <w:marLeft w:val="0"/>
      <w:marRight w:val="0"/>
      <w:marTop w:val="0"/>
      <w:marBottom w:val="0"/>
      <w:divBdr>
        <w:top w:val="none" w:sz="0" w:space="0" w:color="auto"/>
        <w:left w:val="none" w:sz="0" w:space="0" w:color="auto"/>
        <w:bottom w:val="none" w:sz="0" w:space="0" w:color="auto"/>
        <w:right w:val="none" w:sz="0" w:space="0" w:color="auto"/>
      </w:divBdr>
    </w:div>
    <w:div w:id="1079522911">
      <w:bodyDiv w:val="1"/>
      <w:marLeft w:val="0"/>
      <w:marRight w:val="0"/>
      <w:marTop w:val="0"/>
      <w:marBottom w:val="0"/>
      <w:divBdr>
        <w:top w:val="none" w:sz="0" w:space="0" w:color="auto"/>
        <w:left w:val="none" w:sz="0" w:space="0" w:color="auto"/>
        <w:bottom w:val="none" w:sz="0" w:space="0" w:color="auto"/>
        <w:right w:val="none" w:sz="0" w:space="0" w:color="auto"/>
      </w:divBdr>
    </w:div>
    <w:div w:id="1085612444">
      <w:bodyDiv w:val="1"/>
      <w:marLeft w:val="0"/>
      <w:marRight w:val="0"/>
      <w:marTop w:val="0"/>
      <w:marBottom w:val="0"/>
      <w:divBdr>
        <w:top w:val="none" w:sz="0" w:space="0" w:color="auto"/>
        <w:left w:val="none" w:sz="0" w:space="0" w:color="auto"/>
        <w:bottom w:val="none" w:sz="0" w:space="0" w:color="auto"/>
        <w:right w:val="none" w:sz="0" w:space="0" w:color="auto"/>
      </w:divBdr>
    </w:div>
    <w:div w:id="1093746142">
      <w:bodyDiv w:val="1"/>
      <w:marLeft w:val="0"/>
      <w:marRight w:val="0"/>
      <w:marTop w:val="0"/>
      <w:marBottom w:val="0"/>
      <w:divBdr>
        <w:top w:val="none" w:sz="0" w:space="0" w:color="auto"/>
        <w:left w:val="none" w:sz="0" w:space="0" w:color="auto"/>
        <w:bottom w:val="none" w:sz="0" w:space="0" w:color="auto"/>
        <w:right w:val="none" w:sz="0" w:space="0" w:color="auto"/>
      </w:divBdr>
      <w:divsChild>
        <w:div w:id="1249386327">
          <w:marLeft w:val="0"/>
          <w:marRight w:val="0"/>
          <w:marTop w:val="0"/>
          <w:marBottom w:val="225"/>
          <w:divBdr>
            <w:top w:val="none" w:sz="0" w:space="0" w:color="auto"/>
            <w:left w:val="none" w:sz="0" w:space="0" w:color="auto"/>
            <w:bottom w:val="none" w:sz="0" w:space="0" w:color="auto"/>
            <w:right w:val="none" w:sz="0" w:space="0" w:color="auto"/>
          </w:divBdr>
          <w:divsChild>
            <w:div w:id="312682787">
              <w:marLeft w:val="0"/>
              <w:marRight w:val="0"/>
              <w:marTop w:val="0"/>
              <w:marBottom w:val="0"/>
              <w:divBdr>
                <w:top w:val="none" w:sz="0" w:space="0" w:color="auto"/>
                <w:left w:val="none" w:sz="0" w:space="0" w:color="auto"/>
                <w:bottom w:val="none" w:sz="0" w:space="0" w:color="auto"/>
                <w:right w:val="none" w:sz="0" w:space="0" w:color="auto"/>
              </w:divBdr>
            </w:div>
          </w:divsChild>
        </w:div>
        <w:div w:id="1442991848">
          <w:marLeft w:val="0"/>
          <w:marRight w:val="0"/>
          <w:marTop w:val="0"/>
          <w:marBottom w:val="240"/>
          <w:divBdr>
            <w:top w:val="none" w:sz="0" w:space="0" w:color="auto"/>
            <w:left w:val="none" w:sz="0" w:space="0" w:color="auto"/>
            <w:bottom w:val="dashed" w:sz="6" w:space="0" w:color="B3B3B3"/>
            <w:right w:val="none" w:sz="0" w:space="0" w:color="auto"/>
          </w:divBdr>
        </w:div>
      </w:divsChild>
    </w:div>
    <w:div w:id="1103375745">
      <w:bodyDiv w:val="1"/>
      <w:marLeft w:val="0"/>
      <w:marRight w:val="0"/>
      <w:marTop w:val="0"/>
      <w:marBottom w:val="0"/>
      <w:divBdr>
        <w:top w:val="none" w:sz="0" w:space="0" w:color="auto"/>
        <w:left w:val="none" w:sz="0" w:space="0" w:color="auto"/>
        <w:bottom w:val="none" w:sz="0" w:space="0" w:color="auto"/>
        <w:right w:val="none" w:sz="0" w:space="0" w:color="auto"/>
      </w:divBdr>
    </w:div>
    <w:div w:id="1143276530">
      <w:bodyDiv w:val="1"/>
      <w:marLeft w:val="0"/>
      <w:marRight w:val="0"/>
      <w:marTop w:val="0"/>
      <w:marBottom w:val="0"/>
      <w:divBdr>
        <w:top w:val="none" w:sz="0" w:space="0" w:color="auto"/>
        <w:left w:val="none" w:sz="0" w:space="0" w:color="auto"/>
        <w:bottom w:val="none" w:sz="0" w:space="0" w:color="auto"/>
        <w:right w:val="none" w:sz="0" w:space="0" w:color="auto"/>
      </w:divBdr>
    </w:div>
    <w:div w:id="1149053745">
      <w:bodyDiv w:val="1"/>
      <w:marLeft w:val="0"/>
      <w:marRight w:val="0"/>
      <w:marTop w:val="0"/>
      <w:marBottom w:val="0"/>
      <w:divBdr>
        <w:top w:val="none" w:sz="0" w:space="0" w:color="auto"/>
        <w:left w:val="none" w:sz="0" w:space="0" w:color="auto"/>
        <w:bottom w:val="none" w:sz="0" w:space="0" w:color="auto"/>
        <w:right w:val="none" w:sz="0" w:space="0" w:color="auto"/>
      </w:divBdr>
    </w:div>
    <w:div w:id="1150319960">
      <w:bodyDiv w:val="1"/>
      <w:marLeft w:val="0"/>
      <w:marRight w:val="0"/>
      <w:marTop w:val="0"/>
      <w:marBottom w:val="0"/>
      <w:divBdr>
        <w:top w:val="none" w:sz="0" w:space="0" w:color="auto"/>
        <w:left w:val="none" w:sz="0" w:space="0" w:color="auto"/>
        <w:bottom w:val="none" w:sz="0" w:space="0" w:color="auto"/>
        <w:right w:val="none" w:sz="0" w:space="0" w:color="auto"/>
      </w:divBdr>
    </w:div>
    <w:div w:id="1153062786">
      <w:bodyDiv w:val="1"/>
      <w:marLeft w:val="0"/>
      <w:marRight w:val="0"/>
      <w:marTop w:val="0"/>
      <w:marBottom w:val="0"/>
      <w:divBdr>
        <w:top w:val="none" w:sz="0" w:space="0" w:color="auto"/>
        <w:left w:val="none" w:sz="0" w:space="0" w:color="auto"/>
        <w:bottom w:val="none" w:sz="0" w:space="0" w:color="auto"/>
        <w:right w:val="none" w:sz="0" w:space="0" w:color="auto"/>
      </w:divBdr>
    </w:div>
    <w:div w:id="1153834551">
      <w:bodyDiv w:val="1"/>
      <w:marLeft w:val="0"/>
      <w:marRight w:val="0"/>
      <w:marTop w:val="0"/>
      <w:marBottom w:val="0"/>
      <w:divBdr>
        <w:top w:val="none" w:sz="0" w:space="0" w:color="auto"/>
        <w:left w:val="none" w:sz="0" w:space="0" w:color="auto"/>
        <w:bottom w:val="none" w:sz="0" w:space="0" w:color="auto"/>
        <w:right w:val="none" w:sz="0" w:space="0" w:color="auto"/>
      </w:divBdr>
    </w:div>
    <w:div w:id="1160923874">
      <w:bodyDiv w:val="1"/>
      <w:marLeft w:val="0"/>
      <w:marRight w:val="0"/>
      <w:marTop w:val="0"/>
      <w:marBottom w:val="0"/>
      <w:divBdr>
        <w:top w:val="none" w:sz="0" w:space="0" w:color="auto"/>
        <w:left w:val="none" w:sz="0" w:space="0" w:color="auto"/>
        <w:bottom w:val="none" w:sz="0" w:space="0" w:color="auto"/>
        <w:right w:val="none" w:sz="0" w:space="0" w:color="auto"/>
      </w:divBdr>
    </w:div>
    <w:div w:id="1164198904">
      <w:bodyDiv w:val="1"/>
      <w:marLeft w:val="0"/>
      <w:marRight w:val="0"/>
      <w:marTop w:val="0"/>
      <w:marBottom w:val="0"/>
      <w:divBdr>
        <w:top w:val="none" w:sz="0" w:space="0" w:color="auto"/>
        <w:left w:val="none" w:sz="0" w:space="0" w:color="auto"/>
        <w:bottom w:val="none" w:sz="0" w:space="0" w:color="auto"/>
        <w:right w:val="none" w:sz="0" w:space="0" w:color="auto"/>
      </w:divBdr>
      <w:divsChild>
        <w:div w:id="1538469112">
          <w:marLeft w:val="547"/>
          <w:marRight w:val="0"/>
          <w:marTop w:val="0"/>
          <w:marBottom w:val="0"/>
          <w:divBdr>
            <w:top w:val="none" w:sz="0" w:space="0" w:color="auto"/>
            <w:left w:val="none" w:sz="0" w:space="0" w:color="auto"/>
            <w:bottom w:val="none" w:sz="0" w:space="0" w:color="auto"/>
            <w:right w:val="none" w:sz="0" w:space="0" w:color="auto"/>
          </w:divBdr>
        </w:div>
      </w:divsChild>
    </w:div>
    <w:div w:id="1172835736">
      <w:bodyDiv w:val="1"/>
      <w:marLeft w:val="0"/>
      <w:marRight w:val="0"/>
      <w:marTop w:val="0"/>
      <w:marBottom w:val="0"/>
      <w:divBdr>
        <w:top w:val="none" w:sz="0" w:space="0" w:color="auto"/>
        <w:left w:val="none" w:sz="0" w:space="0" w:color="auto"/>
        <w:bottom w:val="none" w:sz="0" w:space="0" w:color="auto"/>
        <w:right w:val="none" w:sz="0" w:space="0" w:color="auto"/>
      </w:divBdr>
    </w:div>
    <w:div w:id="1183280704">
      <w:bodyDiv w:val="1"/>
      <w:marLeft w:val="0"/>
      <w:marRight w:val="0"/>
      <w:marTop w:val="0"/>
      <w:marBottom w:val="0"/>
      <w:divBdr>
        <w:top w:val="none" w:sz="0" w:space="0" w:color="auto"/>
        <w:left w:val="none" w:sz="0" w:space="0" w:color="auto"/>
        <w:bottom w:val="none" w:sz="0" w:space="0" w:color="auto"/>
        <w:right w:val="none" w:sz="0" w:space="0" w:color="auto"/>
      </w:divBdr>
    </w:div>
    <w:div w:id="1185830093">
      <w:bodyDiv w:val="1"/>
      <w:marLeft w:val="0"/>
      <w:marRight w:val="0"/>
      <w:marTop w:val="0"/>
      <w:marBottom w:val="0"/>
      <w:divBdr>
        <w:top w:val="none" w:sz="0" w:space="0" w:color="auto"/>
        <w:left w:val="none" w:sz="0" w:space="0" w:color="auto"/>
        <w:bottom w:val="none" w:sz="0" w:space="0" w:color="auto"/>
        <w:right w:val="none" w:sz="0" w:space="0" w:color="auto"/>
      </w:divBdr>
    </w:div>
    <w:div w:id="1202130286">
      <w:bodyDiv w:val="1"/>
      <w:marLeft w:val="0"/>
      <w:marRight w:val="0"/>
      <w:marTop w:val="0"/>
      <w:marBottom w:val="0"/>
      <w:divBdr>
        <w:top w:val="none" w:sz="0" w:space="0" w:color="auto"/>
        <w:left w:val="none" w:sz="0" w:space="0" w:color="auto"/>
        <w:bottom w:val="none" w:sz="0" w:space="0" w:color="auto"/>
        <w:right w:val="none" w:sz="0" w:space="0" w:color="auto"/>
      </w:divBdr>
    </w:div>
    <w:div w:id="1222063311">
      <w:bodyDiv w:val="1"/>
      <w:marLeft w:val="0"/>
      <w:marRight w:val="0"/>
      <w:marTop w:val="0"/>
      <w:marBottom w:val="0"/>
      <w:divBdr>
        <w:top w:val="none" w:sz="0" w:space="0" w:color="auto"/>
        <w:left w:val="none" w:sz="0" w:space="0" w:color="auto"/>
        <w:bottom w:val="none" w:sz="0" w:space="0" w:color="auto"/>
        <w:right w:val="none" w:sz="0" w:space="0" w:color="auto"/>
      </w:divBdr>
    </w:div>
    <w:div w:id="1237789371">
      <w:bodyDiv w:val="1"/>
      <w:marLeft w:val="0"/>
      <w:marRight w:val="0"/>
      <w:marTop w:val="0"/>
      <w:marBottom w:val="0"/>
      <w:divBdr>
        <w:top w:val="none" w:sz="0" w:space="0" w:color="auto"/>
        <w:left w:val="none" w:sz="0" w:space="0" w:color="auto"/>
        <w:bottom w:val="none" w:sz="0" w:space="0" w:color="auto"/>
        <w:right w:val="none" w:sz="0" w:space="0" w:color="auto"/>
      </w:divBdr>
    </w:div>
    <w:div w:id="1247615394">
      <w:bodyDiv w:val="1"/>
      <w:marLeft w:val="0"/>
      <w:marRight w:val="0"/>
      <w:marTop w:val="0"/>
      <w:marBottom w:val="0"/>
      <w:divBdr>
        <w:top w:val="none" w:sz="0" w:space="0" w:color="auto"/>
        <w:left w:val="none" w:sz="0" w:space="0" w:color="auto"/>
        <w:bottom w:val="none" w:sz="0" w:space="0" w:color="auto"/>
        <w:right w:val="none" w:sz="0" w:space="0" w:color="auto"/>
      </w:divBdr>
    </w:div>
    <w:div w:id="1255632515">
      <w:bodyDiv w:val="1"/>
      <w:marLeft w:val="0"/>
      <w:marRight w:val="0"/>
      <w:marTop w:val="0"/>
      <w:marBottom w:val="0"/>
      <w:divBdr>
        <w:top w:val="none" w:sz="0" w:space="0" w:color="auto"/>
        <w:left w:val="none" w:sz="0" w:space="0" w:color="auto"/>
        <w:bottom w:val="none" w:sz="0" w:space="0" w:color="auto"/>
        <w:right w:val="none" w:sz="0" w:space="0" w:color="auto"/>
      </w:divBdr>
      <w:divsChild>
        <w:div w:id="1568374504">
          <w:marLeft w:val="547"/>
          <w:marRight w:val="0"/>
          <w:marTop w:val="0"/>
          <w:marBottom w:val="0"/>
          <w:divBdr>
            <w:top w:val="none" w:sz="0" w:space="0" w:color="auto"/>
            <w:left w:val="none" w:sz="0" w:space="0" w:color="auto"/>
            <w:bottom w:val="none" w:sz="0" w:space="0" w:color="auto"/>
            <w:right w:val="none" w:sz="0" w:space="0" w:color="auto"/>
          </w:divBdr>
        </w:div>
      </w:divsChild>
    </w:div>
    <w:div w:id="1260983704">
      <w:bodyDiv w:val="1"/>
      <w:marLeft w:val="0"/>
      <w:marRight w:val="0"/>
      <w:marTop w:val="0"/>
      <w:marBottom w:val="0"/>
      <w:divBdr>
        <w:top w:val="none" w:sz="0" w:space="0" w:color="auto"/>
        <w:left w:val="none" w:sz="0" w:space="0" w:color="auto"/>
        <w:bottom w:val="none" w:sz="0" w:space="0" w:color="auto"/>
        <w:right w:val="none" w:sz="0" w:space="0" w:color="auto"/>
      </w:divBdr>
    </w:div>
    <w:div w:id="1268001800">
      <w:bodyDiv w:val="1"/>
      <w:marLeft w:val="0"/>
      <w:marRight w:val="0"/>
      <w:marTop w:val="0"/>
      <w:marBottom w:val="0"/>
      <w:divBdr>
        <w:top w:val="none" w:sz="0" w:space="0" w:color="auto"/>
        <w:left w:val="none" w:sz="0" w:space="0" w:color="auto"/>
        <w:bottom w:val="none" w:sz="0" w:space="0" w:color="auto"/>
        <w:right w:val="none" w:sz="0" w:space="0" w:color="auto"/>
      </w:divBdr>
    </w:div>
    <w:div w:id="1271163396">
      <w:bodyDiv w:val="1"/>
      <w:marLeft w:val="0"/>
      <w:marRight w:val="0"/>
      <w:marTop w:val="0"/>
      <w:marBottom w:val="0"/>
      <w:divBdr>
        <w:top w:val="none" w:sz="0" w:space="0" w:color="auto"/>
        <w:left w:val="none" w:sz="0" w:space="0" w:color="auto"/>
        <w:bottom w:val="none" w:sz="0" w:space="0" w:color="auto"/>
        <w:right w:val="none" w:sz="0" w:space="0" w:color="auto"/>
      </w:divBdr>
      <w:divsChild>
        <w:div w:id="801458443">
          <w:marLeft w:val="432"/>
          <w:marRight w:val="0"/>
          <w:marTop w:val="86"/>
          <w:marBottom w:val="0"/>
          <w:divBdr>
            <w:top w:val="none" w:sz="0" w:space="0" w:color="auto"/>
            <w:left w:val="none" w:sz="0" w:space="0" w:color="auto"/>
            <w:bottom w:val="none" w:sz="0" w:space="0" w:color="auto"/>
            <w:right w:val="none" w:sz="0" w:space="0" w:color="auto"/>
          </w:divBdr>
        </w:div>
      </w:divsChild>
    </w:div>
    <w:div w:id="1274216797">
      <w:bodyDiv w:val="1"/>
      <w:marLeft w:val="0"/>
      <w:marRight w:val="0"/>
      <w:marTop w:val="0"/>
      <w:marBottom w:val="0"/>
      <w:divBdr>
        <w:top w:val="none" w:sz="0" w:space="0" w:color="auto"/>
        <w:left w:val="none" w:sz="0" w:space="0" w:color="auto"/>
        <w:bottom w:val="none" w:sz="0" w:space="0" w:color="auto"/>
        <w:right w:val="none" w:sz="0" w:space="0" w:color="auto"/>
      </w:divBdr>
      <w:divsChild>
        <w:div w:id="1076322439">
          <w:marLeft w:val="0"/>
          <w:marRight w:val="0"/>
          <w:marTop w:val="0"/>
          <w:marBottom w:val="0"/>
          <w:divBdr>
            <w:top w:val="none" w:sz="0" w:space="0" w:color="auto"/>
            <w:left w:val="none" w:sz="0" w:space="0" w:color="auto"/>
            <w:bottom w:val="none" w:sz="0" w:space="0" w:color="auto"/>
            <w:right w:val="none" w:sz="0" w:space="0" w:color="auto"/>
          </w:divBdr>
          <w:divsChild>
            <w:div w:id="153684721">
              <w:marLeft w:val="0"/>
              <w:marRight w:val="0"/>
              <w:marTop w:val="0"/>
              <w:marBottom w:val="0"/>
              <w:divBdr>
                <w:top w:val="none" w:sz="0" w:space="0" w:color="auto"/>
                <w:left w:val="none" w:sz="0" w:space="0" w:color="auto"/>
                <w:bottom w:val="none" w:sz="0" w:space="0" w:color="auto"/>
                <w:right w:val="none" w:sz="0" w:space="0" w:color="auto"/>
              </w:divBdr>
              <w:divsChild>
                <w:div w:id="93325182">
                  <w:marLeft w:val="-225"/>
                  <w:marRight w:val="-225"/>
                  <w:marTop w:val="0"/>
                  <w:marBottom w:val="0"/>
                  <w:divBdr>
                    <w:top w:val="none" w:sz="0" w:space="0" w:color="auto"/>
                    <w:left w:val="none" w:sz="0" w:space="0" w:color="auto"/>
                    <w:bottom w:val="none" w:sz="0" w:space="0" w:color="auto"/>
                    <w:right w:val="none" w:sz="0" w:space="0" w:color="auto"/>
                  </w:divBdr>
                  <w:divsChild>
                    <w:div w:id="1148518660">
                      <w:marLeft w:val="0"/>
                      <w:marRight w:val="0"/>
                      <w:marTop w:val="0"/>
                      <w:marBottom w:val="0"/>
                      <w:divBdr>
                        <w:top w:val="none" w:sz="0" w:space="0" w:color="auto"/>
                        <w:left w:val="none" w:sz="0" w:space="0" w:color="auto"/>
                        <w:bottom w:val="none" w:sz="0" w:space="0" w:color="auto"/>
                        <w:right w:val="none" w:sz="0" w:space="0" w:color="auto"/>
                      </w:divBdr>
                      <w:divsChild>
                        <w:div w:id="950362844">
                          <w:marLeft w:val="0"/>
                          <w:marRight w:val="0"/>
                          <w:marTop w:val="0"/>
                          <w:marBottom w:val="0"/>
                          <w:divBdr>
                            <w:top w:val="none" w:sz="0" w:space="0" w:color="auto"/>
                            <w:left w:val="none" w:sz="0" w:space="0" w:color="auto"/>
                            <w:bottom w:val="none" w:sz="0" w:space="0" w:color="auto"/>
                            <w:right w:val="none" w:sz="0" w:space="0" w:color="auto"/>
                          </w:divBdr>
                          <w:divsChild>
                            <w:div w:id="696468333">
                              <w:marLeft w:val="0"/>
                              <w:marRight w:val="0"/>
                              <w:marTop w:val="0"/>
                              <w:marBottom w:val="0"/>
                              <w:divBdr>
                                <w:top w:val="none" w:sz="0" w:space="0" w:color="auto"/>
                                <w:left w:val="none" w:sz="0" w:space="0" w:color="auto"/>
                                <w:bottom w:val="none" w:sz="0" w:space="0" w:color="auto"/>
                                <w:right w:val="none" w:sz="0" w:space="0" w:color="auto"/>
                              </w:divBdr>
                              <w:divsChild>
                                <w:div w:id="1996910000">
                                  <w:marLeft w:val="0"/>
                                  <w:marRight w:val="0"/>
                                  <w:marTop w:val="0"/>
                                  <w:marBottom w:val="0"/>
                                  <w:divBdr>
                                    <w:top w:val="none" w:sz="0" w:space="0" w:color="auto"/>
                                    <w:left w:val="none" w:sz="0" w:space="0" w:color="auto"/>
                                    <w:bottom w:val="none" w:sz="0" w:space="0" w:color="auto"/>
                                    <w:right w:val="none" w:sz="0" w:space="0" w:color="auto"/>
                                  </w:divBdr>
                                  <w:divsChild>
                                    <w:div w:id="187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213158">
      <w:bodyDiv w:val="1"/>
      <w:marLeft w:val="0"/>
      <w:marRight w:val="0"/>
      <w:marTop w:val="0"/>
      <w:marBottom w:val="0"/>
      <w:divBdr>
        <w:top w:val="none" w:sz="0" w:space="0" w:color="auto"/>
        <w:left w:val="none" w:sz="0" w:space="0" w:color="auto"/>
        <w:bottom w:val="none" w:sz="0" w:space="0" w:color="auto"/>
        <w:right w:val="none" w:sz="0" w:space="0" w:color="auto"/>
      </w:divBdr>
    </w:div>
    <w:div w:id="1309361558">
      <w:bodyDiv w:val="1"/>
      <w:marLeft w:val="0"/>
      <w:marRight w:val="0"/>
      <w:marTop w:val="0"/>
      <w:marBottom w:val="0"/>
      <w:divBdr>
        <w:top w:val="none" w:sz="0" w:space="0" w:color="auto"/>
        <w:left w:val="none" w:sz="0" w:space="0" w:color="auto"/>
        <w:bottom w:val="none" w:sz="0" w:space="0" w:color="auto"/>
        <w:right w:val="none" w:sz="0" w:space="0" w:color="auto"/>
      </w:divBdr>
    </w:div>
    <w:div w:id="1327856727">
      <w:bodyDiv w:val="1"/>
      <w:marLeft w:val="0"/>
      <w:marRight w:val="0"/>
      <w:marTop w:val="0"/>
      <w:marBottom w:val="0"/>
      <w:divBdr>
        <w:top w:val="none" w:sz="0" w:space="0" w:color="auto"/>
        <w:left w:val="none" w:sz="0" w:space="0" w:color="auto"/>
        <w:bottom w:val="none" w:sz="0" w:space="0" w:color="auto"/>
        <w:right w:val="none" w:sz="0" w:space="0" w:color="auto"/>
      </w:divBdr>
    </w:div>
    <w:div w:id="1336885842">
      <w:bodyDiv w:val="1"/>
      <w:marLeft w:val="0"/>
      <w:marRight w:val="0"/>
      <w:marTop w:val="0"/>
      <w:marBottom w:val="0"/>
      <w:divBdr>
        <w:top w:val="none" w:sz="0" w:space="0" w:color="auto"/>
        <w:left w:val="none" w:sz="0" w:space="0" w:color="auto"/>
        <w:bottom w:val="none" w:sz="0" w:space="0" w:color="auto"/>
        <w:right w:val="none" w:sz="0" w:space="0" w:color="auto"/>
      </w:divBdr>
    </w:div>
    <w:div w:id="1344479671">
      <w:bodyDiv w:val="1"/>
      <w:marLeft w:val="0"/>
      <w:marRight w:val="0"/>
      <w:marTop w:val="0"/>
      <w:marBottom w:val="0"/>
      <w:divBdr>
        <w:top w:val="none" w:sz="0" w:space="0" w:color="auto"/>
        <w:left w:val="none" w:sz="0" w:space="0" w:color="auto"/>
        <w:bottom w:val="none" w:sz="0" w:space="0" w:color="auto"/>
        <w:right w:val="none" w:sz="0" w:space="0" w:color="auto"/>
      </w:divBdr>
    </w:div>
    <w:div w:id="1345783186">
      <w:bodyDiv w:val="1"/>
      <w:marLeft w:val="0"/>
      <w:marRight w:val="0"/>
      <w:marTop w:val="0"/>
      <w:marBottom w:val="0"/>
      <w:divBdr>
        <w:top w:val="none" w:sz="0" w:space="0" w:color="auto"/>
        <w:left w:val="none" w:sz="0" w:space="0" w:color="auto"/>
        <w:bottom w:val="none" w:sz="0" w:space="0" w:color="auto"/>
        <w:right w:val="none" w:sz="0" w:space="0" w:color="auto"/>
      </w:divBdr>
    </w:div>
    <w:div w:id="1354573167">
      <w:bodyDiv w:val="1"/>
      <w:marLeft w:val="0"/>
      <w:marRight w:val="0"/>
      <w:marTop w:val="0"/>
      <w:marBottom w:val="0"/>
      <w:divBdr>
        <w:top w:val="none" w:sz="0" w:space="0" w:color="auto"/>
        <w:left w:val="none" w:sz="0" w:space="0" w:color="auto"/>
        <w:bottom w:val="none" w:sz="0" w:space="0" w:color="auto"/>
        <w:right w:val="none" w:sz="0" w:space="0" w:color="auto"/>
      </w:divBdr>
    </w:div>
    <w:div w:id="1364937097">
      <w:bodyDiv w:val="1"/>
      <w:marLeft w:val="0"/>
      <w:marRight w:val="0"/>
      <w:marTop w:val="0"/>
      <w:marBottom w:val="0"/>
      <w:divBdr>
        <w:top w:val="none" w:sz="0" w:space="0" w:color="auto"/>
        <w:left w:val="none" w:sz="0" w:space="0" w:color="auto"/>
        <w:bottom w:val="none" w:sz="0" w:space="0" w:color="auto"/>
        <w:right w:val="none" w:sz="0" w:space="0" w:color="auto"/>
      </w:divBdr>
    </w:div>
    <w:div w:id="1392312626">
      <w:bodyDiv w:val="1"/>
      <w:marLeft w:val="0"/>
      <w:marRight w:val="0"/>
      <w:marTop w:val="0"/>
      <w:marBottom w:val="0"/>
      <w:divBdr>
        <w:top w:val="none" w:sz="0" w:space="0" w:color="auto"/>
        <w:left w:val="none" w:sz="0" w:space="0" w:color="auto"/>
        <w:bottom w:val="none" w:sz="0" w:space="0" w:color="auto"/>
        <w:right w:val="none" w:sz="0" w:space="0" w:color="auto"/>
      </w:divBdr>
    </w:div>
    <w:div w:id="1401978481">
      <w:bodyDiv w:val="1"/>
      <w:marLeft w:val="0"/>
      <w:marRight w:val="0"/>
      <w:marTop w:val="0"/>
      <w:marBottom w:val="0"/>
      <w:divBdr>
        <w:top w:val="none" w:sz="0" w:space="0" w:color="auto"/>
        <w:left w:val="none" w:sz="0" w:space="0" w:color="auto"/>
        <w:bottom w:val="none" w:sz="0" w:space="0" w:color="auto"/>
        <w:right w:val="none" w:sz="0" w:space="0" w:color="auto"/>
      </w:divBdr>
      <w:divsChild>
        <w:div w:id="798184372">
          <w:marLeft w:val="0"/>
          <w:marRight w:val="0"/>
          <w:marTop w:val="0"/>
          <w:marBottom w:val="0"/>
          <w:divBdr>
            <w:top w:val="none" w:sz="0" w:space="0" w:color="auto"/>
            <w:left w:val="none" w:sz="0" w:space="0" w:color="auto"/>
            <w:bottom w:val="none" w:sz="0" w:space="0" w:color="auto"/>
            <w:right w:val="none" w:sz="0" w:space="0" w:color="auto"/>
          </w:divBdr>
          <w:divsChild>
            <w:div w:id="18241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5932">
      <w:bodyDiv w:val="1"/>
      <w:marLeft w:val="0"/>
      <w:marRight w:val="0"/>
      <w:marTop w:val="0"/>
      <w:marBottom w:val="0"/>
      <w:divBdr>
        <w:top w:val="none" w:sz="0" w:space="0" w:color="auto"/>
        <w:left w:val="none" w:sz="0" w:space="0" w:color="auto"/>
        <w:bottom w:val="none" w:sz="0" w:space="0" w:color="auto"/>
        <w:right w:val="none" w:sz="0" w:space="0" w:color="auto"/>
      </w:divBdr>
      <w:divsChild>
        <w:div w:id="571893746">
          <w:marLeft w:val="0"/>
          <w:marRight w:val="0"/>
          <w:marTop w:val="0"/>
          <w:marBottom w:val="0"/>
          <w:divBdr>
            <w:top w:val="none" w:sz="0" w:space="0" w:color="auto"/>
            <w:left w:val="none" w:sz="0" w:space="0" w:color="auto"/>
            <w:bottom w:val="none" w:sz="0" w:space="0" w:color="auto"/>
            <w:right w:val="none" w:sz="0" w:space="0" w:color="auto"/>
          </w:divBdr>
        </w:div>
        <w:div w:id="1291210098">
          <w:marLeft w:val="0"/>
          <w:marRight w:val="0"/>
          <w:marTop w:val="0"/>
          <w:marBottom w:val="0"/>
          <w:divBdr>
            <w:top w:val="none" w:sz="0" w:space="0" w:color="auto"/>
            <w:left w:val="none" w:sz="0" w:space="0" w:color="auto"/>
            <w:bottom w:val="none" w:sz="0" w:space="0" w:color="auto"/>
            <w:right w:val="none" w:sz="0" w:space="0" w:color="auto"/>
          </w:divBdr>
        </w:div>
        <w:div w:id="1813522637">
          <w:marLeft w:val="0"/>
          <w:marRight w:val="0"/>
          <w:marTop w:val="0"/>
          <w:marBottom w:val="0"/>
          <w:divBdr>
            <w:top w:val="none" w:sz="0" w:space="0" w:color="auto"/>
            <w:left w:val="none" w:sz="0" w:space="0" w:color="auto"/>
            <w:bottom w:val="none" w:sz="0" w:space="0" w:color="auto"/>
            <w:right w:val="none" w:sz="0" w:space="0" w:color="auto"/>
          </w:divBdr>
        </w:div>
      </w:divsChild>
    </w:div>
    <w:div w:id="1455758462">
      <w:bodyDiv w:val="1"/>
      <w:marLeft w:val="0"/>
      <w:marRight w:val="0"/>
      <w:marTop w:val="0"/>
      <w:marBottom w:val="0"/>
      <w:divBdr>
        <w:top w:val="none" w:sz="0" w:space="0" w:color="auto"/>
        <w:left w:val="none" w:sz="0" w:space="0" w:color="auto"/>
        <w:bottom w:val="none" w:sz="0" w:space="0" w:color="auto"/>
        <w:right w:val="none" w:sz="0" w:space="0" w:color="auto"/>
      </w:divBdr>
    </w:div>
    <w:div w:id="1461150491">
      <w:bodyDiv w:val="1"/>
      <w:marLeft w:val="0"/>
      <w:marRight w:val="0"/>
      <w:marTop w:val="0"/>
      <w:marBottom w:val="0"/>
      <w:divBdr>
        <w:top w:val="none" w:sz="0" w:space="0" w:color="auto"/>
        <w:left w:val="none" w:sz="0" w:space="0" w:color="auto"/>
        <w:bottom w:val="none" w:sz="0" w:space="0" w:color="auto"/>
        <w:right w:val="none" w:sz="0" w:space="0" w:color="auto"/>
      </w:divBdr>
    </w:div>
    <w:div w:id="1467429404">
      <w:bodyDiv w:val="1"/>
      <w:marLeft w:val="0"/>
      <w:marRight w:val="0"/>
      <w:marTop w:val="0"/>
      <w:marBottom w:val="0"/>
      <w:divBdr>
        <w:top w:val="none" w:sz="0" w:space="0" w:color="auto"/>
        <w:left w:val="none" w:sz="0" w:space="0" w:color="auto"/>
        <w:bottom w:val="none" w:sz="0" w:space="0" w:color="auto"/>
        <w:right w:val="none" w:sz="0" w:space="0" w:color="auto"/>
      </w:divBdr>
      <w:divsChild>
        <w:div w:id="23558542">
          <w:marLeft w:val="547"/>
          <w:marRight w:val="0"/>
          <w:marTop w:val="0"/>
          <w:marBottom w:val="0"/>
          <w:divBdr>
            <w:top w:val="none" w:sz="0" w:space="0" w:color="auto"/>
            <w:left w:val="none" w:sz="0" w:space="0" w:color="auto"/>
            <w:bottom w:val="none" w:sz="0" w:space="0" w:color="auto"/>
            <w:right w:val="none" w:sz="0" w:space="0" w:color="auto"/>
          </w:divBdr>
        </w:div>
      </w:divsChild>
    </w:div>
    <w:div w:id="1468161552">
      <w:bodyDiv w:val="1"/>
      <w:marLeft w:val="0"/>
      <w:marRight w:val="0"/>
      <w:marTop w:val="0"/>
      <w:marBottom w:val="0"/>
      <w:divBdr>
        <w:top w:val="none" w:sz="0" w:space="0" w:color="auto"/>
        <w:left w:val="none" w:sz="0" w:space="0" w:color="auto"/>
        <w:bottom w:val="none" w:sz="0" w:space="0" w:color="auto"/>
        <w:right w:val="none" w:sz="0" w:space="0" w:color="auto"/>
      </w:divBdr>
    </w:div>
    <w:div w:id="1486125733">
      <w:bodyDiv w:val="1"/>
      <w:marLeft w:val="0"/>
      <w:marRight w:val="0"/>
      <w:marTop w:val="0"/>
      <w:marBottom w:val="0"/>
      <w:divBdr>
        <w:top w:val="none" w:sz="0" w:space="0" w:color="auto"/>
        <w:left w:val="none" w:sz="0" w:space="0" w:color="auto"/>
        <w:bottom w:val="none" w:sz="0" w:space="0" w:color="auto"/>
        <w:right w:val="none" w:sz="0" w:space="0" w:color="auto"/>
      </w:divBdr>
    </w:div>
    <w:div w:id="1489830157">
      <w:bodyDiv w:val="1"/>
      <w:marLeft w:val="0"/>
      <w:marRight w:val="0"/>
      <w:marTop w:val="0"/>
      <w:marBottom w:val="0"/>
      <w:divBdr>
        <w:top w:val="none" w:sz="0" w:space="0" w:color="auto"/>
        <w:left w:val="none" w:sz="0" w:space="0" w:color="auto"/>
        <w:bottom w:val="none" w:sz="0" w:space="0" w:color="auto"/>
        <w:right w:val="none" w:sz="0" w:space="0" w:color="auto"/>
      </w:divBdr>
    </w:div>
    <w:div w:id="1490242836">
      <w:bodyDiv w:val="1"/>
      <w:marLeft w:val="0"/>
      <w:marRight w:val="0"/>
      <w:marTop w:val="0"/>
      <w:marBottom w:val="0"/>
      <w:divBdr>
        <w:top w:val="none" w:sz="0" w:space="0" w:color="auto"/>
        <w:left w:val="none" w:sz="0" w:space="0" w:color="auto"/>
        <w:bottom w:val="none" w:sz="0" w:space="0" w:color="auto"/>
        <w:right w:val="none" w:sz="0" w:space="0" w:color="auto"/>
      </w:divBdr>
      <w:divsChild>
        <w:div w:id="101463564">
          <w:marLeft w:val="360"/>
          <w:marRight w:val="0"/>
          <w:marTop w:val="200"/>
          <w:marBottom w:val="0"/>
          <w:divBdr>
            <w:top w:val="none" w:sz="0" w:space="0" w:color="auto"/>
            <w:left w:val="none" w:sz="0" w:space="0" w:color="auto"/>
            <w:bottom w:val="none" w:sz="0" w:space="0" w:color="auto"/>
            <w:right w:val="none" w:sz="0" w:space="0" w:color="auto"/>
          </w:divBdr>
        </w:div>
        <w:div w:id="255331559">
          <w:marLeft w:val="360"/>
          <w:marRight w:val="0"/>
          <w:marTop w:val="200"/>
          <w:marBottom w:val="0"/>
          <w:divBdr>
            <w:top w:val="none" w:sz="0" w:space="0" w:color="auto"/>
            <w:left w:val="none" w:sz="0" w:space="0" w:color="auto"/>
            <w:bottom w:val="none" w:sz="0" w:space="0" w:color="auto"/>
            <w:right w:val="none" w:sz="0" w:space="0" w:color="auto"/>
          </w:divBdr>
        </w:div>
        <w:div w:id="537622466">
          <w:marLeft w:val="806"/>
          <w:marRight w:val="0"/>
          <w:marTop w:val="200"/>
          <w:marBottom w:val="0"/>
          <w:divBdr>
            <w:top w:val="none" w:sz="0" w:space="0" w:color="auto"/>
            <w:left w:val="none" w:sz="0" w:space="0" w:color="auto"/>
            <w:bottom w:val="none" w:sz="0" w:space="0" w:color="auto"/>
            <w:right w:val="none" w:sz="0" w:space="0" w:color="auto"/>
          </w:divBdr>
        </w:div>
        <w:div w:id="611209400">
          <w:marLeft w:val="360"/>
          <w:marRight w:val="0"/>
          <w:marTop w:val="200"/>
          <w:marBottom w:val="0"/>
          <w:divBdr>
            <w:top w:val="none" w:sz="0" w:space="0" w:color="auto"/>
            <w:left w:val="none" w:sz="0" w:space="0" w:color="auto"/>
            <w:bottom w:val="none" w:sz="0" w:space="0" w:color="auto"/>
            <w:right w:val="none" w:sz="0" w:space="0" w:color="auto"/>
          </w:divBdr>
        </w:div>
        <w:div w:id="635110547">
          <w:marLeft w:val="806"/>
          <w:marRight w:val="0"/>
          <w:marTop w:val="200"/>
          <w:marBottom w:val="0"/>
          <w:divBdr>
            <w:top w:val="none" w:sz="0" w:space="0" w:color="auto"/>
            <w:left w:val="none" w:sz="0" w:space="0" w:color="auto"/>
            <w:bottom w:val="none" w:sz="0" w:space="0" w:color="auto"/>
            <w:right w:val="none" w:sz="0" w:space="0" w:color="auto"/>
          </w:divBdr>
        </w:div>
        <w:div w:id="803734805">
          <w:marLeft w:val="360"/>
          <w:marRight w:val="0"/>
          <w:marTop w:val="200"/>
          <w:marBottom w:val="0"/>
          <w:divBdr>
            <w:top w:val="none" w:sz="0" w:space="0" w:color="auto"/>
            <w:left w:val="none" w:sz="0" w:space="0" w:color="auto"/>
            <w:bottom w:val="none" w:sz="0" w:space="0" w:color="auto"/>
            <w:right w:val="none" w:sz="0" w:space="0" w:color="auto"/>
          </w:divBdr>
        </w:div>
        <w:div w:id="871576032">
          <w:marLeft w:val="360"/>
          <w:marRight w:val="0"/>
          <w:marTop w:val="200"/>
          <w:marBottom w:val="0"/>
          <w:divBdr>
            <w:top w:val="none" w:sz="0" w:space="0" w:color="auto"/>
            <w:left w:val="none" w:sz="0" w:space="0" w:color="auto"/>
            <w:bottom w:val="none" w:sz="0" w:space="0" w:color="auto"/>
            <w:right w:val="none" w:sz="0" w:space="0" w:color="auto"/>
          </w:divBdr>
        </w:div>
        <w:div w:id="929048534">
          <w:marLeft w:val="360"/>
          <w:marRight w:val="0"/>
          <w:marTop w:val="200"/>
          <w:marBottom w:val="0"/>
          <w:divBdr>
            <w:top w:val="none" w:sz="0" w:space="0" w:color="auto"/>
            <w:left w:val="none" w:sz="0" w:space="0" w:color="auto"/>
            <w:bottom w:val="none" w:sz="0" w:space="0" w:color="auto"/>
            <w:right w:val="none" w:sz="0" w:space="0" w:color="auto"/>
          </w:divBdr>
        </w:div>
      </w:divsChild>
    </w:div>
    <w:div w:id="1495532747">
      <w:bodyDiv w:val="1"/>
      <w:marLeft w:val="0"/>
      <w:marRight w:val="0"/>
      <w:marTop w:val="0"/>
      <w:marBottom w:val="0"/>
      <w:divBdr>
        <w:top w:val="none" w:sz="0" w:space="0" w:color="auto"/>
        <w:left w:val="none" w:sz="0" w:space="0" w:color="auto"/>
        <w:bottom w:val="none" w:sz="0" w:space="0" w:color="auto"/>
        <w:right w:val="none" w:sz="0" w:space="0" w:color="auto"/>
      </w:divBdr>
    </w:div>
    <w:div w:id="1497843923">
      <w:bodyDiv w:val="1"/>
      <w:marLeft w:val="0"/>
      <w:marRight w:val="0"/>
      <w:marTop w:val="0"/>
      <w:marBottom w:val="0"/>
      <w:divBdr>
        <w:top w:val="none" w:sz="0" w:space="0" w:color="auto"/>
        <w:left w:val="none" w:sz="0" w:space="0" w:color="auto"/>
        <w:bottom w:val="none" w:sz="0" w:space="0" w:color="auto"/>
        <w:right w:val="none" w:sz="0" w:space="0" w:color="auto"/>
      </w:divBdr>
    </w:div>
    <w:div w:id="1501314320">
      <w:bodyDiv w:val="1"/>
      <w:marLeft w:val="0"/>
      <w:marRight w:val="0"/>
      <w:marTop w:val="0"/>
      <w:marBottom w:val="0"/>
      <w:divBdr>
        <w:top w:val="none" w:sz="0" w:space="0" w:color="auto"/>
        <w:left w:val="none" w:sz="0" w:space="0" w:color="auto"/>
        <w:bottom w:val="none" w:sz="0" w:space="0" w:color="auto"/>
        <w:right w:val="none" w:sz="0" w:space="0" w:color="auto"/>
      </w:divBdr>
    </w:div>
    <w:div w:id="1512840452">
      <w:bodyDiv w:val="1"/>
      <w:marLeft w:val="0"/>
      <w:marRight w:val="0"/>
      <w:marTop w:val="0"/>
      <w:marBottom w:val="0"/>
      <w:divBdr>
        <w:top w:val="none" w:sz="0" w:space="0" w:color="auto"/>
        <w:left w:val="none" w:sz="0" w:space="0" w:color="auto"/>
        <w:bottom w:val="none" w:sz="0" w:space="0" w:color="auto"/>
        <w:right w:val="none" w:sz="0" w:space="0" w:color="auto"/>
      </w:divBdr>
    </w:div>
    <w:div w:id="1538929127">
      <w:bodyDiv w:val="1"/>
      <w:marLeft w:val="0"/>
      <w:marRight w:val="0"/>
      <w:marTop w:val="0"/>
      <w:marBottom w:val="0"/>
      <w:divBdr>
        <w:top w:val="none" w:sz="0" w:space="0" w:color="auto"/>
        <w:left w:val="none" w:sz="0" w:space="0" w:color="auto"/>
        <w:bottom w:val="none" w:sz="0" w:space="0" w:color="auto"/>
        <w:right w:val="none" w:sz="0" w:space="0" w:color="auto"/>
      </w:divBdr>
    </w:div>
    <w:div w:id="1542208043">
      <w:bodyDiv w:val="1"/>
      <w:marLeft w:val="0"/>
      <w:marRight w:val="0"/>
      <w:marTop w:val="0"/>
      <w:marBottom w:val="0"/>
      <w:divBdr>
        <w:top w:val="none" w:sz="0" w:space="0" w:color="auto"/>
        <w:left w:val="none" w:sz="0" w:space="0" w:color="auto"/>
        <w:bottom w:val="none" w:sz="0" w:space="0" w:color="auto"/>
        <w:right w:val="none" w:sz="0" w:space="0" w:color="auto"/>
      </w:divBdr>
      <w:divsChild>
        <w:div w:id="1192304634">
          <w:marLeft w:val="0"/>
          <w:marRight w:val="0"/>
          <w:marTop w:val="0"/>
          <w:marBottom w:val="0"/>
          <w:divBdr>
            <w:top w:val="none" w:sz="0" w:space="0" w:color="auto"/>
            <w:left w:val="none" w:sz="0" w:space="0" w:color="auto"/>
            <w:bottom w:val="none" w:sz="0" w:space="0" w:color="auto"/>
            <w:right w:val="none" w:sz="0" w:space="0" w:color="auto"/>
          </w:divBdr>
          <w:divsChild>
            <w:div w:id="1460416107">
              <w:marLeft w:val="0"/>
              <w:marRight w:val="0"/>
              <w:marTop w:val="0"/>
              <w:marBottom w:val="0"/>
              <w:divBdr>
                <w:top w:val="none" w:sz="0" w:space="0" w:color="auto"/>
                <w:left w:val="none" w:sz="0" w:space="0" w:color="auto"/>
                <w:bottom w:val="none" w:sz="0" w:space="0" w:color="auto"/>
                <w:right w:val="none" w:sz="0" w:space="0" w:color="auto"/>
              </w:divBdr>
              <w:divsChild>
                <w:div w:id="1432778061">
                  <w:marLeft w:val="0"/>
                  <w:marRight w:val="0"/>
                  <w:marTop w:val="0"/>
                  <w:marBottom w:val="0"/>
                  <w:divBdr>
                    <w:top w:val="none" w:sz="0" w:space="0" w:color="auto"/>
                    <w:left w:val="none" w:sz="0" w:space="0" w:color="auto"/>
                    <w:bottom w:val="none" w:sz="0" w:space="0" w:color="auto"/>
                    <w:right w:val="none" w:sz="0" w:space="0" w:color="auto"/>
                  </w:divBdr>
                  <w:divsChild>
                    <w:div w:id="1293436595">
                      <w:marLeft w:val="0"/>
                      <w:marRight w:val="0"/>
                      <w:marTop w:val="0"/>
                      <w:marBottom w:val="0"/>
                      <w:divBdr>
                        <w:top w:val="none" w:sz="0" w:space="0" w:color="auto"/>
                        <w:left w:val="none" w:sz="0" w:space="0" w:color="auto"/>
                        <w:bottom w:val="none" w:sz="0" w:space="0" w:color="auto"/>
                        <w:right w:val="none" w:sz="0" w:space="0" w:color="auto"/>
                      </w:divBdr>
                      <w:divsChild>
                        <w:div w:id="2398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984585">
      <w:bodyDiv w:val="1"/>
      <w:marLeft w:val="0"/>
      <w:marRight w:val="0"/>
      <w:marTop w:val="0"/>
      <w:marBottom w:val="0"/>
      <w:divBdr>
        <w:top w:val="none" w:sz="0" w:space="0" w:color="auto"/>
        <w:left w:val="none" w:sz="0" w:space="0" w:color="auto"/>
        <w:bottom w:val="none" w:sz="0" w:space="0" w:color="auto"/>
        <w:right w:val="none" w:sz="0" w:space="0" w:color="auto"/>
      </w:divBdr>
    </w:div>
    <w:div w:id="1546599770">
      <w:bodyDiv w:val="1"/>
      <w:marLeft w:val="0"/>
      <w:marRight w:val="0"/>
      <w:marTop w:val="0"/>
      <w:marBottom w:val="0"/>
      <w:divBdr>
        <w:top w:val="none" w:sz="0" w:space="0" w:color="auto"/>
        <w:left w:val="none" w:sz="0" w:space="0" w:color="auto"/>
        <w:bottom w:val="none" w:sz="0" w:space="0" w:color="auto"/>
        <w:right w:val="none" w:sz="0" w:space="0" w:color="auto"/>
      </w:divBdr>
    </w:div>
    <w:div w:id="1555847665">
      <w:bodyDiv w:val="1"/>
      <w:marLeft w:val="0"/>
      <w:marRight w:val="0"/>
      <w:marTop w:val="0"/>
      <w:marBottom w:val="0"/>
      <w:divBdr>
        <w:top w:val="none" w:sz="0" w:space="0" w:color="auto"/>
        <w:left w:val="none" w:sz="0" w:space="0" w:color="auto"/>
        <w:bottom w:val="none" w:sz="0" w:space="0" w:color="auto"/>
        <w:right w:val="none" w:sz="0" w:space="0" w:color="auto"/>
      </w:divBdr>
    </w:div>
    <w:div w:id="1557352952">
      <w:bodyDiv w:val="1"/>
      <w:marLeft w:val="0"/>
      <w:marRight w:val="0"/>
      <w:marTop w:val="0"/>
      <w:marBottom w:val="0"/>
      <w:divBdr>
        <w:top w:val="none" w:sz="0" w:space="0" w:color="auto"/>
        <w:left w:val="none" w:sz="0" w:space="0" w:color="auto"/>
        <w:bottom w:val="none" w:sz="0" w:space="0" w:color="auto"/>
        <w:right w:val="none" w:sz="0" w:space="0" w:color="auto"/>
      </w:divBdr>
    </w:div>
    <w:div w:id="1582569014">
      <w:bodyDiv w:val="1"/>
      <w:marLeft w:val="0"/>
      <w:marRight w:val="0"/>
      <w:marTop w:val="0"/>
      <w:marBottom w:val="0"/>
      <w:divBdr>
        <w:top w:val="none" w:sz="0" w:space="0" w:color="auto"/>
        <w:left w:val="none" w:sz="0" w:space="0" w:color="auto"/>
        <w:bottom w:val="none" w:sz="0" w:space="0" w:color="auto"/>
        <w:right w:val="none" w:sz="0" w:space="0" w:color="auto"/>
      </w:divBdr>
    </w:div>
    <w:div w:id="1586452760">
      <w:bodyDiv w:val="1"/>
      <w:marLeft w:val="0"/>
      <w:marRight w:val="0"/>
      <w:marTop w:val="0"/>
      <w:marBottom w:val="0"/>
      <w:divBdr>
        <w:top w:val="none" w:sz="0" w:space="0" w:color="auto"/>
        <w:left w:val="none" w:sz="0" w:space="0" w:color="auto"/>
        <w:bottom w:val="none" w:sz="0" w:space="0" w:color="auto"/>
        <w:right w:val="none" w:sz="0" w:space="0" w:color="auto"/>
      </w:divBdr>
    </w:div>
    <w:div w:id="1587376974">
      <w:bodyDiv w:val="1"/>
      <w:marLeft w:val="0"/>
      <w:marRight w:val="0"/>
      <w:marTop w:val="0"/>
      <w:marBottom w:val="0"/>
      <w:divBdr>
        <w:top w:val="none" w:sz="0" w:space="0" w:color="auto"/>
        <w:left w:val="none" w:sz="0" w:space="0" w:color="auto"/>
        <w:bottom w:val="none" w:sz="0" w:space="0" w:color="auto"/>
        <w:right w:val="none" w:sz="0" w:space="0" w:color="auto"/>
      </w:divBdr>
    </w:div>
    <w:div w:id="1597247190">
      <w:bodyDiv w:val="1"/>
      <w:marLeft w:val="0"/>
      <w:marRight w:val="0"/>
      <w:marTop w:val="0"/>
      <w:marBottom w:val="0"/>
      <w:divBdr>
        <w:top w:val="none" w:sz="0" w:space="0" w:color="auto"/>
        <w:left w:val="none" w:sz="0" w:space="0" w:color="auto"/>
        <w:bottom w:val="none" w:sz="0" w:space="0" w:color="auto"/>
        <w:right w:val="none" w:sz="0" w:space="0" w:color="auto"/>
      </w:divBdr>
      <w:divsChild>
        <w:div w:id="1331835302">
          <w:marLeft w:val="0"/>
          <w:marRight w:val="0"/>
          <w:marTop w:val="0"/>
          <w:marBottom w:val="225"/>
          <w:divBdr>
            <w:top w:val="none" w:sz="0" w:space="0" w:color="auto"/>
            <w:left w:val="none" w:sz="0" w:space="0" w:color="auto"/>
            <w:bottom w:val="none" w:sz="0" w:space="0" w:color="auto"/>
            <w:right w:val="none" w:sz="0" w:space="0" w:color="auto"/>
          </w:divBdr>
          <w:divsChild>
            <w:div w:id="14566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70669">
      <w:bodyDiv w:val="1"/>
      <w:marLeft w:val="0"/>
      <w:marRight w:val="0"/>
      <w:marTop w:val="0"/>
      <w:marBottom w:val="0"/>
      <w:divBdr>
        <w:top w:val="none" w:sz="0" w:space="0" w:color="auto"/>
        <w:left w:val="none" w:sz="0" w:space="0" w:color="auto"/>
        <w:bottom w:val="none" w:sz="0" w:space="0" w:color="auto"/>
        <w:right w:val="none" w:sz="0" w:space="0" w:color="auto"/>
      </w:divBdr>
    </w:div>
    <w:div w:id="1609199057">
      <w:bodyDiv w:val="1"/>
      <w:marLeft w:val="0"/>
      <w:marRight w:val="0"/>
      <w:marTop w:val="0"/>
      <w:marBottom w:val="0"/>
      <w:divBdr>
        <w:top w:val="none" w:sz="0" w:space="0" w:color="auto"/>
        <w:left w:val="none" w:sz="0" w:space="0" w:color="auto"/>
        <w:bottom w:val="none" w:sz="0" w:space="0" w:color="auto"/>
        <w:right w:val="none" w:sz="0" w:space="0" w:color="auto"/>
      </w:divBdr>
    </w:div>
    <w:div w:id="1623001100">
      <w:bodyDiv w:val="1"/>
      <w:marLeft w:val="0"/>
      <w:marRight w:val="0"/>
      <w:marTop w:val="0"/>
      <w:marBottom w:val="0"/>
      <w:divBdr>
        <w:top w:val="none" w:sz="0" w:space="0" w:color="auto"/>
        <w:left w:val="none" w:sz="0" w:space="0" w:color="auto"/>
        <w:bottom w:val="none" w:sz="0" w:space="0" w:color="auto"/>
        <w:right w:val="none" w:sz="0" w:space="0" w:color="auto"/>
      </w:divBdr>
    </w:div>
    <w:div w:id="1626351969">
      <w:bodyDiv w:val="1"/>
      <w:marLeft w:val="0"/>
      <w:marRight w:val="0"/>
      <w:marTop w:val="0"/>
      <w:marBottom w:val="0"/>
      <w:divBdr>
        <w:top w:val="none" w:sz="0" w:space="0" w:color="auto"/>
        <w:left w:val="none" w:sz="0" w:space="0" w:color="auto"/>
        <w:bottom w:val="none" w:sz="0" w:space="0" w:color="auto"/>
        <w:right w:val="none" w:sz="0" w:space="0" w:color="auto"/>
      </w:divBdr>
    </w:div>
    <w:div w:id="1632401673">
      <w:bodyDiv w:val="1"/>
      <w:marLeft w:val="0"/>
      <w:marRight w:val="0"/>
      <w:marTop w:val="0"/>
      <w:marBottom w:val="0"/>
      <w:divBdr>
        <w:top w:val="none" w:sz="0" w:space="0" w:color="auto"/>
        <w:left w:val="none" w:sz="0" w:space="0" w:color="auto"/>
        <w:bottom w:val="none" w:sz="0" w:space="0" w:color="auto"/>
        <w:right w:val="none" w:sz="0" w:space="0" w:color="auto"/>
      </w:divBdr>
    </w:div>
    <w:div w:id="1635909643">
      <w:bodyDiv w:val="1"/>
      <w:marLeft w:val="0"/>
      <w:marRight w:val="0"/>
      <w:marTop w:val="0"/>
      <w:marBottom w:val="0"/>
      <w:divBdr>
        <w:top w:val="none" w:sz="0" w:space="0" w:color="auto"/>
        <w:left w:val="none" w:sz="0" w:space="0" w:color="auto"/>
        <w:bottom w:val="none" w:sz="0" w:space="0" w:color="auto"/>
        <w:right w:val="none" w:sz="0" w:space="0" w:color="auto"/>
      </w:divBdr>
      <w:divsChild>
        <w:div w:id="1961910358">
          <w:marLeft w:val="0"/>
          <w:marRight w:val="0"/>
          <w:marTop w:val="0"/>
          <w:marBottom w:val="0"/>
          <w:divBdr>
            <w:top w:val="none" w:sz="0" w:space="0" w:color="auto"/>
            <w:left w:val="none" w:sz="0" w:space="0" w:color="auto"/>
            <w:bottom w:val="none" w:sz="0" w:space="0" w:color="auto"/>
            <w:right w:val="none" w:sz="0" w:space="0" w:color="auto"/>
          </w:divBdr>
          <w:divsChild>
            <w:div w:id="199052316">
              <w:marLeft w:val="0"/>
              <w:marRight w:val="0"/>
              <w:marTop w:val="0"/>
              <w:marBottom w:val="0"/>
              <w:divBdr>
                <w:top w:val="none" w:sz="0" w:space="0" w:color="auto"/>
                <w:left w:val="none" w:sz="0" w:space="0" w:color="auto"/>
                <w:bottom w:val="none" w:sz="0" w:space="0" w:color="auto"/>
                <w:right w:val="none" w:sz="0" w:space="0" w:color="auto"/>
              </w:divBdr>
            </w:div>
            <w:div w:id="579103790">
              <w:marLeft w:val="0"/>
              <w:marRight w:val="0"/>
              <w:marTop w:val="0"/>
              <w:marBottom w:val="0"/>
              <w:divBdr>
                <w:top w:val="none" w:sz="0" w:space="0" w:color="auto"/>
                <w:left w:val="none" w:sz="0" w:space="0" w:color="auto"/>
                <w:bottom w:val="none" w:sz="0" w:space="0" w:color="auto"/>
                <w:right w:val="none" w:sz="0" w:space="0" w:color="auto"/>
              </w:divBdr>
            </w:div>
            <w:div w:id="1149707690">
              <w:marLeft w:val="0"/>
              <w:marRight w:val="0"/>
              <w:marTop w:val="0"/>
              <w:marBottom w:val="0"/>
              <w:divBdr>
                <w:top w:val="none" w:sz="0" w:space="0" w:color="auto"/>
                <w:left w:val="none" w:sz="0" w:space="0" w:color="auto"/>
                <w:bottom w:val="none" w:sz="0" w:space="0" w:color="auto"/>
                <w:right w:val="none" w:sz="0" w:space="0" w:color="auto"/>
              </w:divBdr>
            </w:div>
            <w:div w:id="12543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96242">
      <w:bodyDiv w:val="1"/>
      <w:marLeft w:val="0"/>
      <w:marRight w:val="0"/>
      <w:marTop w:val="0"/>
      <w:marBottom w:val="0"/>
      <w:divBdr>
        <w:top w:val="none" w:sz="0" w:space="0" w:color="auto"/>
        <w:left w:val="none" w:sz="0" w:space="0" w:color="auto"/>
        <w:bottom w:val="none" w:sz="0" w:space="0" w:color="auto"/>
        <w:right w:val="none" w:sz="0" w:space="0" w:color="auto"/>
      </w:divBdr>
    </w:div>
    <w:div w:id="1676031759">
      <w:bodyDiv w:val="1"/>
      <w:marLeft w:val="0"/>
      <w:marRight w:val="0"/>
      <w:marTop w:val="0"/>
      <w:marBottom w:val="0"/>
      <w:divBdr>
        <w:top w:val="none" w:sz="0" w:space="0" w:color="auto"/>
        <w:left w:val="none" w:sz="0" w:space="0" w:color="auto"/>
        <w:bottom w:val="none" w:sz="0" w:space="0" w:color="auto"/>
        <w:right w:val="none" w:sz="0" w:space="0" w:color="auto"/>
      </w:divBdr>
    </w:div>
    <w:div w:id="1678195266">
      <w:bodyDiv w:val="1"/>
      <w:marLeft w:val="0"/>
      <w:marRight w:val="0"/>
      <w:marTop w:val="0"/>
      <w:marBottom w:val="0"/>
      <w:divBdr>
        <w:top w:val="none" w:sz="0" w:space="0" w:color="auto"/>
        <w:left w:val="none" w:sz="0" w:space="0" w:color="auto"/>
        <w:bottom w:val="none" w:sz="0" w:space="0" w:color="auto"/>
        <w:right w:val="none" w:sz="0" w:space="0" w:color="auto"/>
      </w:divBdr>
    </w:div>
    <w:div w:id="1687175937">
      <w:bodyDiv w:val="1"/>
      <w:marLeft w:val="0"/>
      <w:marRight w:val="0"/>
      <w:marTop w:val="0"/>
      <w:marBottom w:val="0"/>
      <w:divBdr>
        <w:top w:val="none" w:sz="0" w:space="0" w:color="auto"/>
        <w:left w:val="none" w:sz="0" w:space="0" w:color="auto"/>
        <w:bottom w:val="none" w:sz="0" w:space="0" w:color="auto"/>
        <w:right w:val="none" w:sz="0" w:space="0" w:color="auto"/>
      </w:divBdr>
    </w:div>
    <w:div w:id="1690982510">
      <w:bodyDiv w:val="1"/>
      <w:marLeft w:val="0"/>
      <w:marRight w:val="0"/>
      <w:marTop w:val="0"/>
      <w:marBottom w:val="0"/>
      <w:divBdr>
        <w:top w:val="none" w:sz="0" w:space="0" w:color="auto"/>
        <w:left w:val="none" w:sz="0" w:space="0" w:color="auto"/>
        <w:bottom w:val="none" w:sz="0" w:space="0" w:color="auto"/>
        <w:right w:val="none" w:sz="0" w:space="0" w:color="auto"/>
      </w:divBdr>
    </w:div>
    <w:div w:id="1693872291">
      <w:bodyDiv w:val="1"/>
      <w:marLeft w:val="0"/>
      <w:marRight w:val="0"/>
      <w:marTop w:val="0"/>
      <w:marBottom w:val="0"/>
      <w:divBdr>
        <w:top w:val="none" w:sz="0" w:space="0" w:color="auto"/>
        <w:left w:val="none" w:sz="0" w:space="0" w:color="auto"/>
        <w:bottom w:val="none" w:sz="0" w:space="0" w:color="auto"/>
        <w:right w:val="none" w:sz="0" w:space="0" w:color="auto"/>
      </w:divBdr>
    </w:div>
    <w:div w:id="1709376951">
      <w:bodyDiv w:val="1"/>
      <w:marLeft w:val="0"/>
      <w:marRight w:val="0"/>
      <w:marTop w:val="0"/>
      <w:marBottom w:val="0"/>
      <w:divBdr>
        <w:top w:val="none" w:sz="0" w:space="0" w:color="auto"/>
        <w:left w:val="none" w:sz="0" w:space="0" w:color="auto"/>
        <w:bottom w:val="none" w:sz="0" w:space="0" w:color="auto"/>
        <w:right w:val="none" w:sz="0" w:space="0" w:color="auto"/>
      </w:divBdr>
    </w:div>
    <w:div w:id="1714233899">
      <w:bodyDiv w:val="1"/>
      <w:marLeft w:val="0"/>
      <w:marRight w:val="0"/>
      <w:marTop w:val="0"/>
      <w:marBottom w:val="0"/>
      <w:divBdr>
        <w:top w:val="none" w:sz="0" w:space="0" w:color="auto"/>
        <w:left w:val="none" w:sz="0" w:space="0" w:color="auto"/>
        <w:bottom w:val="none" w:sz="0" w:space="0" w:color="auto"/>
        <w:right w:val="none" w:sz="0" w:space="0" w:color="auto"/>
      </w:divBdr>
    </w:div>
    <w:div w:id="1724786557">
      <w:bodyDiv w:val="1"/>
      <w:marLeft w:val="0"/>
      <w:marRight w:val="0"/>
      <w:marTop w:val="0"/>
      <w:marBottom w:val="0"/>
      <w:divBdr>
        <w:top w:val="none" w:sz="0" w:space="0" w:color="auto"/>
        <w:left w:val="none" w:sz="0" w:space="0" w:color="auto"/>
        <w:bottom w:val="none" w:sz="0" w:space="0" w:color="auto"/>
        <w:right w:val="none" w:sz="0" w:space="0" w:color="auto"/>
      </w:divBdr>
    </w:div>
    <w:div w:id="1727145659">
      <w:bodyDiv w:val="1"/>
      <w:marLeft w:val="0"/>
      <w:marRight w:val="0"/>
      <w:marTop w:val="0"/>
      <w:marBottom w:val="0"/>
      <w:divBdr>
        <w:top w:val="none" w:sz="0" w:space="0" w:color="auto"/>
        <w:left w:val="none" w:sz="0" w:space="0" w:color="auto"/>
        <w:bottom w:val="none" w:sz="0" w:space="0" w:color="auto"/>
        <w:right w:val="none" w:sz="0" w:space="0" w:color="auto"/>
      </w:divBdr>
      <w:divsChild>
        <w:div w:id="113596658">
          <w:marLeft w:val="0"/>
          <w:marRight w:val="0"/>
          <w:marTop w:val="0"/>
          <w:marBottom w:val="0"/>
          <w:divBdr>
            <w:top w:val="none" w:sz="0" w:space="0" w:color="auto"/>
            <w:left w:val="none" w:sz="0" w:space="0" w:color="auto"/>
            <w:bottom w:val="none" w:sz="0" w:space="0" w:color="auto"/>
            <w:right w:val="none" w:sz="0" w:space="0" w:color="auto"/>
          </w:divBdr>
        </w:div>
        <w:div w:id="201793327">
          <w:marLeft w:val="0"/>
          <w:marRight w:val="0"/>
          <w:marTop w:val="0"/>
          <w:marBottom w:val="0"/>
          <w:divBdr>
            <w:top w:val="none" w:sz="0" w:space="0" w:color="auto"/>
            <w:left w:val="none" w:sz="0" w:space="0" w:color="auto"/>
            <w:bottom w:val="none" w:sz="0" w:space="0" w:color="auto"/>
            <w:right w:val="none" w:sz="0" w:space="0" w:color="auto"/>
          </w:divBdr>
        </w:div>
        <w:div w:id="222569019">
          <w:marLeft w:val="0"/>
          <w:marRight w:val="0"/>
          <w:marTop w:val="0"/>
          <w:marBottom w:val="0"/>
          <w:divBdr>
            <w:top w:val="none" w:sz="0" w:space="0" w:color="auto"/>
            <w:left w:val="none" w:sz="0" w:space="0" w:color="auto"/>
            <w:bottom w:val="none" w:sz="0" w:space="0" w:color="auto"/>
            <w:right w:val="none" w:sz="0" w:space="0" w:color="auto"/>
          </w:divBdr>
        </w:div>
        <w:div w:id="235483546">
          <w:marLeft w:val="0"/>
          <w:marRight w:val="0"/>
          <w:marTop w:val="0"/>
          <w:marBottom w:val="0"/>
          <w:divBdr>
            <w:top w:val="none" w:sz="0" w:space="0" w:color="auto"/>
            <w:left w:val="none" w:sz="0" w:space="0" w:color="auto"/>
            <w:bottom w:val="none" w:sz="0" w:space="0" w:color="auto"/>
            <w:right w:val="none" w:sz="0" w:space="0" w:color="auto"/>
          </w:divBdr>
        </w:div>
        <w:div w:id="287055351">
          <w:marLeft w:val="0"/>
          <w:marRight w:val="0"/>
          <w:marTop w:val="0"/>
          <w:marBottom w:val="0"/>
          <w:divBdr>
            <w:top w:val="none" w:sz="0" w:space="0" w:color="auto"/>
            <w:left w:val="none" w:sz="0" w:space="0" w:color="auto"/>
            <w:bottom w:val="none" w:sz="0" w:space="0" w:color="auto"/>
            <w:right w:val="none" w:sz="0" w:space="0" w:color="auto"/>
          </w:divBdr>
        </w:div>
        <w:div w:id="373507051">
          <w:marLeft w:val="0"/>
          <w:marRight w:val="0"/>
          <w:marTop w:val="0"/>
          <w:marBottom w:val="0"/>
          <w:divBdr>
            <w:top w:val="none" w:sz="0" w:space="0" w:color="auto"/>
            <w:left w:val="none" w:sz="0" w:space="0" w:color="auto"/>
            <w:bottom w:val="none" w:sz="0" w:space="0" w:color="auto"/>
            <w:right w:val="none" w:sz="0" w:space="0" w:color="auto"/>
          </w:divBdr>
        </w:div>
        <w:div w:id="375737807">
          <w:marLeft w:val="0"/>
          <w:marRight w:val="0"/>
          <w:marTop w:val="0"/>
          <w:marBottom w:val="0"/>
          <w:divBdr>
            <w:top w:val="none" w:sz="0" w:space="0" w:color="auto"/>
            <w:left w:val="none" w:sz="0" w:space="0" w:color="auto"/>
            <w:bottom w:val="none" w:sz="0" w:space="0" w:color="auto"/>
            <w:right w:val="none" w:sz="0" w:space="0" w:color="auto"/>
          </w:divBdr>
        </w:div>
        <w:div w:id="441653536">
          <w:marLeft w:val="0"/>
          <w:marRight w:val="0"/>
          <w:marTop w:val="0"/>
          <w:marBottom w:val="0"/>
          <w:divBdr>
            <w:top w:val="none" w:sz="0" w:space="0" w:color="auto"/>
            <w:left w:val="none" w:sz="0" w:space="0" w:color="auto"/>
            <w:bottom w:val="none" w:sz="0" w:space="0" w:color="auto"/>
            <w:right w:val="none" w:sz="0" w:space="0" w:color="auto"/>
          </w:divBdr>
        </w:div>
        <w:div w:id="520701254">
          <w:marLeft w:val="0"/>
          <w:marRight w:val="0"/>
          <w:marTop w:val="0"/>
          <w:marBottom w:val="0"/>
          <w:divBdr>
            <w:top w:val="none" w:sz="0" w:space="0" w:color="auto"/>
            <w:left w:val="none" w:sz="0" w:space="0" w:color="auto"/>
            <w:bottom w:val="none" w:sz="0" w:space="0" w:color="auto"/>
            <w:right w:val="none" w:sz="0" w:space="0" w:color="auto"/>
          </w:divBdr>
        </w:div>
        <w:div w:id="602539460">
          <w:marLeft w:val="0"/>
          <w:marRight w:val="0"/>
          <w:marTop w:val="0"/>
          <w:marBottom w:val="0"/>
          <w:divBdr>
            <w:top w:val="none" w:sz="0" w:space="0" w:color="auto"/>
            <w:left w:val="none" w:sz="0" w:space="0" w:color="auto"/>
            <w:bottom w:val="none" w:sz="0" w:space="0" w:color="auto"/>
            <w:right w:val="none" w:sz="0" w:space="0" w:color="auto"/>
          </w:divBdr>
        </w:div>
        <w:div w:id="753625996">
          <w:marLeft w:val="0"/>
          <w:marRight w:val="0"/>
          <w:marTop w:val="0"/>
          <w:marBottom w:val="0"/>
          <w:divBdr>
            <w:top w:val="none" w:sz="0" w:space="0" w:color="auto"/>
            <w:left w:val="none" w:sz="0" w:space="0" w:color="auto"/>
            <w:bottom w:val="none" w:sz="0" w:space="0" w:color="auto"/>
            <w:right w:val="none" w:sz="0" w:space="0" w:color="auto"/>
          </w:divBdr>
        </w:div>
        <w:div w:id="783504499">
          <w:marLeft w:val="0"/>
          <w:marRight w:val="0"/>
          <w:marTop w:val="0"/>
          <w:marBottom w:val="0"/>
          <w:divBdr>
            <w:top w:val="none" w:sz="0" w:space="0" w:color="auto"/>
            <w:left w:val="none" w:sz="0" w:space="0" w:color="auto"/>
            <w:bottom w:val="none" w:sz="0" w:space="0" w:color="auto"/>
            <w:right w:val="none" w:sz="0" w:space="0" w:color="auto"/>
          </w:divBdr>
        </w:div>
        <w:div w:id="837307449">
          <w:marLeft w:val="0"/>
          <w:marRight w:val="0"/>
          <w:marTop w:val="0"/>
          <w:marBottom w:val="0"/>
          <w:divBdr>
            <w:top w:val="none" w:sz="0" w:space="0" w:color="auto"/>
            <w:left w:val="none" w:sz="0" w:space="0" w:color="auto"/>
            <w:bottom w:val="none" w:sz="0" w:space="0" w:color="auto"/>
            <w:right w:val="none" w:sz="0" w:space="0" w:color="auto"/>
          </w:divBdr>
        </w:div>
        <w:div w:id="898827064">
          <w:marLeft w:val="0"/>
          <w:marRight w:val="0"/>
          <w:marTop w:val="0"/>
          <w:marBottom w:val="0"/>
          <w:divBdr>
            <w:top w:val="none" w:sz="0" w:space="0" w:color="auto"/>
            <w:left w:val="none" w:sz="0" w:space="0" w:color="auto"/>
            <w:bottom w:val="none" w:sz="0" w:space="0" w:color="auto"/>
            <w:right w:val="none" w:sz="0" w:space="0" w:color="auto"/>
          </w:divBdr>
        </w:div>
        <w:div w:id="915481402">
          <w:marLeft w:val="0"/>
          <w:marRight w:val="0"/>
          <w:marTop w:val="0"/>
          <w:marBottom w:val="0"/>
          <w:divBdr>
            <w:top w:val="none" w:sz="0" w:space="0" w:color="auto"/>
            <w:left w:val="none" w:sz="0" w:space="0" w:color="auto"/>
            <w:bottom w:val="none" w:sz="0" w:space="0" w:color="auto"/>
            <w:right w:val="none" w:sz="0" w:space="0" w:color="auto"/>
          </w:divBdr>
        </w:div>
        <w:div w:id="925848644">
          <w:marLeft w:val="0"/>
          <w:marRight w:val="0"/>
          <w:marTop w:val="0"/>
          <w:marBottom w:val="0"/>
          <w:divBdr>
            <w:top w:val="none" w:sz="0" w:space="0" w:color="auto"/>
            <w:left w:val="none" w:sz="0" w:space="0" w:color="auto"/>
            <w:bottom w:val="none" w:sz="0" w:space="0" w:color="auto"/>
            <w:right w:val="none" w:sz="0" w:space="0" w:color="auto"/>
          </w:divBdr>
        </w:div>
        <w:div w:id="982588203">
          <w:marLeft w:val="0"/>
          <w:marRight w:val="0"/>
          <w:marTop w:val="0"/>
          <w:marBottom w:val="0"/>
          <w:divBdr>
            <w:top w:val="none" w:sz="0" w:space="0" w:color="auto"/>
            <w:left w:val="none" w:sz="0" w:space="0" w:color="auto"/>
            <w:bottom w:val="none" w:sz="0" w:space="0" w:color="auto"/>
            <w:right w:val="none" w:sz="0" w:space="0" w:color="auto"/>
          </w:divBdr>
        </w:div>
        <w:div w:id="984119248">
          <w:marLeft w:val="0"/>
          <w:marRight w:val="0"/>
          <w:marTop w:val="0"/>
          <w:marBottom w:val="0"/>
          <w:divBdr>
            <w:top w:val="none" w:sz="0" w:space="0" w:color="auto"/>
            <w:left w:val="none" w:sz="0" w:space="0" w:color="auto"/>
            <w:bottom w:val="none" w:sz="0" w:space="0" w:color="auto"/>
            <w:right w:val="none" w:sz="0" w:space="0" w:color="auto"/>
          </w:divBdr>
        </w:div>
        <w:div w:id="1042554916">
          <w:marLeft w:val="0"/>
          <w:marRight w:val="0"/>
          <w:marTop w:val="0"/>
          <w:marBottom w:val="0"/>
          <w:divBdr>
            <w:top w:val="none" w:sz="0" w:space="0" w:color="auto"/>
            <w:left w:val="none" w:sz="0" w:space="0" w:color="auto"/>
            <w:bottom w:val="none" w:sz="0" w:space="0" w:color="auto"/>
            <w:right w:val="none" w:sz="0" w:space="0" w:color="auto"/>
          </w:divBdr>
        </w:div>
        <w:div w:id="1189368278">
          <w:marLeft w:val="0"/>
          <w:marRight w:val="0"/>
          <w:marTop w:val="0"/>
          <w:marBottom w:val="0"/>
          <w:divBdr>
            <w:top w:val="none" w:sz="0" w:space="0" w:color="auto"/>
            <w:left w:val="none" w:sz="0" w:space="0" w:color="auto"/>
            <w:bottom w:val="none" w:sz="0" w:space="0" w:color="auto"/>
            <w:right w:val="none" w:sz="0" w:space="0" w:color="auto"/>
          </w:divBdr>
        </w:div>
        <w:div w:id="1339115875">
          <w:marLeft w:val="0"/>
          <w:marRight w:val="0"/>
          <w:marTop w:val="0"/>
          <w:marBottom w:val="0"/>
          <w:divBdr>
            <w:top w:val="none" w:sz="0" w:space="0" w:color="auto"/>
            <w:left w:val="none" w:sz="0" w:space="0" w:color="auto"/>
            <w:bottom w:val="none" w:sz="0" w:space="0" w:color="auto"/>
            <w:right w:val="none" w:sz="0" w:space="0" w:color="auto"/>
          </w:divBdr>
        </w:div>
        <w:div w:id="1390573985">
          <w:marLeft w:val="0"/>
          <w:marRight w:val="0"/>
          <w:marTop w:val="0"/>
          <w:marBottom w:val="0"/>
          <w:divBdr>
            <w:top w:val="none" w:sz="0" w:space="0" w:color="auto"/>
            <w:left w:val="none" w:sz="0" w:space="0" w:color="auto"/>
            <w:bottom w:val="none" w:sz="0" w:space="0" w:color="auto"/>
            <w:right w:val="none" w:sz="0" w:space="0" w:color="auto"/>
          </w:divBdr>
        </w:div>
        <w:div w:id="1400322943">
          <w:marLeft w:val="0"/>
          <w:marRight w:val="0"/>
          <w:marTop w:val="0"/>
          <w:marBottom w:val="0"/>
          <w:divBdr>
            <w:top w:val="none" w:sz="0" w:space="0" w:color="auto"/>
            <w:left w:val="none" w:sz="0" w:space="0" w:color="auto"/>
            <w:bottom w:val="none" w:sz="0" w:space="0" w:color="auto"/>
            <w:right w:val="none" w:sz="0" w:space="0" w:color="auto"/>
          </w:divBdr>
        </w:div>
        <w:div w:id="1420448305">
          <w:marLeft w:val="0"/>
          <w:marRight w:val="0"/>
          <w:marTop w:val="0"/>
          <w:marBottom w:val="0"/>
          <w:divBdr>
            <w:top w:val="none" w:sz="0" w:space="0" w:color="auto"/>
            <w:left w:val="none" w:sz="0" w:space="0" w:color="auto"/>
            <w:bottom w:val="none" w:sz="0" w:space="0" w:color="auto"/>
            <w:right w:val="none" w:sz="0" w:space="0" w:color="auto"/>
          </w:divBdr>
        </w:div>
        <w:div w:id="1449930400">
          <w:marLeft w:val="0"/>
          <w:marRight w:val="0"/>
          <w:marTop w:val="0"/>
          <w:marBottom w:val="0"/>
          <w:divBdr>
            <w:top w:val="none" w:sz="0" w:space="0" w:color="auto"/>
            <w:left w:val="none" w:sz="0" w:space="0" w:color="auto"/>
            <w:bottom w:val="none" w:sz="0" w:space="0" w:color="auto"/>
            <w:right w:val="none" w:sz="0" w:space="0" w:color="auto"/>
          </w:divBdr>
        </w:div>
        <w:div w:id="1476919425">
          <w:marLeft w:val="0"/>
          <w:marRight w:val="0"/>
          <w:marTop w:val="0"/>
          <w:marBottom w:val="0"/>
          <w:divBdr>
            <w:top w:val="none" w:sz="0" w:space="0" w:color="auto"/>
            <w:left w:val="none" w:sz="0" w:space="0" w:color="auto"/>
            <w:bottom w:val="none" w:sz="0" w:space="0" w:color="auto"/>
            <w:right w:val="none" w:sz="0" w:space="0" w:color="auto"/>
          </w:divBdr>
        </w:div>
        <w:div w:id="1525440531">
          <w:marLeft w:val="0"/>
          <w:marRight w:val="0"/>
          <w:marTop w:val="0"/>
          <w:marBottom w:val="0"/>
          <w:divBdr>
            <w:top w:val="none" w:sz="0" w:space="0" w:color="auto"/>
            <w:left w:val="none" w:sz="0" w:space="0" w:color="auto"/>
            <w:bottom w:val="none" w:sz="0" w:space="0" w:color="auto"/>
            <w:right w:val="none" w:sz="0" w:space="0" w:color="auto"/>
          </w:divBdr>
        </w:div>
        <w:div w:id="1605767611">
          <w:marLeft w:val="0"/>
          <w:marRight w:val="0"/>
          <w:marTop w:val="0"/>
          <w:marBottom w:val="0"/>
          <w:divBdr>
            <w:top w:val="none" w:sz="0" w:space="0" w:color="auto"/>
            <w:left w:val="none" w:sz="0" w:space="0" w:color="auto"/>
            <w:bottom w:val="none" w:sz="0" w:space="0" w:color="auto"/>
            <w:right w:val="none" w:sz="0" w:space="0" w:color="auto"/>
          </w:divBdr>
        </w:div>
        <w:div w:id="1633748965">
          <w:marLeft w:val="0"/>
          <w:marRight w:val="0"/>
          <w:marTop w:val="0"/>
          <w:marBottom w:val="0"/>
          <w:divBdr>
            <w:top w:val="none" w:sz="0" w:space="0" w:color="auto"/>
            <w:left w:val="none" w:sz="0" w:space="0" w:color="auto"/>
            <w:bottom w:val="none" w:sz="0" w:space="0" w:color="auto"/>
            <w:right w:val="none" w:sz="0" w:space="0" w:color="auto"/>
          </w:divBdr>
        </w:div>
        <w:div w:id="1920753288">
          <w:marLeft w:val="0"/>
          <w:marRight w:val="0"/>
          <w:marTop w:val="0"/>
          <w:marBottom w:val="0"/>
          <w:divBdr>
            <w:top w:val="none" w:sz="0" w:space="0" w:color="auto"/>
            <w:left w:val="none" w:sz="0" w:space="0" w:color="auto"/>
            <w:bottom w:val="none" w:sz="0" w:space="0" w:color="auto"/>
            <w:right w:val="none" w:sz="0" w:space="0" w:color="auto"/>
          </w:divBdr>
        </w:div>
        <w:div w:id="1981307027">
          <w:marLeft w:val="0"/>
          <w:marRight w:val="0"/>
          <w:marTop w:val="0"/>
          <w:marBottom w:val="0"/>
          <w:divBdr>
            <w:top w:val="none" w:sz="0" w:space="0" w:color="auto"/>
            <w:left w:val="none" w:sz="0" w:space="0" w:color="auto"/>
            <w:bottom w:val="none" w:sz="0" w:space="0" w:color="auto"/>
            <w:right w:val="none" w:sz="0" w:space="0" w:color="auto"/>
          </w:divBdr>
        </w:div>
        <w:div w:id="2017465437">
          <w:marLeft w:val="0"/>
          <w:marRight w:val="0"/>
          <w:marTop w:val="0"/>
          <w:marBottom w:val="0"/>
          <w:divBdr>
            <w:top w:val="none" w:sz="0" w:space="0" w:color="auto"/>
            <w:left w:val="none" w:sz="0" w:space="0" w:color="auto"/>
            <w:bottom w:val="none" w:sz="0" w:space="0" w:color="auto"/>
            <w:right w:val="none" w:sz="0" w:space="0" w:color="auto"/>
          </w:divBdr>
        </w:div>
        <w:div w:id="2071725090">
          <w:marLeft w:val="0"/>
          <w:marRight w:val="0"/>
          <w:marTop w:val="0"/>
          <w:marBottom w:val="0"/>
          <w:divBdr>
            <w:top w:val="none" w:sz="0" w:space="0" w:color="auto"/>
            <w:left w:val="none" w:sz="0" w:space="0" w:color="auto"/>
            <w:bottom w:val="none" w:sz="0" w:space="0" w:color="auto"/>
            <w:right w:val="none" w:sz="0" w:space="0" w:color="auto"/>
          </w:divBdr>
        </w:div>
        <w:div w:id="2126844585">
          <w:marLeft w:val="0"/>
          <w:marRight w:val="0"/>
          <w:marTop w:val="0"/>
          <w:marBottom w:val="0"/>
          <w:divBdr>
            <w:top w:val="none" w:sz="0" w:space="0" w:color="auto"/>
            <w:left w:val="none" w:sz="0" w:space="0" w:color="auto"/>
            <w:bottom w:val="none" w:sz="0" w:space="0" w:color="auto"/>
            <w:right w:val="none" w:sz="0" w:space="0" w:color="auto"/>
          </w:divBdr>
        </w:div>
      </w:divsChild>
    </w:div>
    <w:div w:id="1739551697">
      <w:bodyDiv w:val="1"/>
      <w:marLeft w:val="0"/>
      <w:marRight w:val="0"/>
      <w:marTop w:val="0"/>
      <w:marBottom w:val="0"/>
      <w:divBdr>
        <w:top w:val="none" w:sz="0" w:space="0" w:color="auto"/>
        <w:left w:val="none" w:sz="0" w:space="0" w:color="auto"/>
        <w:bottom w:val="none" w:sz="0" w:space="0" w:color="auto"/>
        <w:right w:val="none" w:sz="0" w:space="0" w:color="auto"/>
      </w:divBdr>
    </w:div>
    <w:div w:id="1759132753">
      <w:bodyDiv w:val="1"/>
      <w:marLeft w:val="0"/>
      <w:marRight w:val="0"/>
      <w:marTop w:val="0"/>
      <w:marBottom w:val="0"/>
      <w:divBdr>
        <w:top w:val="none" w:sz="0" w:space="0" w:color="auto"/>
        <w:left w:val="none" w:sz="0" w:space="0" w:color="auto"/>
        <w:bottom w:val="none" w:sz="0" w:space="0" w:color="auto"/>
        <w:right w:val="none" w:sz="0" w:space="0" w:color="auto"/>
      </w:divBdr>
    </w:div>
    <w:div w:id="1764109501">
      <w:bodyDiv w:val="1"/>
      <w:marLeft w:val="0"/>
      <w:marRight w:val="0"/>
      <w:marTop w:val="0"/>
      <w:marBottom w:val="0"/>
      <w:divBdr>
        <w:top w:val="none" w:sz="0" w:space="0" w:color="auto"/>
        <w:left w:val="none" w:sz="0" w:space="0" w:color="auto"/>
        <w:bottom w:val="none" w:sz="0" w:space="0" w:color="auto"/>
        <w:right w:val="none" w:sz="0" w:space="0" w:color="auto"/>
      </w:divBdr>
    </w:div>
    <w:div w:id="1766414629">
      <w:bodyDiv w:val="1"/>
      <w:marLeft w:val="0"/>
      <w:marRight w:val="0"/>
      <w:marTop w:val="0"/>
      <w:marBottom w:val="0"/>
      <w:divBdr>
        <w:top w:val="none" w:sz="0" w:space="0" w:color="auto"/>
        <w:left w:val="none" w:sz="0" w:space="0" w:color="auto"/>
        <w:bottom w:val="none" w:sz="0" w:space="0" w:color="auto"/>
        <w:right w:val="none" w:sz="0" w:space="0" w:color="auto"/>
      </w:divBdr>
      <w:divsChild>
        <w:div w:id="323436601">
          <w:marLeft w:val="547"/>
          <w:marRight w:val="0"/>
          <w:marTop w:val="0"/>
          <w:marBottom w:val="0"/>
          <w:divBdr>
            <w:top w:val="none" w:sz="0" w:space="0" w:color="auto"/>
            <w:left w:val="none" w:sz="0" w:space="0" w:color="auto"/>
            <w:bottom w:val="none" w:sz="0" w:space="0" w:color="auto"/>
            <w:right w:val="none" w:sz="0" w:space="0" w:color="auto"/>
          </w:divBdr>
        </w:div>
      </w:divsChild>
    </w:div>
    <w:div w:id="1769614993">
      <w:bodyDiv w:val="1"/>
      <w:marLeft w:val="0"/>
      <w:marRight w:val="0"/>
      <w:marTop w:val="0"/>
      <w:marBottom w:val="0"/>
      <w:divBdr>
        <w:top w:val="none" w:sz="0" w:space="0" w:color="auto"/>
        <w:left w:val="none" w:sz="0" w:space="0" w:color="auto"/>
        <w:bottom w:val="none" w:sz="0" w:space="0" w:color="auto"/>
        <w:right w:val="none" w:sz="0" w:space="0" w:color="auto"/>
      </w:divBdr>
    </w:div>
    <w:div w:id="1770660713">
      <w:bodyDiv w:val="1"/>
      <w:marLeft w:val="0"/>
      <w:marRight w:val="0"/>
      <w:marTop w:val="0"/>
      <w:marBottom w:val="0"/>
      <w:divBdr>
        <w:top w:val="none" w:sz="0" w:space="0" w:color="auto"/>
        <w:left w:val="none" w:sz="0" w:space="0" w:color="auto"/>
        <w:bottom w:val="none" w:sz="0" w:space="0" w:color="auto"/>
        <w:right w:val="none" w:sz="0" w:space="0" w:color="auto"/>
      </w:divBdr>
    </w:div>
    <w:div w:id="1777628809">
      <w:bodyDiv w:val="1"/>
      <w:marLeft w:val="0"/>
      <w:marRight w:val="0"/>
      <w:marTop w:val="0"/>
      <w:marBottom w:val="0"/>
      <w:divBdr>
        <w:top w:val="none" w:sz="0" w:space="0" w:color="auto"/>
        <w:left w:val="none" w:sz="0" w:space="0" w:color="auto"/>
        <w:bottom w:val="none" w:sz="0" w:space="0" w:color="auto"/>
        <w:right w:val="none" w:sz="0" w:space="0" w:color="auto"/>
      </w:divBdr>
      <w:divsChild>
        <w:div w:id="56905930">
          <w:marLeft w:val="547"/>
          <w:marRight w:val="0"/>
          <w:marTop w:val="96"/>
          <w:marBottom w:val="0"/>
          <w:divBdr>
            <w:top w:val="none" w:sz="0" w:space="0" w:color="auto"/>
            <w:left w:val="none" w:sz="0" w:space="0" w:color="auto"/>
            <w:bottom w:val="none" w:sz="0" w:space="0" w:color="auto"/>
            <w:right w:val="none" w:sz="0" w:space="0" w:color="auto"/>
          </w:divBdr>
        </w:div>
        <w:div w:id="619142425">
          <w:marLeft w:val="547"/>
          <w:marRight w:val="0"/>
          <w:marTop w:val="96"/>
          <w:marBottom w:val="0"/>
          <w:divBdr>
            <w:top w:val="none" w:sz="0" w:space="0" w:color="auto"/>
            <w:left w:val="none" w:sz="0" w:space="0" w:color="auto"/>
            <w:bottom w:val="none" w:sz="0" w:space="0" w:color="auto"/>
            <w:right w:val="none" w:sz="0" w:space="0" w:color="auto"/>
          </w:divBdr>
        </w:div>
        <w:div w:id="822430157">
          <w:marLeft w:val="547"/>
          <w:marRight w:val="0"/>
          <w:marTop w:val="96"/>
          <w:marBottom w:val="0"/>
          <w:divBdr>
            <w:top w:val="none" w:sz="0" w:space="0" w:color="auto"/>
            <w:left w:val="none" w:sz="0" w:space="0" w:color="auto"/>
            <w:bottom w:val="none" w:sz="0" w:space="0" w:color="auto"/>
            <w:right w:val="none" w:sz="0" w:space="0" w:color="auto"/>
          </w:divBdr>
        </w:div>
        <w:div w:id="903443524">
          <w:marLeft w:val="547"/>
          <w:marRight w:val="0"/>
          <w:marTop w:val="96"/>
          <w:marBottom w:val="0"/>
          <w:divBdr>
            <w:top w:val="none" w:sz="0" w:space="0" w:color="auto"/>
            <w:left w:val="none" w:sz="0" w:space="0" w:color="auto"/>
            <w:bottom w:val="none" w:sz="0" w:space="0" w:color="auto"/>
            <w:right w:val="none" w:sz="0" w:space="0" w:color="auto"/>
          </w:divBdr>
        </w:div>
        <w:div w:id="1702510952">
          <w:marLeft w:val="547"/>
          <w:marRight w:val="0"/>
          <w:marTop w:val="96"/>
          <w:marBottom w:val="0"/>
          <w:divBdr>
            <w:top w:val="none" w:sz="0" w:space="0" w:color="auto"/>
            <w:left w:val="none" w:sz="0" w:space="0" w:color="auto"/>
            <w:bottom w:val="none" w:sz="0" w:space="0" w:color="auto"/>
            <w:right w:val="none" w:sz="0" w:space="0" w:color="auto"/>
          </w:divBdr>
        </w:div>
        <w:div w:id="1905022693">
          <w:marLeft w:val="1166"/>
          <w:marRight w:val="0"/>
          <w:marTop w:val="77"/>
          <w:marBottom w:val="0"/>
          <w:divBdr>
            <w:top w:val="none" w:sz="0" w:space="0" w:color="auto"/>
            <w:left w:val="none" w:sz="0" w:space="0" w:color="auto"/>
            <w:bottom w:val="none" w:sz="0" w:space="0" w:color="auto"/>
            <w:right w:val="none" w:sz="0" w:space="0" w:color="auto"/>
          </w:divBdr>
        </w:div>
      </w:divsChild>
    </w:div>
    <w:div w:id="1782187043">
      <w:bodyDiv w:val="1"/>
      <w:marLeft w:val="0"/>
      <w:marRight w:val="0"/>
      <w:marTop w:val="0"/>
      <w:marBottom w:val="0"/>
      <w:divBdr>
        <w:top w:val="none" w:sz="0" w:space="0" w:color="auto"/>
        <w:left w:val="none" w:sz="0" w:space="0" w:color="auto"/>
        <w:bottom w:val="none" w:sz="0" w:space="0" w:color="auto"/>
        <w:right w:val="none" w:sz="0" w:space="0" w:color="auto"/>
      </w:divBdr>
    </w:div>
    <w:div w:id="1808086428">
      <w:bodyDiv w:val="1"/>
      <w:marLeft w:val="0"/>
      <w:marRight w:val="0"/>
      <w:marTop w:val="0"/>
      <w:marBottom w:val="0"/>
      <w:divBdr>
        <w:top w:val="none" w:sz="0" w:space="0" w:color="auto"/>
        <w:left w:val="none" w:sz="0" w:space="0" w:color="auto"/>
        <w:bottom w:val="none" w:sz="0" w:space="0" w:color="auto"/>
        <w:right w:val="none" w:sz="0" w:space="0" w:color="auto"/>
      </w:divBdr>
    </w:div>
    <w:div w:id="1810897645">
      <w:bodyDiv w:val="1"/>
      <w:marLeft w:val="0"/>
      <w:marRight w:val="0"/>
      <w:marTop w:val="0"/>
      <w:marBottom w:val="0"/>
      <w:divBdr>
        <w:top w:val="none" w:sz="0" w:space="0" w:color="auto"/>
        <w:left w:val="none" w:sz="0" w:space="0" w:color="auto"/>
        <w:bottom w:val="none" w:sz="0" w:space="0" w:color="auto"/>
        <w:right w:val="none" w:sz="0" w:space="0" w:color="auto"/>
      </w:divBdr>
    </w:div>
    <w:div w:id="1818961534">
      <w:bodyDiv w:val="1"/>
      <w:marLeft w:val="0"/>
      <w:marRight w:val="0"/>
      <w:marTop w:val="0"/>
      <w:marBottom w:val="0"/>
      <w:divBdr>
        <w:top w:val="none" w:sz="0" w:space="0" w:color="auto"/>
        <w:left w:val="none" w:sz="0" w:space="0" w:color="auto"/>
        <w:bottom w:val="none" w:sz="0" w:space="0" w:color="auto"/>
        <w:right w:val="none" w:sz="0" w:space="0" w:color="auto"/>
      </w:divBdr>
    </w:div>
    <w:div w:id="1825775923">
      <w:bodyDiv w:val="1"/>
      <w:marLeft w:val="0"/>
      <w:marRight w:val="0"/>
      <w:marTop w:val="0"/>
      <w:marBottom w:val="0"/>
      <w:divBdr>
        <w:top w:val="none" w:sz="0" w:space="0" w:color="auto"/>
        <w:left w:val="none" w:sz="0" w:space="0" w:color="auto"/>
        <w:bottom w:val="none" w:sz="0" w:space="0" w:color="auto"/>
        <w:right w:val="none" w:sz="0" w:space="0" w:color="auto"/>
      </w:divBdr>
    </w:div>
    <w:div w:id="1826890615">
      <w:bodyDiv w:val="1"/>
      <w:marLeft w:val="0"/>
      <w:marRight w:val="0"/>
      <w:marTop w:val="0"/>
      <w:marBottom w:val="0"/>
      <w:divBdr>
        <w:top w:val="none" w:sz="0" w:space="0" w:color="auto"/>
        <w:left w:val="none" w:sz="0" w:space="0" w:color="auto"/>
        <w:bottom w:val="none" w:sz="0" w:space="0" w:color="auto"/>
        <w:right w:val="none" w:sz="0" w:space="0" w:color="auto"/>
      </w:divBdr>
    </w:div>
    <w:div w:id="1833447714">
      <w:bodyDiv w:val="1"/>
      <w:marLeft w:val="0"/>
      <w:marRight w:val="0"/>
      <w:marTop w:val="0"/>
      <w:marBottom w:val="0"/>
      <w:divBdr>
        <w:top w:val="none" w:sz="0" w:space="0" w:color="auto"/>
        <w:left w:val="none" w:sz="0" w:space="0" w:color="auto"/>
        <w:bottom w:val="none" w:sz="0" w:space="0" w:color="auto"/>
        <w:right w:val="none" w:sz="0" w:space="0" w:color="auto"/>
      </w:divBdr>
    </w:div>
    <w:div w:id="1838881307">
      <w:bodyDiv w:val="1"/>
      <w:marLeft w:val="0"/>
      <w:marRight w:val="0"/>
      <w:marTop w:val="0"/>
      <w:marBottom w:val="0"/>
      <w:divBdr>
        <w:top w:val="none" w:sz="0" w:space="0" w:color="auto"/>
        <w:left w:val="none" w:sz="0" w:space="0" w:color="auto"/>
        <w:bottom w:val="none" w:sz="0" w:space="0" w:color="auto"/>
        <w:right w:val="none" w:sz="0" w:space="0" w:color="auto"/>
      </w:divBdr>
      <w:divsChild>
        <w:div w:id="90203483">
          <w:marLeft w:val="0"/>
          <w:marRight w:val="0"/>
          <w:marTop w:val="0"/>
          <w:marBottom w:val="0"/>
          <w:divBdr>
            <w:top w:val="none" w:sz="0" w:space="0" w:color="auto"/>
            <w:left w:val="none" w:sz="0" w:space="0" w:color="auto"/>
            <w:bottom w:val="none" w:sz="0" w:space="0" w:color="auto"/>
            <w:right w:val="none" w:sz="0" w:space="0" w:color="auto"/>
          </w:divBdr>
        </w:div>
        <w:div w:id="470176008">
          <w:marLeft w:val="0"/>
          <w:marRight w:val="0"/>
          <w:marTop w:val="0"/>
          <w:marBottom w:val="0"/>
          <w:divBdr>
            <w:top w:val="none" w:sz="0" w:space="0" w:color="auto"/>
            <w:left w:val="none" w:sz="0" w:space="0" w:color="auto"/>
            <w:bottom w:val="none" w:sz="0" w:space="0" w:color="auto"/>
            <w:right w:val="none" w:sz="0" w:space="0" w:color="auto"/>
          </w:divBdr>
        </w:div>
        <w:div w:id="1202403719">
          <w:marLeft w:val="0"/>
          <w:marRight w:val="0"/>
          <w:marTop w:val="0"/>
          <w:marBottom w:val="0"/>
          <w:divBdr>
            <w:top w:val="none" w:sz="0" w:space="0" w:color="auto"/>
            <w:left w:val="none" w:sz="0" w:space="0" w:color="auto"/>
            <w:bottom w:val="none" w:sz="0" w:space="0" w:color="auto"/>
            <w:right w:val="none" w:sz="0" w:space="0" w:color="auto"/>
          </w:divBdr>
        </w:div>
      </w:divsChild>
    </w:div>
    <w:div w:id="1840120534">
      <w:bodyDiv w:val="1"/>
      <w:marLeft w:val="0"/>
      <w:marRight w:val="0"/>
      <w:marTop w:val="0"/>
      <w:marBottom w:val="0"/>
      <w:divBdr>
        <w:top w:val="none" w:sz="0" w:space="0" w:color="auto"/>
        <w:left w:val="none" w:sz="0" w:space="0" w:color="auto"/>
        <w:bottom w:val="none" w:sz="0" w:space="0" w:color="auto"/>
        <w:right w:val="none" w:sz="0" w:space="0" w:color="auto"/>
      </w:divBdr>
    </w:div>
    <w:div w:id="1864510975">
      <w:bodyDiv w:val="1"/>
      <w:marLeft w:val="0"/>
      <w:marRight w:val="0"/>
      <w:marTop w:val="0"/>
      <w:marBottom w:val="0"/>
      <w:divBdr>
        <w:top w:val="none" w:sz="0" w:space="0" w:color="auto"/>
        <w:left w:val="none" w:sz="0" w:space="0" w:color="auto"/>
        <w:bottom w:val="none" w:sz="0" w:space="0" w:color="auto"/>
        <w:right w:val="none" w:sz="0" w:space="0" w:color="auto"/>
      </w:divBdr>
    </w:div>
    <w:div w:id="1864590537">
      <w:bodyDiv w:val="1"/>
      <w:marLeft w:val="0"/>
      <w:marRight w:val="0"/>
      <w:marTop w:val="0"/>
      <w:marBottom w:val="0"/>
      <w:divBdr>
        <w:top w:val="none" w:sz="0" w:space="0" w:color="auto"/>
        <w:left w:val="none" w:sz="0" w:space="0" w:color="auto"/>
        <w:bottom w:val="none" w:sz="0" w:space="0" w:color="auto"/>
        <w:right w:val="none" w:sz="0" w:space="0" w:color="auto"/>
      </w:divBdr>
    </w:div>
    <w:div w:id="1871214274">
      <w:bodyDiv w:val="1"/>
      <w:marLeft w:val="0"/>
      <w:marRight w:val="0"/>
      <w:marTop w:val="0"/>
      <w:marBottom w:val="0"/>
      <w:divBdr>
        <w:top w:val="none" w:sz="0" w:space="0" w:color="auto"/>
        <w:left w:val="none" w:sz="0" w:space="0" w:color="auto"/>
        <w:bottom w:val="none" w:sz="0" w:space="0" w:color="auto"/>
        <w:right w:val="none" w:sz="0" w:space="0" w:color="auto"/>
      </w:divBdr>
    </w:div>
    <w:div w:id="1874492081">
      <w:bodyDiv w:val="1"/>
      <w:marLeft w:val="0"/>
      <w:marRight w:val="0"/>
      <w:marTop w:val="0"/>
      <w:marBottom w:val="0"/>
      <w:divBdr>
        <w:top w:val="none" w:sz="0" w:space="0" w:color="auto"/>
        <w:left w:val="none" w:sz="0" w:space="0" w:color="auto"/>
        <w:bottom w:val="none" w:sz="0" w:space="0" w:color="auto"/>
        <w:right w:val="none" w:sz="0" w:space="0" w:color="auto"/>
      </w:divBdr>
    </w:div>
    <w:div w:id="1875075253">
      <w:bodyDiv w:val="1"/>
      <w:marLeft w:val="0"/>
      <w:marRight w:val="0"/>
      <w:marTop w:val="0"/>
      <w:marBottom w:val="0"/>
      <w:divBdr>
        <w:top w:val="none" w:sz="0" w:space="0" w:color="auto"/>
        <w:left w:val="none" w:sz="0" w:space="0" w:color="auto"/>
        <w:bottom w:val="none" w:sz="0" w:space="0" w:color="auto"/>
        <w:right w:val="none" w:sz="0" w:space="0" w:color="auto"/>
      </w:divBdr>
    </w:div>
    <w:div w:id="1880700630">
      <w:bodyDiv w:val="1"/>
      <w:marLeft w:val="0"/>
      <w:marRight w:val="0"/>
      <w:marTop w:val="0"/>
      <w:marBottom w:val="0"/>
      <w:divBdr>
        <w:top w:val="none" w:sz="0" w:space="0" w:color="auto"/>
        <w:left w:val="none" w:sz="0" w:space="0" w:color="auto"/>
        <w:bottom w:val="none" w:sz="0" w:space="0" w:color="auto"/>
        <w:right w:val="none" w:sz="0" w:space="0" w:color="auto"/>
      </w:divBdr>
    </w:div>
    <w:div w:id="1883856982">
      <w:bodyDiv w:val="1"/>
      <w:marLeft w:val="0"/>
      <w:marRight w:val="0"/>
      <w:marTop w:val="0"/>
      <w:marBottom w:val="0"/>
      <w:divBdr>
        <w:top w:val="none" w:sz="0" w:space="0" w:color="auto"/>
        <w:left w:val="none" w:sz="0" w:space="0" w:color="auto"/>
        <w:bottom w:val="none" w:sz="0" w:space="0" w:color="auto"/>
        <w:right w:val="none" w:sz="0" w:space="0" w:color="auto"/>
      </w:divBdr>
    </w:div>
    <w:div w:id="1893690315">
      <w:bodyDiv w:val="1"/>
      <w:marLeft w:val="0"/>
      <w:marRight w:val="0"/>
      <w:marTop w:val="0"/>
      <w:marBottom w:val="0"/>
      <w:divBdr>
        <w:top w:val="none" w:sz="0" w:space="0" w:color="auto"/>
        <w:left w:val="none" w:sz="0" w:space="0" w:color="auto"/>
        <w:bottom w:val="none" w:sz="0" w:space="0" w:color="auto"/>
        <w:right w:val="none" w:sz="0" w:space="0" w:color="auto"/>
      </w:divBdr>
    </w:div>
    <w:div w:id="1909269183">
      <w:bodyDiv w:val="1"/>
      <w:marLeft w:val="0"/>
      <w:marRight w:val="0"/>
      <w:marTop w:val="0"/>
      <w:marBottom w:val="0"/>
      <w:divBdr>
        <w:top w:val="none" w:sz="0" w:space="0" w:color="auto"/>
        <w:left w:val="none" w:sz="0" w:space="0" w:color="auto"/>
        <w:bottom w:val="none" w:sz="0" w:space="0" w:color="auto"/>
        <w:right w:val="none" w:sz="0" w:space="0" w:color="auto"/>
      </w:divBdr>
    </w:div>
    <w:div w:id="1923224271">
      <w:bodyDiv w:val="1"/>
      <w:marLeft w:val="0"/>
      <w:marRight w:val="0"/>
      <w:marTop w:val="0"/>
      <w:marBottom w:val="0"/>
      <w:divBdr>
        <w:top w:val="none" w:sz="0" w:space="0" w:color="auto"/>
        <w:left w:val="none" w:sz="0" w:space="0" w:color="auto"/>
        <w:bottom w:val="none" w:sz="0" w:space="0" w:color="auto"/>
        <w:right w:val="none" w:sz="0" w:space="0" w:color="auto"/>
      </w:divBdr>
    </w:div>
    <w:div w:id="1930189442">
      <w:bodyDiv w:val="1"/>
      <w:marLeft w:val="0"/>
      <w:marRight w:val="0"/>
      <w:marTop w:val="0"/>
      <w:marBottom w:val="0"/>
      <w:divBdr>
        <w:top w:val="none" w:sz="0" w:space="0" w:color="auto"/>
        <w:left w:val="none" w:sz="0" w:space="0" w:color="auto"/>
        <w:bottom w:val="none" w:sz="0" w:space="0" w:color="auto"/>
        <w:right w:val="none" w:sz="0" w:space="0" w:color="auto"/>
      </w:divBdr>
    </w:div>
    <w:div w:id="1939831964">
      <w:bodyDiv w:val="1"/>
      <w:marLeft w:val="0"/>
      <w:marRight w:val="0"/>
      <w:marTop w:val="0"/>
      <w:marBottom w:val="0"/>
      <w:divBdr>
        <w:top w:val="none" w:sz="0" w:space="0" w:color="auto"/>
        <w:left w:val="none" w:sz="0" w:space="0" w:color="auto"/>
        <w:bottom w:val="none" w:sz="0" w:space="0" w:color="auto"/>
        <w:right w:val="none" w:sz="0" w:space="0" w:color="auto"/>
      </w:divBdr>
    </w:div>
    <w:div w:id="1957371741">
      <w:bodyDiv w:val="1"/>
      <w:marLeft w:val="0"/>
      <w:marRight w:val="0"/>
      <w:marTop w:val="0"/>
      <w:marBottom w:val="0"/>
      <w:divBdr>
        <w:top w:val="none" w:sz="0" w:space="0" w:color="auto"/>
        <w:left w:val="none" w:sz="0" w:space="0" w:color="auto"/>
        <w:bottom w:val="none" w:sz="0" w:space="0" w:color="auto"/>
        <w:right w:val="none" w:sz="0" w:space="0" w:color="auto"/>
      </w:divBdr>
    </w:div>
    <w:div w:id="1960600705">
      <w:bodyDiv w:val="1"/>
      <w:marLeft w:val="0"/>
      <w:marRight w:val="0"/>
      <w:marTop w:val="0"/>
      <w:marBottom w:val="0"/>
      <w:divBdr>
        <w:top w:val="none" w:sz="0" w:space="0" w:color="auto"/>
        <w:left w:val="none" w:sz="0" w:space="0" w:color="auto"/>
        <w:bottom w:val="none" w:sz="0" w:space="0" w:color="auto"/>
        <w:right w:val="none" w:sz="0" w:space="0" w:color="auto"/>
      </w:divBdr>
    </w:div>
    <w:div w:id="1960646794">
      <w:bodyDiv w:val="1"/>
      <w:marLeft w:val="0"/>
      <w:marRight w:val="0"/>
      <w:marTop w:val="0"/>
      <w:marBottom w:val="0"/>
      <w:divBdr>
        <w:top w:val="none" w:sz="0" w:space="0" w:color="auto"/>
        <w:left w:val="none" w:sz="0" w:space="0" w:color="auto"/>
        <w:bottom w:val="none" w:sz="0" w:space="0" w:color="auto"/>
        <w:right w:val="none" w:sz="0" w:space="0" w:color="auto"/>
      </w:divBdr>
    </w:div>
    <w:div w:id="1966347842">
      <w:bodyDiv w:val="1"/>
      <w:marLeft w:val="0"/>
      <w:marRight w:val="0"/>
      <w:marTop w:val="0"/>
      <w:marBottom w:val="0"/>
      <w:divBdr>
        <w:top w:val="none" w:sz="0" w:space="0" w:color="auto"/>
        <w:left w:val="none" w:sz="0" w:space="0" w:color="auto"/>
        <w:bottom w:val="none" w:sz="0" w:space="0" w:color="auto"/>
        <w:right w:val="none" w:sz="0" w:space="0" w:color="auto"/>
      </w:divBdr>
    </w:div>
    <w:div w:id="1969772334">
      <w:bodyDiv w:val="1"/>
      <w:marLeft w:val="0"/>
      <w:marRight w:val="0"/>
      <w:marTop w:val="0"/>
      <w:marBottom w:val="0"/>
      <w:divBdr>
        <w:top w:val="none" w:sz="0" w:space="0" w:color="auto"/>
        <w:left w:val="none" w:sz="0" w:space="0" w:color="auto"/>
        <w:bottom w:val="none" w:sz="0" w:space="0" w:color="auto"/>
        <w:right w:val="none" w:sz="0" w:space="0" w:color="auto"/>
      </w:divBdr>
    </w:div>
    <w:div w:id="1976838155">
      <w:bodyDiv w:val="1"/>
      <w:marLeft w:val="0"/>
      <w:marRight w:val="0"/>
      <w:marTop w:val="0"/>
      <w:marBottom w:val="0"/>
      <w:divBdr>
        <w:top w:val="none" w:sz="0" w:space="0" w:color="auto"/>
        <w:left w:val="none" w:sz="0" w:space="0" w:color="auto"/>
        <w:bottom w:val="none" w:sz="0" w:space="0" w:color="auto"/>
        <w:right w:val="none" w:sz="0" w:space="0" w:color="auto"/>
      </w:divBdr>
    </w:div>
    <w:div w:id="1979216922">
      <w:bodyDiv w:val="1"/>
      <w:marLeft w:val="0"/>
      <w:marRight w:val="0"/>
      <w:marTop w:val="0"/>
      <w:marBottom w:val="0"/>
      <w:divBdr>
        <w:top w:val="none" w:sz="0" w:space="0" w:color="auto"/>
        <w:left w:val="none" w:sz="0" w:space="0" w:color="auto"/>
        <w:bottom w:val="none" w:sz="0" w:space="0" w:color="auto"/>
        <w:right w:val="none" w:sz="0" w:space="0" w:color="auto"/>
      </w:divBdr>
    </w:div>
    <w:div w:id="1986086375">
      <w:bodyDiv w:val="1"/>
      <w:marLeft w:val="0"/>
      <w:marRight w:val="0"/>
      <w:marTop w:val="0"/>
      <w:marBottom w:val="0"/>
      <w:divBdr>
        <w:top w:val="none" w:sz="0" w:space="0" w:color="auto"/>
        <w:left w:val="none" w:sz="0" w:space="0" w:color="auto"/>
        <w:bottom w:val="none" w:sz="0" w:space="0" w:color="auto"/>
        <w:right w:val="none" w:sz="0" w:space="0" w:color="auto"/>
      </w:divBdr>
      <w:divsChild>
        <w:div w:id="906495717">
          <w:marLeft w:val="0"/>
          <w:marRight w:val="0"/>
          <w:marTop w:val="0"/>
          <w:marBottom w:val="0"/>
          <w:divBdr>
            <w:top w:val="none" w:sz="0" w:space="0" w:color="auto"/>
            <w:left w:val="none" w:sz="0" w:space="0" w:color="auto"/>
            <w:bottom w:val="none" w:sz="0" w:space="0" w:color="auto"/>
            <w:right w:val="none" w:sz="0" w:space="0" w:color="auto"/>
          </w:divBdr>
          <w:divsChild>
            <w:div w:id="1505824800">
              <w:marLeft w:val="0"/>
              <w:marRight w:val="0"/>
              <w:marTop w:val="0"/>
              <w:marBottom w:val="0"/>
              <w:divBdr>
                <w:top w:val="none" w:sz="0" w:space="0" w:color="auto"/>
                <w:left w:val="none" w:sz="0" w:space="0" w:color="auto"/>
                <w:bottom w:val="none" w:sz="0" w:space="0" w:color="auto"/>
                <w:right w:val="none" w:sz="0" w:space="0" w:color="auto"/>
              </w:divBdr>
              <w:divsChild>
                <w:div w:id="472676279">
                  <w:marLeft w:val="0"/>
                  <w:marRight w:val="0"/>
                  <w:marTop w:val="0"/>
                  <w:marBottom w:val="0"/>
                  <w:divBdr>
                    <w:top w:val="none" w:sz="0" w:space="0" w:color="auto"/>
                    <w:left w:val="none" w:sz="0" w:space="0" w:color="auto"/>
                    <w:bottom w:val="none" w:sz="0" w:space="0" w:color="auto"/>
                    <w:right w:val="none" w:sz="0" w:space="0" w:color="auto"/>
                  </w:divBdr>
                  <w:divsChild>
                    <w:div w:id="2144033756">
                      <w:marLeft w:val="-225"/>
                      <w:marRight w:val="-225"/>
                      <w:marTop w:val="0"/>
                      <w:marBottom w:val="0"/>
                      <w:divBdr>
                        <w:top w:val="none" w:sz="0" w:space="0" w:color="auto"/>
                        <w:left w:val="none" w:sz="0" w:space="0" w:color="auto"/>
                        <w:bottom w:val="none" w:sz="0" w:space="0" w:color="auto"/>
                        <w:right w:val="none" w:sz="0" w:space="0" w:color="auto"/>
                      </w:divBdr>
                      <w:divsChild>
                        <w:div w:id="1988121973">
                          <w:marLeft w:val="0"/>
                          <w:marRight w:val="0"/>
                          <w:marTop w:val="0"/>
                          <w:marBottom w:val="0"/>
                          <w:divBdr>
                            <w:top w:val="none" w:sz="0" w:space="0" w:color="auto"/>
                            <w:left w:val="none" w:sz="0" w:space="0" w:color="auto"/>
                            <w:bottom w:val="none" w:sz="0" w:space="0" w:color="auto"/>
                            <w:right w:val="none" w:sz="0" w:space="0" w:color="auto"/>
                          </w:divBdr>
                          <w:divsChild>
                            <w:div w:id="989946960">
                              <w:marLeft w:val="0"/>
                              <w:marRight w:val="0"/>
                              <w:marTop w:val="0"/>
                              <w:marBottom w:val="0"/>
                              <w:divBdr>
                                <w:top w:val="none" w:sz="0" w:space="0" w:color="auto"/>
                                <w:left w:val="none" w:sz="0" w:space="0" w:color="auto"/>
                                <w:bottom w:val="none" w:sz="0" w:space="0" w:color="auto"/>
                                <w:right w:val="none" w:sz="0" w:space="0" w:color="auto"/>
                              </w:divBdr>
                              <w:divsChild>
                                <w:div w:id="1471551771">
                                  <w:marLeft w:val="0"/>
                                  <w:marRight w:val="0"/>
                                  <w:marTop w:val="0"/>
                                  <w:marBottom w:val="0"/>
                                  <w:divBdr>
                                    <w:top w:val="none" w:sz="0" w:space="0" w:color="auto"/>
                                    <w:left w:val="none" w:sz="0" w:space="0" w:color="auto"/>
                                    <w:bottom w:val="none" w:sz="0" w:space="0" w:color="auto"/>
                                    <w:right w:val="none" w:sz="0" w:space="0" w:color="auto"/>
                                  </w:divBdr>
                                  <w:divsChild>
                                    <w:div w:id="1210729392">
                                      <w:marLeft w:val="0"/>
                                      <w:marRight w:val="0"/>
                                      <w:marTop w:val="0"/>
                                      <w:marBottom w:val="0"/>
                                      <w:divBdr>
                                        <w:top w:val="none" w:sz="0" w:space="0" w:color="auto"/>
                                        <w:left w:val="none" w:sz="0" w:space="0" w:color="auto"/>
                                        <w:bottom w:val="none" w:sz="0" w:space="0" w:color="auto"/>
                                        <w:right w:val="none" w:sz="0" w:space="0" w:color="auto"/>
                                      </w:divBdr>
                                      <w:divsChild>
                                        <w:div w:id="1550264248">
                                          <w:marLeft w:val="0"/>
                                          <w:marRight w:val="0"/>
                                          <w:marTop w:val="0"/>
                                          <w:marBottom w:val="0"/>
                                          <w:divBdr>
                                            <w:top w:val="none" w:sz="0" w:space="0" w:color="auto"/>
                                            <w:left w:val="none" w:sz="0" w:space="0" w:color="auto"/>
                                            <w:bottom w:val="none" w:sz="0" w:space="0" w:color="auto"/>
                                            <w:right w:val="none" w:sz="0" w:space="0" w:color="auto"/>
                                          </w:divBdr>
                                          <w:divsChild>
                                            <w:div w:id="20448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15925">
      <w:bodyDiv w:val="1"/>
      <w:marLeft w:val="0"/>
      <w:marRight w:val="0"/>
      <w:marTop w:val="0"/>
      <w:marBottom w:val="0"/>
      <w:divBdr>
        <w:top w:val="none" w:sz="0" w:space="0" w:color="auto"/>
        <w:left w:val="none" w:sz="0" w:space="0" w:color="auto"/>
        <w:bottom w:val="none" w:sz="0" w:space="0" w:color="auto"/>
        <w:right w:val="none" w:sz="0" w:space="0" w:color="auto"/>
      </w:divBdr>
    </w:div>
    <w:div w:id="2006781123">
      <w:bodyDiv w:val="1"/>
      <w:marLeft w:val="0"/>
      <w:marRight w:val="0"/>
      <w:marTop w:val="0"/>
      <w:marBottom w:val="0"/>
      <w:divBdr>
        <w:top w:val="none" w:sz="0" w:space="0" w:color="auto"/>
        <w:left w:val="none" w:sz="0" w:space="0" w:color="auto"/>
        <w:bottom w:val="none" w:sz="0" w:space="0" w:color="auto"/>
        <w:right w:val="none" w:sz="0" w:space="0" w:color="auto"/>
      </w:divBdr>
    </w:div>
    <w:div w:id="2027051314">
      <w:bodyDiv w:val="1"/>
      <w:marLeft w:val="0"/>
      <w:marRight w:val="0"/>
      <w:marTop w:val="0"/>
      <w:marBottom w:val="0"/>
      <w:divBdr>
        <w:top w:val="none" w:sz="0" w:space="0" w:color="auto"/>
        <w:left w:val="none" w:sz="0" w:space="0" w:color="auto"/>
        <w:bottom w:val="none" w:sz="0" w:space="0" w:color="auto"/>
        <w:right w:val="none" w:sz="0" w:space="0" w:color="auto"/>
      </w:divBdr>
      <w:divsChild>
        <w:div w:id="1133251071">
          <w:marLeft w:val="547"/>
          <w:marRight w:val="0"/>
          <w:marTop w:val="0"/>
          <w:marBottom w:val="0"/>
          <w:divBdr>
            <w:top w:val="none" w:sz="0" w:space="0" w:color="auto"/>
            <w:left w:val="none" w:sz="0" w:space="0" w:color="auto"/>
            <w:bottom w:val="none" w:sz="0" w:space="0" w:color="auto"/>
            <w:right w:val="none" w:sz="0" w:space="0" w:color="auto"/>
          </w:divBdr>
        </w:div>
      </w:divsChild>
    </w:div>
    <w:div w:id="2029065014">
      <w:bodyDiv w:val="1"/>
      <w:marLeft w:val="0"/>
      <w:marRight w:val="0"/>
      <w:marTop w:val="0"/>
      <w:marBottom w:val="0"/>
      <w:divBdr>
        <w:top w:val="none" w:sz="0" w:space="0" w:color="auto"/>
        <w:left w:val="none" w:sz="0" w:space="0" w:color="auto"/>
        <w:bottom w:val="none" w:sz="0" w:space="0" w:color="auto"/>
        <w:right w:val="none" w:sz="0" w:space="0" w:color="auto"/>
      </w:divBdr>
    </w:div>
    <w:div w:id="2037846217">
      <w:bodyDiv w:val="1"/>
      <w:marLeft w:val="0"/>
      <w:marRight w:val="0"/>
      <w:marTop w:val="0"/>
      <w:marBottom w:val="0"/>
      <w:divBdr>
        <w:top w:val="none" w:sz="0" w:space="0" w:color="auto"/>
        <w:left w:val="none" w:sz="0" w:space="0" w:color="auto"/>
        <w:bottom w:val="none" w:sz="0" w:space="0" w:color="auto"/>
        <w:right w:val="none" w:sz="0" w:space="0" w:color="auto"/>
      </w:divBdr>
    </w:div>
    <w:div w:id="2043090574">
      <w:bodyDiv w:val="1"/>
      <w:marLeft w:val="0"/>
      <w:marRight w:val="0"/>
      <w:marTop w:val="0"/>
      <w:marBottom w:val="0"/>
      <w:divBdr>
        <w:top w:val="none" w:sz="0" w:space="0" w:color="auto"/>
        <w:left w:val="none" w:sz="0" w:space="0" w:color="auto"/>
        <w:bottom w:val="none" w:sz="0" w:space="0" w:color="auto"/>
        <w:right w:val="none" w:sz="0" w:space="0" w:color="auto"/>
      </w:divBdr>
    </w:div>
    <w:div w:id="2092268225">
      <w:bodyDiv w:val="1"/>
      <w:marLeft w:val="0"/>
      <w:marRight w:val="0"/>
      <w:marTop w:val="0"/>
      <w:marBottom w:val="0"/>
      <w:divBdr>
        <w:top w:val="none" w:sz="0" w:space="0" w:color="auto"/>
        <w:left w:val="none" w:sz="0" w:space="0" w:color="auto"/>
        <w:bottom w:val="none" w:sz="0" w:space="0" w:color="auto"/>
        <w:right w:val="none" w:sz="0" w:space="0" w:color="auto"/>
      </w:divBdr>
    </w:div>
    <w:div w:id="2103606486">
      <w:bodyDiv w:val="1"/>
      <w:marLeft w:val="0"/>
      <w:marRight w:val="0"/>
      <w:marTop w:val="0"/>
      <w:marBottom w:val="0"/>
      <w:divBdr>
        <w:top w:val="none" w:sz="0" w:space="0" w:color="auto"/>
        <w:left w:val="none" w:sz="0" w:space="0" w:color="auto"/>
        <w:bottom w:val="none" w:sz="0" w:space="0" w:color="auto"/>
        <w:right w:val="none" w:sz="0" w:space="0" w:color="auto"/>
      </w:divBdr>
    </w:div>
    <w:div w:id="2112166929">
      <w:bodyDiv w:val="1"/>
      <w:marLeft w:val="0"/>
      <w:marRight w:val="0"/>
      <w:marTop w:val="0"/>
      <w:marBottom w:val="0"/>
      <w:divBdr>
        <w:top w:val="none" w:sz="0" w:space="0" w:color="auto"/>
        <w:left w:val="none" w:sz="0" w:space="0" w:color="auto"/>
        <w:bottom w:val="none" w:sz="0" w:space="0" w:color="auto"/>
        <w:right w:val="none" w:sz="0" w:space="0" w:color="auto"/>
      </w:divBdr>
    </w:div>
    <w:div w:id="2115897184">
      <w:bodyDiv w:val="1"/>
      <w:marLeft w:val="0"/>
      <w:marRight w:val="0"/>
      <w:marTop w:val="0"/>
      <w:marBottom w:val="0"/>
      <w:divBdr>
        <w:top w:val="none" w:sz="0" w:space="0" w:color="auto"/>
        <w:left w:val="none" w:sz="0" w:space="0" w:color="auto"/>
        <w:bottom w:val="none" w:sz="0" w:space="0" w:color="auto"/>
        <w:right w:val="none" w:sz="0" w:space="0" w:color="auto"/>
      </w:divBdr>
    </w:div>
    <w:div w:id="2130471817">
      <w:bodyDiv w:val="1"/>
      <w:marLeft w:val="0"/>
      <w:marRight w:val="0"/>
      <w:marTop w:val="0"/>
      <w:marBottom w:val="0"/>
      <w:divBdr>
        <w:top w:val="none" w:sz="0" w:space="0" w:color="auto"/>
        <w:left w:val="none" w:sz="0" w:space="0" w:color="auto"/>
        <w:bottom w:val="none" w:sz="0" w:space="0" w:color="auto"/>
        <w:right w:val="none" w:sz="0" w:space="0" w:color="auto"/>
      </w:divBdr>
    </w:div>
    <w:div w:id="2132311406">
      <w:bodyDiv w:val="1"/>
      <w:marLeft w:val="0"/>
      <w:marRight w:val="0"/>
      <w:marTop w:val="0"/>
      <w:marBottom w:val="0"/>
      <w:divBdr>
        <w:top w:val="none" w:sz="0" w:space="0" w:color="auto"/>
        <w:left w:val="none" w:sz="0" w:space="0" w:color="auto"/>
        <w:bottom w:val="none" w:sz="0" w:space="0" w:color="auto"/>
        <w:right w:val="none" w:sz="0" w:space="0" w:color="auto"/>
      </w:divBdr>
    </w:div>
    <w:div w:id="2136604881">
      <w:bodyDiv w:val="1"/>
      <w:marLeft w:val="0"/>
      <w:marRight w:val="0"/>
      <w:marTop w:val="0"/>
      <w:marBottom w:val="0"/>
      <w:divBdr>
        <w:top w:val="none" w:sz="0" w:space="0" w:color="auto"/>
        <w:left w:val="none" w:sz="0" w:space="0" w:color="auto"/>
        <w:bottom w:val="none" w:sz="0" w:space="0" w:color="auto"/>
        <w:right w:val="none" w:sz="0" w:space="0" w:color="auto"/>
      </w:divBdr>
    </w:div>
    <w:div w:id="21373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www.zakon.hr/cms.htm?id=384" TargetMode="External"/><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image" Target="media/image49.emf"/><Relationship Id="rId76" Type="http://schemas.openxmlformats.org/officeDocument/2006/relationships/image" Target="media/image57.png"/><Relationship Id="rId84" Type="http://schemas.openxmlformats.org/officeDocument/2006/relationships/image" Target="media/image65.emf"/><Relationship Id="rId89" Type="http://schemas.openxmlformats.org/officeDocument/2006/relationships/image" Target="media/image70.png"/><Relationship Id="rId97"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52.emf"/><Relationship Id="rId92" Type="http://schemas.openxmlformats.org/officeDocument/2006/relationships/image" Target="media/image73.pn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http://www.enu.hr" TargetMode="Externa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emf"/><Relationship Id="rId5" Type="http://schemas.openxmlformats.org/officeDocument/2006/relationships/customXml" Target="../customXml/item5.xml"/><Relationship Id="rId61" Type="http://schemas.openxmlformats.org/officeDocument/2006/relationships/image" Target="media/image42.png"/><Relationship Id="rId82" Type="http://schemas.openxmlformats.org/officeDocument/2006/relationships/image" Target="media/image63.png"/><Relationship Id="rId90" Type="http://schemas.openxmlformats.org/officeDocument/2006/relationships/image" Target="media/image71.png"/><Relationship Id="rId95" Type="http://schemas.openxmlformats.org/officeDocument/2006/relationships/image" Target="media/image76.png"/><Relationship Id="rId19" Type="http://schemas.openxmlformats.org/officeDocument/2006/relationships/hyperlink" Target="http://www.zakon.hr/cms.htm?id=382" TargetMode="External"/><Relationship Id="rId14" Type="http://schemas.openxmlformats.org/officeDocument/2006/relationships/image" Target="media/image3.png"/><Relationship Id="rId22" Type="http://schemas.openxmlformats.org/officeDocument/2006/relationships/hyperlink" Target="http://www.zakon.hr/cms.htm?id=385" TargetMode="Externa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jpe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emf"/><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narodne-novine.nn.hr/clanci/sluzbeni/2015_02_18_389.html"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7.emf"/><Relationship Id="rId59" Type="http://schemas.openxmlformats.org/officeDocument/2006/relationships/image" Target="media/image40.png"/><Relationship Id="rId67" Type="http://schemas.openxmlformats.org/officeDocument/2006/relationships/image" Target="media/image48.emf"/><Relationship Id="rId20" Type="http://schemas.openxmlformats.org/officeDocument/2006/relationships/hyperlink" Target="http://www.zakon.hr/cms.htm?id=383"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emf"/><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zakon.hr/cms.htm?id=17725"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emf"/><Relationship Id="rId73" Type="http://schemas.openxmlformats.org/officeDocument/2006/relationships/image" Target="media/image54.png"/><Relationship Id="rId78" Type="http://schemas.openxmlformats.org/officeDocument/2006/relationships/image" Target="media/image59.jpg"/><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image" Target="media/image75.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nu.hr/" TargetMode="External"/><Relationship Id="rId39" Type="http://schemas.openxmlformats.org/officeDocument/2006/relationships/image" Target="media/image21.emf"/></Relationships>
</file>

<file path=word/_rels/footnotes.xml.rels><?xml version="1.0" encoding="UTF-8" standalone="yes"?>
<Relationships xmlns="http://schemas.openxmlformats.org/package/2006/relationships"><Relationship Id="rId3" Type="http://schemas.openxmlformats.org/officeDocument/2006/relationships/hyperlink" Target="http://mgipu.hr/default.aspx?id=12841" TargetMode="External"/><Relationship Id="rId2" Type="http://schemas.openxmlformats.org/officeDocument/2006/relationships/hyperlink" Target="https://ec.europa.eu/environment/sustainable-development/index_en.htm" TargetMode="External"/><Relationship Id="rId1" Type="http://schemas.openxmlformats.org/officeDocument/2006/relationships/hyperlink" Target="https://mgipu.gov.hr/o-ministarstvu-15/djelokrug/energetska-ucinkovitost-u-zgradarstvu/povelja-o-dekarbonizaciji-zgrada/89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5CC0CA3D02764298E2F4549C840AD7" ma:contentTypeVersion="2" ma:contentTypeDescription="Stvaranje novog dokumenta." ma:contentTypeScope="" ma:versionID="44729848191398b2275691229bbb0535">
  <xsd:schema xmlns:xsd="http://www.w3.org/2001/XMLSchema" xmlns:xs="http://www.w3.org/2001/XMLSchema" xmlns:p="http://schemas.microsoft.com/office/2006/metadata/properties" xmlns:ns1="http://schemas.microsoft.com/sharepoint/v3" xmlns:ns2="e1df3054-5d10-4492-8ff3-1c5d60fd0f9e" targetNamespace="http://schemas.microsoft.com/office/2006/metadata/properties" ma:root="true" ma:fieldsID="2310c5e0cb9de72f7e6f4da80318d015" ns1:_="" ns2:_="">
    <xsd:import namespace="http://schemas.microsoft.com/sharepoint/v3"/>
    <xsd:import namespace="e1df3054-5d10-4492-8ff3-1c5d60fd0f9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laniranje datuma početka" ma:description="Planiranje datuma početka predstavlja stupac web-mjesta koji je stvorila značajka objavljivanja, a koristi se za upisivanje datuma i vremena kada će se stranica prvi put prikazati posjetiteljima web-mjesta." ma:internalName="PublishingStartDate">
      <xsd:simpleType>
        <xsd:restriction base="dms:Unknown"/>
      </xsd:simpleType>
    </xsd:element>
    <xsd:element name="PublishingExpirationDate" ma:index="12" nillable="true" ma:displayName="Planiranje datuma završetka" ma:description="Planiranje datuma završetka predstavlja stupac web-mjesta koji je stvorila značajka objavljivanja, a koristi se za upisivanje datuma i vremena kada se stranica više neće prikazivati posjetiteljima web-mjest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f3054-5d10-4492-8ff3-1c5d60fd0f9e"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1DF8A1-C8CB-4775-8B3F-FC1D49DD8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f3054-5d10-4492-8ff3-1c5d60fd0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98DFF2-1367-41CF-B43A-3C4ABDE9122A}">
  <ds:schemaRefs>
    <ds:schemaRef ds:uri="http://schemas.microsoft.com/sharepoint/v3/contenttype/forms"/>
  </ds:schemaRefs>
</ds:datastoreItem>
</file>

<file path=customXml/itemProps3.xml><?xml version="1.0" encoding="utf-8"?>
<ds:datastoreItem xmlns:ds="http://schemas.openxmlformats.org/officeDocument/2006/customXml" ds:itemID="{9F17A660-AC7C-4094-AD7E-86DBDD467B4E}">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F559513-4858-4978-A13E-33D340AB6491}">
  <ds:schemaRefs>
    <ds:schemaRef ds:uri="http://schemas.microsoft.com/sharepoint/events"/>
  </ds:schemaRefs>
</ds:datastoreItem>
</file>

<file path=customXml/itemProps5.xml><?xml version="1.0" encoding="utf-8"?>
<ds:datastoreItem xmlns:ds="http://schemas.openxmlformats.org/officeDocument/2006/customXml" ds:itemID="{D968E386-3F96-45AB-9DC0-EE681F64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84053</Words>
  <Characters>479103</Characters>
  <Application>Microsoft Office Word</Application>
  <DocSecurity>0</DocSecurity>
  <Lines>3992</Lines>
  <Paragraphs>1124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LinksUpToDate>false</LinksUpToDate>
  <CharactersWithSpaces>562032</CharactersWithSpaces>
  <SharedDoc>false</SharedDoc>
  <HLinks>
    <vt:vector size="894" baseType="variant">
      <vt:variant>
        <vt:i4>1572913</vt:i4>
      </vt:variant>
      <vt:variant>
        <vt:i4>1814</vt:i4>
      </vt:variant>
      <vt:variant>
        <vt:i4>0</vt:i4>
      </vt:variant>
      <vt:variant>
        <vt:i4>5</vt:i4>
      </vt:variant>
      <vt:variant>
        <vt:lpwstr/>
      </vt:variant>
      <vt:variant>
        <vt:lpwstr>_Toc26123219</vt:lpwstr>
      </vt:variant>
      <vt:variant>
        <vt:i4>1638449</vt:i4>
      </vt:variant>
      <vt:variant>
        <vt:i4>1808</vt:i4>
      </vt:variant>
      <vt:variant>
        <vt:i4>0</vt:i4>
      </vt:variant>
      <vt:variant>
        <vt:i4>5</vt:i4>
      </vt:variant>
      <vt:variant>
        <vt:lpwstr/>
      </vt:variant>
      <vt:variant>
        <vt:lpwstr>_Toc26123218</vt:lpwstr>
      </vt:variant>
      <vt:variant>
        <vt:i4>1441841</vt:i4>
      </vt:variant>
      <vt:variant>
        <vt:i4>1802</vt:i4>
      </vt:variant>
      <vt:variant>
        <vt:i4>0</vt:i4>
      </vt:variant>
      <vt:variant>
        <vt:i4>5</vt:i4>
      </vt:variant>
      <vt:variant>
        <vt:lpwstr/>
      </vt:variant>
      <vt:variant>
        <vt:lpwstr>_Toc26123217</vt:lpwstr>
      </vt:variant>
      <vt:variant>
        <vt:i4>1507377</vt:i4>
      </vt:variant>
      <vt:variant>
        <vt:i4>1796</vt:i4>
      </vt:variant>
      <vt:variant>
        <vt:i4>0</vt:i4>
      </vt:variant>
      <vt:variant>
        <vt:i4>5</vt:i4>
      </vt:variant>
      <vt:variant>
        <vt:lpwstr/>
      </vt:variant>
      <vt:variant>
        <vt:lpwstr>_Toc26123216</vt:lpwstr>
      </vt:variant>
      <vt:variant>
        <vt:i4>1310769</vt:i4>
      </vt:variant>
      <vt:variant>
        <vt:i4>1790</vt:i4>
      </vt:variant>
      <vt:variant>
        <vt:i4>0</vt:i4>
      </vt:variant>
      <vt:variant>
        <vt:i4>5</vt:i4>
      </vt:variant>
      <vt:variant>
        <vt:lpwstr/>
      </vt:variant>
      <vt:variant>
        <vt:lpwstr>_Toc26123215</vt:lpwstr>
      </vt:variant>
      <vt:variant>
        <vt:i4>1376305</vt:i4>
      </vt:variant>
      <vt:variant>
        <vt:i4>1784</vt:i4>
      </vt:variant>
      <vt:variant>
        <vt:i4>0</vt:i4>
      </vt:variant>
      <vt:variant>
        <vt:i4>5</vt:i4>
      </vt:variant>
      <vt:variant>
        <vt:lpwstr/>
      </vt:variant>
      <vt:variant>
        <vt:lpwstr>_Toc26123214</vt:lpwstr>
      </vt:variant>
      <vt:variant>
        <vt:i4>1179697</vt:i4>
      </vt:variant>
      <vt:variant>
        <vt:i4>1778</vt:i4>
      </vt:variant>
      <vt:variant>
        <vt:i4>0</vt:i4>
      </vt:variant>
      <vt:variant>
        <vt:i4>5</vt:i4>
      </vt:variant>
      <vt:variant>
        <vt:lpwstr/>
      </vt:variant>
      <vt:variant>
        <vt:lpwstr>_Toc26123213</vt:lpwstr>
      </vt:variant>
      <vt:variant>
        <vt:i4>1245233</vt:i4>
      </vt:variant>
      <vt:variant>
        <vt:i4>1772</vt:i4>
      </vt:variant>
      <vt:variant>
        <vt:i4>0</vt:i4>
      </vt:variant>
      <vt:variant>
        <vt:i4>5</vt:i4>
      </vt:variant>
      <vt:variant>
        <vt:lpwstr/>
      </vt:variant>
      <vt:variant>
        <vt:lpwstr>_Toc26123212</vt:lpwstr>
      </vt:variant>
      <vt:variant>
        <vt:i4>1048625</vt:i4>
      </vt:variant>
      <vt:variant>
        <vt:i4>1766</vt:i4>
      </vt:variant>
      <vt:variant>
        <vt:i4>0</vt:i4>
      </vt:variant>
      <vt:variant>
        <vt:i4>5</vt:i4>
      </vt:variant>
      <vt:variant>
        <vt:lpwstr/>
      </vt:variant>
      <vt:variant>
        <vt:lpwstr>_Toc26123211</vt:lpwstr>
      </vt:variant>
      <vt:variant>
        <vt:i4>1114161</vt:i4>
      </vt:variant>
      <vt:variant>
        <vt:i4>1760</vt:i4>
      </vt:variant>
      <vt:variant>
        <vt:i4>0</vt:i4>
      </vt:variant>
      <vt:variant>
        <vt:i4>5</vt:i4>
      </vt:variant>
      <vt:variant>
        <vt:lpwstr/>
      </vt:variant>
      <vt:variant>
        <vt:lpwstr>_Toc26123210</vt:lpwstr>
      </vt:variant>
      <vt:variant>
        <vt:i4>1572912</vt:i4>
      </vt:variant>
      <vt:variant>
        <vt:i4>1754</vt:i4>
      </vt:variant>
      <vt:variant>
        <vt:i4>0</vt:i4>
      </vt:variant>
      <vt:variant>
        <vt:i4>5</vt:i4>
      </vt:variant>
      <vt:variant>
        <vt:lpwstr/>
      </vt:variant>
      <vt:variant>
        <vt:lpwstr>_Toc26123209</vt:lpwstr>
      </vt:variant>
      <vt:variant>
        <vt:i4>1638448</vt:i4>
      </vt:variant>
      <vt:variant>
        <vt:i4>1748</vt:i4>
      </vt:variant>
      <vt:variant>
        <vt:i4>0</vt:i4>
      </vt:variant>
      <vt:variant>
        <vt:i4>5</vt:i4>
      </vt:variant>
      <vt:variant>
        <vt:lpwstr/>
      </vt:variant>
      <vt:variant>
        <vt:lpwstr>_Toc26123208</vt:lpwstr>
      </vt:variant>
      <vt:variant>
        <vt:i4>1441840</vt:i4>
      </vt:variant>
      <vt:variant>
        <vt:i4>1742</vt:i4>
      </vt:variant>
      <vt:variant>
        <vt:i4>0</vt:i4>
      </vt:variant>
      <vt:variant>
        <vt:i4>5</vt:i4>
      </vt:variant>
      <vt:variant>
        <vt:lpwstr/>
      </vt:variant>
      <vt:variant>
        <vt:lpwstr>_Toc26123207</vt:lpwstr>
      </vt:variant>
      <vt:variant>
        <vt:i4>1507376</vt:i4>
      </vt:variant>
      <vt:variant>
        <vt:i4>1736</vt:i4>
      </vt:variant>
      <vt:variant>
        <vt:i4>0</vt:i4>
      </vt:variant>
      <vt:variant>
        <vt:i4>5</vt:i4>
      </vt:variant>
      <vt:variant>
        <vt:lpwstr/>
      </vt:variant>
      <vt:variant>
        <vt:lpwstr>_Toc26123206</vt:lpwstr>
      </vt:variant>
      <vt:variant>
        <vt:i4>1310768</vt:i4>
      </vt:variant>
      <vt:variant>
        <vt:i4>1730</vt:i4>
      </vt:variant>
      <vt:variant>
        <vt:i4>0</vt:i4>
      </vt:variant>
      <vt:variant>
        <vt:i4>5</vt:i4>
      </vt:variant>
      <vt:variant>
        <vt:lpwstr/>
      </vt:variant>
      <vt:variant>
        <vt:lpwstr>_Toc26123205</vt:lpwstr>
      </vt:variant>
      <vt:variant>
        <vt:i4>1376304</vt:i4>
      </vt:variant>
      <vt:variant>
        <vt:i4>1724</vt:i4>
      </vt:variant>
      <vt:variant>
        <vt:i4>0</vt:i4>
      </vt:variant>
      <vt:variant>
        <vt:i4>5</vt:i4>
      </vt:variant>
      <vt:variant>
        <vt:lpwstr/>
      </vt:variant>
      <vt:variant>
        <vt:lpwstr>_Toc26123204</vt:lpwstr>
      </vt:variant>
      <vt:variant>
        <vt:i4>1179696</vt:i4>
      </vt:variant>
      <vt:variant>
        <vt:i4>1718</vt:i4>
      </vt:variant>
      <vt:variant>
        <vt:i4>0</vt:i4>
      </vt:variant>
      <vt:variant>
        <vt:i4>5</vt:i4>
      </vt:variant>
      <vt:variant>
        <vt:lpwstr/>
      </vt:variant>
      <vt:variant>
        <vt:lpwstr>_Toc26123203</vt:lpwstr>
      </vt:variant>
      <vt:variant>
        <vt:i4>1245232</vt:i4>
      </vt:variant>
      <vt:variant>
        <vt:i4>1712</vt:i4>
      </vt:variant>
      <vt:variant>
        <vt:i4>0</vt:i4>
      </vt:variant>
      <vt:variant>
        <vt:i4>5</vt:i4>
      </vt:variant>
      <vt:variant>
        <vt:lpwstr/>
      </vt:variant>
      <vt:variant>
        <vt:lpwstr>_Toc26123202</vt:lpwstr>
      </vt:variant>
      <vt:variant>
        <vt:i4>1048624</vt:i4>
      </vt:variant>
      <vt:variant>
        <vt:i4>1706</vt:i4>
      </vt:variant>
      <vt:variant>
        <vt:i4>0</vt:i4>
      </vt:variant>
      <vt:variant>
        <vt:i4>5</vt:i4>
      </vt:variant>
      <vt:variant>
        <vt:lpwstr/>
      </vt:variant>
      <vt:variant>
        <vt:lpwstr>_Toc26123201</vt:lpwstr>
      </vt:variant>
      <vt:variant>
        <vt:i4>1114160</vt:i4>
      </vt:variant>
      <vt:variant>
        <vt:i4>1700</vt:i4>
      </vt:variant>
      <vt:variant>
        <vt:i4>0</vt:i4>
      </vt:variant>
      <vt:variant>
        <vt:i4>5</vt:i4>
      </vt:variant>
      <vt:variant>
        <vt:lpwstr/>
      </vt:variant>
      <vt:variant>
        <vt:lpwstr>_Toc26123200</vt:lpwstr>
      </vt:variant>
      <vt:variant>
        <vt:i4>1769529</vt:i4>
      </vt:variant>
      <vt:variant>
        <vt:i4>1694</vt:i4>
      </vt:variant>
      <vt:variant>
        <vt:i4>0</vt:i4>
      </vt:variant>
      <vt:variant>
        <vt:i4>5</vt:i4>
      </vt:variant>
      <vt:variant>
        <vt:lpwstr/>
      </vt:variant>
      <vt:variant>
        <vt:lpwstr>_Toc26123199</vt:lpwstr>
      </vt:variant>
      <vt:variant>
        <vt:i4>1703993</vt:i4>
      </vt:variant>
      <vt:variant>
        <vt:i4>1688</vt:i4>
      </vt:variant>
      <vt:variant>
        <vt:i4>0</vt:i4>
      </vt:variant>
      <vt:variant>
        <vt:i4>5</vt:i4>
      </vt:variant>
      <vt:variant>
        <vt:lpwstr/>
      </vt:variant>
      <vt:variant>
        <vt:lpwstr>_Toc26123198</vt:lpwstr>
      </vt:variant>
      <vt:variant>
        <vt:i4>1376313</vt:i4>
      </vt:variant>
      <vt:variant>
        <vt:i4>1682</vt:i4>
      </vt:variant>
      <vt:variant>
        <vt:i4>0</vt:i4>
      </vt:variant>
      <vt:variant>
        <vt:i4>5</vt:i4>
      </vt:variant>
      <vt:variant>
        <vt:lpwstr/>
      </vt:variant>
      <vt:variant>
        <vt:lpwstr>_Toc26123197</vt:lpwstr>
      </vt:variant>
      <vt:variant>
        <vt:i4>1310777</vt:i4>
      </vt:variant>
      <vt:variant>
        <vt:i4>1676</vt:i4>
      </vt:variant>
      <vt:variant>
        <vt:i4>0</vt:i4>
      </vt:variant>
      <vt:variant>
        <vt:i4>5</vt:i4>
      </vt:variant>
      <vt:variant>
        <vt:lpwstr/>
      </vt:variant>
      <vt:variant>
        <vt:lpwstr>_Toc26123196</vt:lpwstr>
      </vt:variant>
      <vt:variant>
        <vt:i4>1507385</vt:i4>
      </vt:variant>
      <vt:variant>
        <vt:i4>1670</vt:i4>
      </vt:variant>
      <vt:variant>
        <vt:i4>0</vt:i4>
      </vt:variant>
      <vt:variant>
        <vt:i4>5</vt:i4>
      </vt:variant>
      <vt:variant>
        <vt:lpwstr/>
      </vt:variant>
      <vt:variant>
        <vt:lpwstr>_Toc26123195</vt:lpwstr>
      </vt:variant>
      <vt:variant>
        <vt:i4>1441849</vt:i4>
      </vt:variant>
      <vt:variant>
        <vt:i4>1664</vt:i4>
      </vt:variant>
      <vt:variant>
        <vt:i4>0</vt:i4>
      </vt:variant>
      <vt:variant>
        <vt:i4>5</vt:i4>
      </vt:variant>
      <vt:variant>
        <vt:lpwstr/>
      </vt:variant>
      <vt:variant>
        <vt:lpwstr>_Toc26123194</vt:lpwstr>
      </vt:variant>
      <vt:variant>
        <vt:i4>1114169</vt:i4>
      </vt:variant>
      <vt:variant>
        <vt:i4>1658</vt:i4>
      </vt:variant>
      <vt:variant>
        <vt:i4>0</vt:i4>
      </vt:variant>
      <vt:variant>
        <vt:i4>5</vt:i4>
      </vt:variant>
      <vt:variant>
        <vt:lpwstr/>
      </vt:variant>
      <vt:variant>
        <vt:lpwstr>_Toc26123193</vt:lpwstr>
      </vt:variant>
      <vt:variant>
        <vt:i4>1048633</vt:i4>
      </vt:variant>
      <vt:variant>
        <vt:i4>1652</vt:i4>
      </vt:variant>
      <vt:variant>
        <vt:i4>0</vt:i4>
      </vt:variant>
      <vt:variant>
        <vt:i4>5</vt:i4>
      </vt:variant>
      <vt:variant>
        <vt:lpwstr/>
      </vt:variant>
      <vt:variant>
        <vt:lpwstr>_Toc26123192</vt:lpwstr>
      </vt:variant>
      <vt:variant>
        <vt:i4>1245241</vt:i4>
      </vt:variant>
      <vt:variant>
        <vt:i4>1646</vt:i4>
      </vt:variant>
      <vt:variant>
        <vt:i4>0</vt:i4>
      </vt:variant>
      <vt:variant>
        <vt:i4>5</vt:i4>
      </vt:variant>
      <vt:variant>
        <vt:lpwstr/>
      </vt:variant>
      <vt:variant>
        <vt:lpwstr>_Toc26123191</vt:lpwstr>
      </vt:variant>
      <vt:variant>
        <vt:i4>1179705</vt:i4>
      </vt:variant>
      <vt:variant>
        <vt:i4>1640</vt:i4>
      </vt:variant>
      <vt:variant>
        <vt:i4>0</vt:i4>
      </vt:variant>
      <vt:variant>
        <vt:i4>5</vt:i4>
      </vt:variant>
      <vt:variant>
        <vt:lpwstr/>
      </vt:variant>
      <vt:variant>
        <vt:lpwstr>_Toc26123190</vt:lpwstr>
      </vt:variant>
      <vt:variant>
        <vt:i4>1769528</vt:i4>
      </vt:variant>
      <vt:variant>
        <vt:i4>1634</vt:i4>
      </vt:variant>
      <vt:variant>
        <vt:i4>0</vt:i4>
      </vt:variant>
      <vt:variant>
        <vt:i4>5</vt:i4>
      </vt:variant>
      <vt:variant>
        <vt:lpwstr/>
      </vt:variant>
      <vt:variant>
        <vt:lpwstr>_Toc26123189</vt:lpwstr>
      </vt:variant>
      <vt:variant>
        <vt:i4>1703992</vt:i4>
      </vt:variant>
      <vt:variant>
        <vt:i4>1628</vt:i4>
      </vt:variant>
      <vt:variant>
        <vt:i4>0</vt:i4>
      </vt:variant>
      <vt:variant>
        <vt:i4>5</vt:i4>
      </vt:variant>
      <vt:variant>
        <vt:lpwstr/>
      </vt:variant>
      <vt:variant>
        <vt:lpwstr>_Toc26123188</vt:lpwstr>
      </vt:variant>
      <vt:variant>
        <vt:i4>1376312</vt:i4>
      </vt:variant>
      <vt:variant>
        <vt:i4>1622</vt:i4>
      </vt:variant>
      <vt:variant>
        <vt:i4>0</vt:i4>
      </vt:variant>
      <vt:variant>
        <vt:i4>5</vt:i4>
      </vt:variant>
      <vt:variant>
        <vt:lpwstr/>
      </vt:variant>
      <vt:variant>
        <vt:lpwstr>_Toc26123187</vt:lpwstr>
      </vt:variant>
      <vt:variant>
        <vt:i4>1310776</vt:i4>
      </vt:variant>
      <vt:variant>
        <vt:i4>1616</vt:i4>
      </vt:variant>
      <vt:variant>
        <vt:i4>0</vt:i4>
      </vt:variant>
      <vt:variant>
        <vt:i4>5</vt:i4>
      </vt:variant>
      <vt:variant>
        <vt:lpwstr/>
      </vt:variant>
      <vt:variant>
        <vt:lpwstr>_Toc26123186</vt:lpwstr>
      </vt:variant>
      <vt:variant>
        <vt:i4>1507384</vt:i4>
      </vt:variant>
      <vt:variant>
        <vt:i4>1610</vt:i4>
      </vt:variant>
      <vt:variant>
        <vt:i4>0</vt:i4>
      </vt:variant>
      <vt:variant>
        <vt:i4>5</vt:i4>
      </vt:variant>
      <vt:variant>
        <vt:lpwstr/>
      </vt:variant>
      <vt:variant>
        <vt:lpwstr>_Toc26123185</vt:lpwstr>
      </vt:variant>
      <vt:variant>
        <vt:i4>1441848</vt:i4>
      </vt:variant>
      <vt:variant>
        <vt:i4>1604</vt:i4>
      </vt:variant>
      <vt:variant>
        <vt:i4>0</vt:i4>
      </vt:variant>
      <vt:variant>
        <vt:i4>5</vt:i4>
      </vt:variant>
      <vt:variant>
        <vt:lpwstr/>
      </vt:variant>
      <vt:variant>
        <vt:lpwstr>_Toc26123184</vt:lpwstr>
      </vt:variant>
      <vt:variant>
        <vt:i4>1114168</vt:i4>
      </vt:variant>
      <vt:variant>
        <vt:i4>1598</vt:i4>
      </vt:variant>
      <vt:variant>
        <vt:i4>0</vt:i4>
      </vt:variant>
      <vt:variant>
        <vt:i4>5</vt:i4>
      </vt:variant>
      <vt:variant>
        <vt:lpwstr/>
      </vt:variant>
      <vt:variant>
        <vt:lpwstr>_Toc26123183</vt:lpwstr>
      </vt:variant>
      <vt:variant>
        <vt:i4>1048632</vt:i4>
      </vt:variant>
      <vt:variant>
        <vt:i4>1592</vt:i4>
      </vt:variant>
      <vt:variant>
        <vt:i4>0</vt:i4>
      </vt:variant>
      <vt:variant>
        <vt:i4>5</vt:i4>
      </vt:variant>
      <vt:variant>
        <vt:lpwstr/>
      </vt:variant>
      <vt:variant>
        <vt:lpwstr>_Toc26123182</vt:lpwstr>
      </vt:variant>
      <vt:variant>
        <vt:i4>1245240</vt:i4>
      </vt:variant>
      <vt:variant>
        <vt:i4>1586</vt:i4>
      </vt:variant>
      <vt:variant>
        <vt:i4>0</vt:i4>
      </vt:variant>
      <vt:variant>
        <vt:i4>5</vt:i4>
      </vt:variant>
      <vt:variant>
        <vt:lpwstr/>
      </vt:variant>
      <vt:variant>
        <vt:lpwstr>_Toc26123181</vt:lpwstr>
      </vt:variant>
      <vt:variant>
        <vt:i4>1179704</vt:i4>
      </vt:variant>
      <vt:variant>
        <vt:i4>1580</vt:i4>
      </vt:variant>
      <vt:variant>
        <vt:i4>0</vt:i4>
      </vt:variant>
      <vt:variant>
        <vt:i4>5</vt:i4>
      </vt:variant>
      <vt:variant>
        <vt:lpwstr/>
      </vt:variant>
      <vt:variant>
        <vt:lpwstr>_Toc26123180</vt:lpwstr>
      </vt:variant>
      <vt:variant>
        <vt:i4>1769527</vt:i4>
      </vt:variant>
      <vt:variant>
        <vt:i4>1574</vt:i4>
      </vt:variant>
      <vt:variant>
        <vt:i4>0</vt:i4>
      </vt:variant>
      <vt:variant>
        <vt:i4>5</vt:i4>
      </vt:variant>
      <vt:variant>
        <vt:lpwstr/>
      </vt:variant>
      <vt:variant>
        <vt:lpwstr>_Toc26123179</vt:lpwstr>
      </vt:variant>
      <vt:variant>
        <vt:i4>1703991</vt:i4>
      </vt:variant>
      <vt:variant>
        <vt:i4>1568</vt:i4>
      </vt:variant>
      <vt:variant>
        <vt:i4>0</vt:i4>
      </vt:variant>
      <vt:variant>
        <vt:i4>5</vt:i4>
      </vt:variant>
      <vt:variant>
        <vt:lpwstr/>
      </vt:variant>
      <vt:variant>
        <vt:lpwstr>_Toc26123178</vt:lpwstr>
      </vt:variant>
      <vt:variant>
        <vt:i4>1376311</vt:i4>
      </vt:variant>
      <vt:variant>
        <vt:i4>1562</vt:i4>
      </vt:variant>
      <vt:variant>
        <vt:i4>0</vt:i4>
      </vt:variant>
      <vt:variant>
        <vt:i4>5</vt:i4>
      </vt:variant>
      <vt:variant>
        <vt:lpwstr/>
      </vt:variant>
      <vt:variant>
        <vt:lpwstr>_Toc26123177</vt:lpwstr>
      </vt:variant>
      <vt:variant>
        <vt:i4>1310775</vt:i4>
      </vt:variant>
      <vt:variant>
        <vt:i4>1553</vt:i4>
      </vt:variant>
      <vt:variant>
        <vt:i4>0</vt:i4>
      </vt:variant>
      <vt:variant>
        <vt:i4>5</vt:i4>
      </vt:variant>
      <vt:variant>
        <vt:lpwstr/>
      </vt:variant>
      <vt:variant>
        <vt:lpwstr>_Toc26123176</vt:lpwstr>
      </vt:variant>
      <vt:variant>
        <vt:i4>1507383</vt:i4>
      </vt:variant>
      <vt:variant>
        <vt:i4>1547</vt:i4>
      </vt:variant>
      <vt:variant>
        <vt:i4>0</vt:i4>
      </vt:variant>
      <vt:variant>
        <vt:i4>5</vt:i4>
      </vt:variant>
      <vt:variant>
        <vt:lpwstr/>
      </vt:variant>
      <vt:variant>
        <vt:lpwstr>_Toc26123175</vt:lpwstr>
      </vt:variant>
      <vt:variant>
        <vt:i4>1441847</vt:i4>
      </vt:variant>
      <vt:variant>
        <vt:i4>1541</vt:i4>
      </vt:variant>
      <vt:variant>
        <vt:i4>0</vt:i4>
      </vt:variant>
      <vt:variant>
        <vt:i4>5</vt:i4>
      </vt:variant>
      <vt:variant>
        <vt:lpwstr/>
      </vt:variant>
      <vt:variant>
        <vt:lpwstr>_Toc26123174</vt:lpwstr>
      </vt:variant>
      <vt:variant>
        <vt:i4>1114167</vt:i4>
      </vt:variant>
      <vt:variant>
        <vt:i4>1535</vt:i4>
      </vt:variant>
      <vt:variant>
        <vt:i4>0</vt:i4>
      </vt:variant>
      <vt:variant>
        <vt:i4>5</vt:i4>
      </vt:variant>
      <vt:variant>
        <vt:lpwstr/>
      </vt:variant>
      <vt:variant>
        <vt:lpwstr>_Toc26123173</vt:lpwstr>
      </vt:variant>
      <vt:variant>
        <vt:i4>1048631</vt:i4>
      </vt:variant>
      <vt:variant>
        <vt:i4>1529</vt:i4>
      </vt:variant>
      <vt:variant>
        <vt:i4>0</vt:i4>
      </vt:variant>
      <vt:variant>
        <vt:i4>5</vt:i4>
      </vt:variant>
      <vt:variant>
        <vt:lpwstr/>
      </vt:variant>
      <vt:variant>
        <vt:lpwstr>_Toc26123172</vt:lpwstr>
      </vt:variant>
      <vt:variant>
        <vt:i4>1245239</vt:i4>
      </vt:variant>
      <vt:variant>
        <vt:i4>1523</vt:i4>
      </vt:variant>
      <vt:variant>
        <vt:i4>0</vt:i4>
      </vt:variant>
      <vt:variant>
        <vt:i4>5</vt:i4>
      </vt:variant>
      <vt:variant>
        <vt:lpwstr/>
      </vt:variant>
      <vt:variant>
        <vt:lpwstr>_Toc26123171</vt:lpwstr>
      </vt:variant>
      <vt:variant>
        <vt:i4>1179703</vt:i4>
      </vt:variant>
      <vt:variant>
        <vt:i4>1517</vt:i4>
      </vt:variant>
      <vt:variant>
        <vt:i4>0</vt:i4>
      </vt:variant>
      <vt:variant>
        <vt:i4>5</vt:i4>
      </vt:variant>
      <vt:variant>
        <vt:lpwstr/>
      </vt:variant>
      <vt:variant>
        <vt:lpwstr>_Toc26123170</vt:lpwstr>
      </vt:variant>
      <vt:variant>
        <vt:i4>1769526</vt:i4>
      </vt:variant>
      <vt:variant>
        <vt:i4>1511</vt:i4>
      </vt:variant>
      <vt:variant>
        <vt:i4>0</vt:i4>
      </vt:variant>
      <vt:variant>
        <vt:i4>5</vt:i4>
      </vt:variant>
      <vt:variant>
        <vt:lpwstr/>
      </vt:variant>
      <vt:variant>
        <vt:lpwstr>_Toc26123169</vt:lpwstr>
      </vt:variant>
      <vt:variant>
        <vt:i4>1703990</vt:i4>
      </vt:variant>
      <vt:variant>
        <vt:i4>1505</vt:i4>
      </vt:variant>
      <vt:variant>
        <vt:i4>0</vt:i4>
      </vt:variant>
      <vt:variant>
        <vt:i4>5</vt:i4>
      </vt:variant>
      <vt:variant>
        <vt:lpwstr/>
      </vt:variant>
      <vt:variant>
        <vt:lpwstr>_Toc26123168</vt:lpwstr>
      </vt:variant>
      <vt:variant>
        <vt:i4>1376310</vt:i4>
      </vt:variant>
      <vt:variant>
        <vt:i4>1499</vt:i4>
      </vt:variant>
      <vt:variant>
        <vt:i4>0</vt:i4>
      </vt:variant>
      <vt:variant>
        <vt:i4>5</vt:i4>
      </vt:variant>
      <vt:variant>
        <vt:lpwstr/>
      </vt:variant>
      <vt:variant>
        <vt:lpwstr>_Toc26123167</vt:lpwstr>
      </vt:variant>
      <vt:variant>
        <vt:i4>1310774</vt:i4>
      </vt:variant>
      <vt:variant>
        <vt:i4>1493</vt:i4>
      </vt:variant>
      <vt:variant>
        <vt:i4>0</vt:i4>
      </vt:variant>
      <vt:variant>
        <vt:i4>5</vt:i4>
      </vt:variant>
      <vt:variant>
        <vt:lpwstr/>
      </vt:variant>
      <vt:variant>
        <vt:lpwstr>_Toc26123166</vt:lpwstr>
      </vt:variant>
      <vt:variant>
        <vt:i4>1507382</vt:i4>
      </vt:variant>
      <vt:variant>
        <vt:i4>1487</vt:i4>
      </vt:variant>
      <vt:variant>
        <vt:i4>0</vt:i4>
      </vt:variant>
      <vt:variant>
        <vt:i4>5</vt:i4>
      </vt:variant>
      <vt:variant>
        <vt:lpwstr/>
      </vt:variant>
      <vt:variant>
        <vt:lpwstr>_Toc26123165</vt:lpwstr>
      </vt:variant>
      <vt:variant>
        <vt:i4>1441846</vt:i4>
      </vt:variant>
      <vt:variant>
        <vt:i4>1481</vt:i4>
      </vt:variant>
      <vt:variant>
        <vt:i4>0</vt:i4>
      </vt:variant>
      <vt:variant>
        <vt:i4>5</vt:i4>
      </vt:variant>
      <vt:variant>
        <vt:lpwstr/>
      </vt:variant>
      <vt:variant>
        <vt:lpwstr>_Toc26123164</vt:lpwstr>
      </vt:variant>
      <vt:variant>
        <vt:i4>1114166</vt:i4>
      </vt:variant>
      <vt:variant>
        <vt:i4>1475</vt:i4>
      </vt:variant>
      <vt:variant>
        <vt:i4>0</vt:i4>
      </vt:variant>
      <vt:variant>
        <vt:i4>5</vt:i4>
      </vt:variant>
      <vt:variant>
        <vt:lpwstr/>
      </vt:variant>
      <vt:variant>
        <vt:lpwstr>_Toc26123163</vt:lpwstr>
      </vt:variant>
      <vt:variant>
        <vt:i4>1048630</vt:i4>
      </vt:variant>
      <vt:variant>
        <vt:i4>1469</vt:i4>
      </vt:variant>
      <vt:variant>
        <vt:i4>0</vt:i4>
      </vt:variant>
      <vt:variant>
        <vt:i4>5</vt:i4>
      </vt:variant>
      <vt:variant>
        <vt:lpwstr/>
      </vt:variant>
      <vt:variant>
        <vt:lpwstr>_Toc26123162</vt:lpwstr>
      </vt:variant>
      <vt:variant>
        <vt:i4>1245238</vt:i4>
      </vt:variant>
      <vt:variant>
        <vt:i4>1463</vt:i4>
      </vt:variant>
      <vt:variant>
        <vt:i4>0</vt:i4>
      </vt:variant>
      <vt:variant>
        <vt:i4>5</vt:i4>
      </vt:variant>
      <vt:variant>
        <vt:lpwstr/>
      </vt:variant>
      <vt:variant>
        <vt:lpwstr>_Toc26123161</vt:lpwstr>
      </vt:variant>
      <vt:variant>
        <vt:i4>1179702</vt:i4>
      </vt:variant>
      <vt:variant>
        <vt:i4>1457</vt:i4>
      </vt:variant>
      <vt:variant>
        <vt:i4>0</vt:i4>
      </vt:variant>
      <vt:variant>
        <vt:i4>5</vt:i4>
      </vt:variant>
      <vt:variant>
        <vt:lpwstr/>
      </vt:variant>
      <vt:variant>
        <vt:lpwstr>_Toc26123160</vt:lpwstr>
      </vt:variant>
      <vt:variant>
        <vt:i4>1769525</vt:i4>
      </vt:variant>
      <vt:variant>
        <vt:i4>1451</vt:i4>
      </vt:variant>
      <vt:variant>
        <vt:i4>0</vt:i4>
      </vt:variant>
      <vt:variant>
        <vt:i4>5</vt:i4>
      </vt:variant>
      <vt:variant>
        <vt:lpwstr/>
      </vt:variant>
      <vt:variant>
        <vt:lpwstr>_Toc26123159</vt:lpwstr>
      </vt:variant>
      <vt:variant>
        <vt:i4>1703989</vt:i4>
      </vt:variant>
      <vt:variant>
        <vt:i4>1445</vt:i4>
      </vt:variant>
      <vt:variant>
        <vt:i4>0</vt:i4>
      </vt:variant>
      <vt:variant>
        <vt:i4>5</vt:i4>
      </vt:variant>
      <vt:variant>
        <vt:lpwstr/>
      </vt:variant>
      <vt:variant>
        <vt:lpwstr>_Toc26123158</vt:lpwstr>
      </vt:variant>
      <vt:variant>
        <vt:i4>1376309</vt:i4>
      </vt:variant>
      <vt:variant>
        <vt:i4>1439</vt:i4>
      </vt:variant>
      <vt:variant>
        <vt:i4>0</vt:i4>
      </vt:variant>
      <vt:variant>
        <vt:i4>5</vt:i4>
      </vt:variant>
      <vt:variant>
        <vt:lpwstr/>
      </vt:variant>
      <vt:variant>
        <vt:lpwstr>_Toc26123157</vt:lpwstr>
      </vt:variant>
      <vt:variant>
        <vt:i4>1310773</vt:i4>
      </vt:variant>
      <vt:variant>
        <vt:i4>1433</vt:i4>
      </vt:variant>
      <vt:variant>
        <vt:i4>0</vt:i4>
      </vt:variant>
      <vt:variant>
        <vt:i4>5</vt:i4>
      </vt:variant>
      <vt:variant>
        <vt:lpwstr/>
      </vt:variant>
      <vt:variant>
        <vt:lpwstr>_Toc26123156</vt:lpwstr>
      </vt:variant>
      <vt:variant>
        <vt:i4>1507381</vt:i4>
      </vt:variant>
      <vt:variant>
        <vt:i4>1427</vt:i4>
      </vt:variant>
      <vt:variant>
        <vt:i4>0</vt:i4>
      </vt:variant>
      <vt:variant>
        <vt:i4>5</vt:i4>
      </vt:variant>
      <vt:variant>
        <vt:lpwstr/>
      </vt:variant>
      <vt:variant>
        <vt:lpwstr>_Toc26123155</vt:lpwstr>
      </vt:variant>
      <vt:variant>
        <vt:i4>1441845</vt:i4>
      </vt:variant>
      <vt:variant>
        <vt:i4>1421</vt:i4>
      </vt:variant>
      <vt:variant>
        <vt:i4>0</vt:i4>
      </vt:variant>
      <vt:variant>
        <vt:i4>5</vt:i4>
      </vt:variant>
      <vt:variant>
        <vt:lpwstr/>
      </vt:variant>
      <vt:variant>
        <vt:lpwstr>_Toc26123154</vt:lpwstr>
      </vt:variant>
      <vt:variant>
        <vt:i4>1114165</vt:i4>
      </vt:variant>
      <vt:variant>
        <vt:i4>1415</vt:i4>
      </vt:variant>
      <vt:variant>
        <vt:i4>0</vt:i4>
      </vt:variant>
      <vt:variant>
        <vt:i4>5</vt:i4>
      </vt:variant>
      <vt:variant>
        <vt:lpwstr/>
      </vt:variant>
      <vt:variant>
        <vt:lpwstr>_Toc26123153</vt:lpwstr>
      </vt:variant>
      <vt:variant>
        <vt:i4>1048629</vt:i4>
      </vt:variant>
      <vt:variant>
        <vt:i4>1409</vt:i4>
      </vt:variant>
      <vt:variant>
        <vt:i4>0</vt:i4>
      </vt:variant>
      <vt:variant>
        <vt:i4>5</vt:i4>
      </vt:variant>
      <vt:variant>
        <vt:lpwstr/>
      </vt:variant>
      <vt:variant>
        <vt:lpwstr>_Toc26123152</vt:lpwstr>
      </vt:variant>
      <vt:variant>
        <vt:i4>1245237</vt:i4>
      </vt:variant>
      <vt:variant>
        <vt:i4>1403</vt:i4>
      </vt:variant>
      <vt:variant>
        <vt:i4>0</vt:i4>
      </vt:variant>
      <vt:variant>
        <vt:i4>5</vt:i4>
      </vt:variant>
      <vt:variant>
        <vt:lpwstr/>
      </vt:variant>
      <vt:variant>
        <vt:lpwstr>_Toc26123151</vt:lpwstr>
      </vt:variant>
      <vt:variant>
        <vt:i4>1179701</vt:i4>
      </vt:variant>
      <vt:variant>
        <vt:i4>1397</vt:i4>
      </vt:variant>
      <vt:variant>
        <vt:i4>0</vt:i4>
      </vt:variant>
      <vt:variant>
        <vt:i4>5</vt:i4>
      </vt:variant>
      <vt:variant>
        <vt:lpwstr/>
      </vt:variant>
      <vt:variant>
        <vt:lpwstr>_Toc26123150</vt:lpwstr>
      </vt:variant>
      <vt:variant>
        <vt:i4>1769524</vt:i4>
      </vt:variant>
      <vt:variant>
        <vt:i4>1391</vt:i4>
      </vt:variant>
      <vt:variant>
        <vt:i4>0</vt:i4>
      </vt:variant>
      <vt:variant>
        <vt:i4>5</vt:i4>
      </vt:variant>
      <vt:variant>
        <vt:lpwstr/>
      </vt:variant>
      <vt:variant>
        <vt:lpwstr>_Toc26123149</vt:lpwstr>
      </vt:variant>
      <vt:variant>
        <vt:i4>1703988</vt:i4>
      </vt:variant>
      <vt:variant>
        <vt:i4>1385</vt:i4>
      </vt:variant>
      <vt:variant>
        <vt:i4>0</vt:i4>
      </vt:variant>
      <vt:variant>
        <vt:i4>5</vt:i4>
      </vt:variant>
      <vt:variant>
        <vt:lpwstr/>
      </vt:variant>
      <vt:variant>
        <vt:lpwstr>_Toc26123148</vt:lpwstr>
      </vt:variant>
      <vt:variant>
        <vt:i4>1376308</vt:i4>
      </vt:variant>
      <vt:variant>
        <vt:i4>1379</vt:i4>
      </vt:variant>
      <vt:variant>
        <vt:i4>0</vt:i4>
      </vt:variant>
      <vt:variant>
        <vt:i4>5</vt:i4>
      </vt:variant>
      <vt:variant>
        <vt:lpwstr/>
      </vt:variant>
      <vt:variant>
        <vt:lpwstr>_Toc26123147</vt:lpwstr>
      </vt:variant>
      <vt:variant>
        <vt:i4>1310772</vt:i4>
      </vt:variant>
      <vt:variant>
        <vt:i4>1373</vt:i4>
      </vt:variant>
      <vt:variant>
        <vt:i4>0</vt:i4>
      </vt:variant>
      <vt:variant>
        <vt:i4>5</vt:i4>
      </vt:variant>
      <vt:variant>
        <vt:lpwstr/>
      </vt:variant>
      <vt:variant>
        <vt:lpwstr>_Toc26123146</vt:lpwstr>
      </vt:variant>
      <vt:variant>
        <vt:i4>1507380</vt:i4>
      </vt:variant>
      <vt:variant>
        <vt:i4>1367</vt:i4>
      </vt:variant>
      <vt:variant>
        <vt:i4>0</vt:i4>
      </vt:variant>
      <vt:variant>
        <vt:i4>5</vt:i4>
      </vt:variant>
      <vt:variant>
        <vt:lpwstr/>
      </vt:variant>
      <vt:variant>
        <vt:lpwstr>_Toc26123145</vt:lpwstr>
      </vt:variant>
      <vt:variant>
        <vt:i4>1441844</vt:i4>
      </vt:variant>
      <vt:variant>
        <vt:i4>1361</vt:i4>
      </vt:variant>
      <vt:variant>
        <vt:i4>0</vt:i4>
      </vt:variant>
      <vt:variant>
        <vt:i4>5</vt:i4>
      </vt:variant>
      <vt:variant>
        <vt:lpwstr/>
      </vt:variant>
      <vt:variant>
        <vt:lpwstr>_Toc26123144</vt:lpwstr>
      </vt:variant>
      <vt:variant>
        <vt:i4>1114164</vt:i4>
      </vt:variant>
      <vt:variant>
        <vt:i4>1355</vt:i4>
      </vt:variant>
      <vt:variant>
        <vt:i4>0</vt:i4>
      </vt:variant>
      <vt:variant>
        <vt:i4>5</vt:i4>
      </vt:variant>
      <vt:variant>
        <vt:lpwstr/>
      </vt:variant>
      <vt:variant>
        <vt:lpwstr>_Toc26123143</vt:lpwstr>
      </vt:variant>
      <vt:variant>
        <vt:i4>1048628</vt:i4>
      </vt:variant>
      <vt:variant>
        <vt:i4>1349</vt:i4>
      </vt:variant>
      <vt:variant>
        <vt:i4>0</vt:i4>
      </vt:variant>
      <vt:variant>
        <vt:i4>5</vt:i4>
      </vt:variant>
      <vt:variant>
        <vt:lpwstr/>
      </vt:variant>
      <vt:variant>
        <vt:lpwstr>_Toc26123142</vt:lpwstr>
      </vt:variant>
      <vt:variant>
        <vt:i4>1245236</vt:i4>
      </vt:variant>
      <vt:variant>
        <vt:i4>1343</vt:i4>
      </vt:variant>
      <vt:variant>
        <vt:i4>0</vt:i4>
      </vt:variant>
      <vt:variant>
        <vt:i4>5</vt:i4>
      </vt:variant>
      <vt:variant>
        <vt:lpwstr/>
      </vt:variant>
      <vt:variant>
        <vt:lpwstr>_Toc26123141</vt:lpwstr>
      </vt:variant>
      <vt:variant>
        <vt:i4>1179700</vt:i4>
      </vt:variant>
      <vt:variant>
        <vt:i4>1337</vt:i4>
      </vt:variant>
      <vt:variant>
        <vt:i4>0</vt:i4>
      </vt:variant>
      <vt:variant>
        <vt:i4>5</vt:i4>
      </vt:variant>
      <vt:variant>
        <vt:lpwstr/>
      </vt:variant>
      <vt:variant>
        <vt:lpwstr>_Toc26123140</vt:lpwstr>
      </vt:variant>
      <vt:variant>
        <vt:i4>1769523</vt:i4>
      </vt:variant>
      <vt:variant>
        <vt:i4>1331</vt:i4>
      </vt:variant>
      <vt:variant>
        <vt:i4>0</vt:i4>
      </vt:variant>
      <vt:variant>
        <vt:i4>5</vt:i4>
      </vt:variant>
      <vt:variant>
        <vt:lpwstr/>
      </vt:variant>
      <vt:variant>
        <vt:lpwstr>_Toc26123139</vt:lpwstr>
      </vt:variant>
      <vt:variant>
        <vt:i4>1703987</vt:i4>
      </vt:variant>
      <vt:variant>
        <vt:i4>1325</vt:i4>
      </vt:variant>
      <vt:variant>
        <vt:i4>0</vt:i4>
      </vt:variant>
      <vt:variant>
        <vt:i4>5</vt:i4>
      </vt:variant>
      <vt:variant>
        <vt:lpwstr/>
      </vt:variant>
      <vt:variant>
        <vt:lpwstr>_Toc26123138</vt:lpwstr>
      </vt:variant>
      <vt:variant>
        <vt:i4>1376307</vt:i4>
      </vt:variant>
      <vt:variant>
        <vt:i4>1319</vt:i4>
      </vt:variant>
      <vt:variant>
        <vt:i4>0</vt:i4>
      </vt:variant>
      <vt:variant>
        <vt:i4>5</vt:i4>
      </vt:variant>
      <vt:variant>
        <vt:lpwstr/>
      </vt:variant>
      <vt:variant>
        <vt:lpwstr>_Toc26123137</vt:lpwstr>
      </vt:variant>
      <vt:variant>
        <vt:i4>1310771</vt:i4>
      </vt:variant>
      <vt:variant>
        <vt:i4>1313</vt:i4>
      </vt:variant>
      <vt:variant>
        <vt:i4>0</vt:i4>
      </vt:variant>
      <vt:variant>
        <vt:i4>5</vt:i4>
      </vt:variant>
      <vt:variant>
        <vt:lpwstr/>
      </vt:variant>
      <vt:variant>
        <vt:lpwstr>_Toc26123136</vt:lpwstr>
      </vt:variant>
      <vt:variant>
        <vt:i4>1507379</vt:i4>
      </vt:variant>
      <vt:variant>
        <vt:i4>1307</vt:i4>
      </vt:variant>
      <vt:variant>
        <vt:i4>0</vt:i4>
      </vt:variant>
      <vt:variant>
        <vt:i4>5</vt:i4>
      </vt:variant>
      <vt:variant>
        <vt:lpwstr/>
      </vt:variant>
      <vt:variant>
        <vt:lpwstr>_Toc26123135</vt:lpwstr>
      </vt:variant>
      <vt:variant>
        <vt:i4>1441843</vt:i4>
      </vt:variant>
      <vt:variant>
        <vt:i4>1301</vt:i4>
      </vt:variant>
      <vt:variant>
        <vt:i4>0</vt:i4>
      </vt:variant>
      <vt:variant>
        <vt:i4>5</vt:i4>
      </vt:variant>
      <vt:variant>
        <vt:lpwstr/>
      </vt:variant>
      <vt:variant>
        <vt:lpwstr>_Toc26123134</vt:lpwstr>
      </vt:variant>
      <vt:variant>
        <vt:i4>1114163</vt:i4>
      </vt:variant>
      <vt:variant>
        <vt:i4>1295</vt:i4>
      </vt:variant>
      <vt:variant>
        <vt:i4>0</vt:i4>
      </vt:variant>
      <vt:variant>
        <vt:i4>5</vt:i4>
      </vt:variant>
      <vt:variant>
        <vt:lpwstr/>
      </vt:variant>
      <vt:variant>
        <vt:lpwstr>_Toc26123133</vt:lpwstr>
      </vt:variant>
      <vt:variant>
        <vt:i4>1048627</vt:i4>
      </vt:variant>
      <vt:variant>
        <vt:i4>1289</vt:i4>
      </vt:variant>
      <vt:variant>
        <vt:i4>0</vt:i4>
      </vt:variant>
      <vt:variant>
        <vt:i4>5</vt:i4>
      </vt:variant>
      <vt:variant>
        <vt:lpwstr/>
      </vt:variant>
      <vt:variant>
        <vt:lpwstr>_Toc26123132</vt:lpwstr>
      </vt:variant>
      <vt:variant>
        <vt:i4>1245235</vt:i4>
      </vt:variant>
      <vt:variant>
        <vt:i4>1283</vt:i4>
      </vt:variant>
      <vt:variant>
        <vt:i4>0</vt:i4>
      </vt:variant>
      <vt:variant>
        <vt:i4>5</vt:i4>
      </vt:variant>
      <vt:variant>
        <vt:lpwstr/>
      </vt:variant>
      <vt:variant>
        <vt:lpwstr>_Toc26123131</vt:lpwstr>
      </vt:variant>
      <vt:variant>
        <vt:i4>1179699</vt:i4>
      </vt:variant>
      <vt:variant>
        <vt:i4>1277</vt:i4>
      </vt:variant>
      <vt:variant>
        <vt:i4>0</vt:i4>
      </vt:variant>
      <vt:variant>
        <vt:i4>5</vt:i4>
      </vt:variant>
      <vt:variant>
        <vt:lpwstr/>
      </vt:variant>
      <vt:variant>
        <vt:lpwstr>_Toc26123130</vt:lpwstr>
      </vt:variant>
      <vt:variant>
        <vt:i4>1769522</vt:i4>
      </vt:variant>
      <vt:variant>
        <vt:i4>1271</vt:i4>
      </vt:variant>
      <vt:variant>
        <vt:i4>0</vt:i4>
      </vt:variant>
      <vt:variant>
        <vt:i4>5</vt:i4>
      </vt:variant>
      <vt:variant>
        <vt:lpwstr/>
      </vt:variant>
      <vt:variant>
        <vt:lpwstr>_Toc26123129</vt:lpwstr>
      </vt:variant>
      <vt:variant>
        <vt:i4>1703986</vt:i4>
      </vt:variant>
      <vt:variant>
        <vt:i4>1265</vt:i4>
      </vt:variant>
      <vt:variant>
        <vt:i4>0</vt:i4>
      </vt:variant>
      <vt:variant>
        <vt:i4>5</vt:i4>
      </vt:variant>
      <vt:variant>
        <vt:lpwstr/>
      </vt:variant>
      <vt:variant>
        <vt:lpwstr>_Toc26123128</vt:lpwstr>
      </vt:variant>
      <vt:variant>
        <vt:i4>1376306</vt:i4>
      </vt:variant>
      <vt:variant>
        <vt:i4>1259</vt:i4>
      </vt:variant>
      <vt:variant>
        <vt:i4>0</vt:i4>
      </vt:variant>
      <vt:variant>
        <vt:i4>5</vt:i4>
      </vt:variant>
      <vt:variant>
        <vt:lpwstr/>
      </vt:variant>
      <vt:variant>
        <vt:lpwstr>_Toc26123127</vt:lpwstr>
      </vt:variant>
      <vt:variant>
        <vt:i4>1310770</vt:i4>
      </vt:variant>
      <vt:variant>
        <vt:i4>1253</vt:i4>
      </vt:variant>
      <vt:variant>
        <vt:i4>0</vt:i4>
      </vt:variant>
      <vt:variant>
        <vt:i4>5</vt:i4>
      </vt:variant>
      <vt:variant>
        <vt:lpwstr/>
      </vt:variant>
      <vt:variant>
        <vt:lpwstr>_Toc26123126</vt:lpwstr>
      </vt:variant>
      <vt:variant>
        <vt:i4>1507378</vt:i4>
      </vt:variant>
      <vt:variant>
        <vt:i4>1247</vt:i4>
      </vt:variant>
      <vt:variant>
        <vt:i4>0</vt:i4>
      </vt:variant>
      <vt:variant>
        <vt:i4>5</vt:i4>
      </vt:variant>
      <vt:variant>
        <vt:lpwstr/>
      </vt:variant>
      <vt:variant>
        <vt:lpwstr>_Toc26123125</vt:lpwstr>
      </vt:variant>
      <vt:variant>
        <vt:i4>1441842</vt:i4>
      </vt:variant>
      <vt:variant>
        <vt:i4>1241</vt:i4>
      </vt:variant>
      <vt:variant>
        <vt:i4>0</vt:i4>
      </vt:variant>
      <vt:variant>
        <vt:i4>5</vt:i4>
      </vt:variant>
      <vt:variant>
        <vt:lpwstr/>
      </vt:variant>
      <vt:variant>
        <vt:lpwstr>_Toc26123124</vt:lpwstr>
      </vt:variant>
      <vt:variant>
        <vt:i4>1114162</vt:i4>
      </vt:variant>
      <vt:variant>
        <vt:i4>1235</vt:i4>
      </vt:variant>
      <vt:variant>
        <vt:i4>0</vt:i4>
      </vt:variant>
      <vt:variant>
        <vt:i4>5</vt:i4>
      </vt:variant>
      <vt:variant>
        <vt:lpwstr/>
      </vt:variant>
      <vt:variant>
        <vt:lpwstr>_Toc26123123</vt:lpwstr>
      </vt:variant>
      <vt:variant>
        <vt:i4>1048626</vt:i4>
      </vt:variant>
      <vt:variant>
        <vt:i4>1229</vt:i4>
      </vt:variant>
      <vt:variant>
        <vt:i4>0</vt:i4>
      </vt:variant>
      <vt:variant>
        <vt:i4>5</vt:i4>
      </vt:variant>
      <vt:variant>
        <vt:lpwstr/>
      </vt:variant>
      <vt:variant>
        <vt:lpwstr>_Toc26123122</vt:lpwstr>
      </vt:variant>
      <vt:variant>
        <vt:i4>8126562</vt:i4>
      </vt:variant>
      <vt:variant>
        <vt:i4>717</vt:i4>
      </vt:variant>
      <vt:variant>
        <vt:i4>0</vt:i4>
      </vt:variant>
      <vt:variant>
        <vt:i4>5</vt:i4>
      </vt:variant>
      <vt:variant>
        <vt:lpwstr>http://www.enu.hr/</vt:lpwstr>
      </vt:variant>
      <vt:variant>
        <vt:lpwstr/>
      </vt:variant>
      <vt:variant>
        <vt:i4>4980806</vt:i4>
      </vt:variant>
      <vt:variant>
        <vt:i4>537</vt:i4>
      </vt:variant>
      <vt:variant>
        <vt:i4>0</vt:i4>
      </vt:variant>
      <vt:variant>
        <vt:i4>5</vt:i4>
      </vt:variant>
      <vt:variant>
        <vt:lpwstr>http://www.zakon.hr/cms.htm?id=17725</vt:lpwstr>
      </vt:variant>
      <vt:variant>
        <vt:lpwstr/>
      </vt:variant>
      <vt:variant>
        <vt:i4>7929979</vt:i4>
      </vt:variant>
      <vt:variant>
        <vt:i4>534</vt:i4>
      </vt:variant>
      <vt:variant>
        <vt:i4>0</vt:i4>
      </vt:variant>
      <vt:variant>
        <vt:i4>5</vt:i4>
      </vt:variant>
      <vt:variant>
        <vt:lpwstr>http://www.zakon.hr/cms.htm?id=385</vt:lpwstr>
      </vt:variant>
      <vt:variant>
        <vt:lpwstr/>
      </vt:variant>
      <vt:variant>
        <vt:i4>7864443</vt:i4>
      </vt:variant>
      <vt:variant>
        <vt:i4>531</vt:i4>
      </vt:variant>
      <vt:variant>
        <vt:i4>0</vt:i4>
      </vt:variant>
      <vt:variant>
        <vt:i4>5</vt:i4>
      </vt:variant>
      <vt:variant>
        <vt:lpwstr>http://www.zakon.hr/cms.htm?id=384</vt:lpwstr>
      </vt:variant>
      <vt:variant>
        <vt:lpwstr/>
      </vt:variant>
      <vt:variant>
        <vt:i4>8323195</vt:i4>
      </vt:variant>
      <vt:variant>
        <vt:i4>528</vt:i4>
      </vt:variant>
      <vt:variant>
        <vt:i4>0</vt:i4>
      </vt:variant>
      <vt:variant>
        <vt:i4>5</vt:i4>
      </vt:variant>
      <vt:variant>
        <vt:lpwstr>http://www.zakon.hr/cms.htm?id=383</vt:lpwstr>
      </vt:variant>
      <vt:variant>
        <vt:lpwstr/>
      </vt:variant>
      <vt:variant>
        <vt:i4>8257659</vt:i4>
      </vt:variant>
      <vt:variant>
        <vt:i4>525</vt:i4>
      </vt:variant>
      <vt:variant>
        <vt:i4>0</vt:i4>
      </vt:variant>
      <vt:variant>
        <vt:i4>5</vt:i4>
      </vt:variant>
      <vt:variant>
        <vt:lpwstr>http://www.zakon.hr/cms.htm?id=382</vt:lpwstr>
      </vt:variant>
      <vt:variant>
        <vt:lpwstr/>
      </vt:variant>
      <vt:variant>
        <vt:i4>7995448</vt:i4>
      </vt:variant>
      <vt:variant>
        <vt:i4>411</vt:i4>
      </vt:variant>
      <vt:variant>
        <vt:i4>0</vt:i4>
      </vt:variant>
      <vt:variant>
        <vt:i4>5</vt:i4>
      </vt:variant>
      <vt:variant>
        <vt:lpwstr>https://www.enu.hr/</vt:lpwstr>
      </vt:variant>
      <vt:variant>
        <vt:lpwstr/>
      </vt:variant>
      <vt:variant>
        <vt:i4>5505059</vt:i4>
      </vt:variant>
      <vt:variant>
        <vt:i4>408</vt:i4>
      </vt:variant>
      <vt:variant>
        <vt:i4>0</vt:i4>
      </vt:variant>
      <vt:variant>
        <vt:i4>5</vt:i4>
      </vt:variant>
      <vt:variant>
        <vt:lpwstr>http://narodne-novine.nn.hr/clanci/sluzbeni/2015_02_18_389.html</vt:lpwstr>
      </vt:variant>
      <vt:variant>
        <vt:lpwstr/>
      </vt:variant>
      <vt:variant>
        <vt:i4>1245234</vt:i4>
      </vt:variant>
      <vt:variant>
        <vt:i4>236</vt:i4>
      </vt:variant>
      <vt:variant>
        <vt:i4>0</vt:i4>
      </vt:variant>
      <vt:variant>
        <vt:i4>5</vt:i4>
      </vt:variant>
      <vt:variant>
        <vt:lpwstr/>
      </vt:variant>
      <vt:variant>
        <vt:lpwstr>_Toc26123121</vt:lpwstr>
      </vt:variant>
      <vt:variant>
        <vt:i4>1179698</vt:i4>
      </vt:variant>
      <vt:variant>
        <vt:i4>230</vt:i4>
      </vt:variant>
      <vt:variant>
        <vt:i4>0</vt:i4>
      </vt:variant>
      <vt:variant>
        <vt:i4>5</vt:i4>
      </vt:variant>
      <vt:variant>
        <vt:lpwstr/>
      </vt:variant>
      <vt:variant>
        <vt:lpwstr>_Toc26123120</vt:lpwstr>
      </vt:variant>
      <vt:variant>
        <vt:i4>1769521</vt:i4>
      </vt:variant>
      <vt:variant>
        <vt:i4>224</vt:i4>
      </vt:variant>
      <vt:variant>
        <vt:i4>0</vt:i4>
      </vt:variant>
      <vt:variant>
        <vt:i4>5</vt:i4>
      </vt:variant>
      <vt:variant>
        <vt:lpwstr/>
      </vt:variant>
      <vt:variant>
        <vt:lpwstr>_Toc26123119</vt:lpwstr>
      </vt:variant>
      <vt:variant>
        <vt:i4>1703985</vt:i4>
      </vt:variant>
      <vt:variant>
        <vt:i4>218</vt:i4>
      </vt:variant>
      <vt:variant>
        <vt:i4>0</vt:i4>
      </vt:variant>
      <vt:variant>
        <vt:i4>5</vt:i4>
      </vt:variant>
      <vt:variant>
        <vt:lpwstr/>
      </vt:variant>
      <vt:variant>
        <vt:lpwstr>_Toc26123118</vt:lpwstr>
      </vt:variant>
      <vt:variant>
        <vt:i4>1376305</vt:i4>
      </vt:variant>
      <vt:variant>
        <vt:i4>212</vt:i4>
      </vt:variant>
      <vt:variant>
        <vt:i4>0</vt:i4>
      </vt:variant>
      <vt:variant>
        <vt:i4>5</vt:i4>
      </vt:variant>
      <vt:variant>
        <vt:lpwstr/>
      </vt:variant>
      <vt:variant>
        <vt:lpwstr>_Toc26123117</vt:lpwstr>
      </vt:variant>
      <vt:variant>
        <vt:i4>1310769</vt:i4>
      </vt:variant>
      <vt:variant>
        <vt:i4>206</vt:i4>
      </vt:variant>
      <vt:variant>
        <vt:i4>0</vt:i4>
      </vt:variant>
      <vt:variant>
        <vt:i4>5</vt:i4>
      </vt:variant>
      <vt:variant>
        <vt:lpwstr/>
      </vt:variant>
      <vt:variant>
        <vt:lpwstr>_Toc26123116</vt:lpwstr>
      </vt:variant>
      <vt:variant>
        <vt:i4>1507377</vt:i4>
      </vt:variant>
      <vt:variant>
        <vt:i4>200</vt:i4>
      </vt:variant>
      <vt:variant>
        <vt:i4>0</vt:i4>
      </vt:variant>
      <vt:variant>
        <vt:i4>5</vt:i4>
      </vt:variant>
      <vt:variant>
        <vt:lpwstr/>
      </vt:variant>
      <vt:variant>
        <vt:lpwstr>_Toc26123115</vt:lpwstr>
      </vt:variant>
      <vt:variant>
        <vt:i4>1441841</vt:i4>
      </vt:variant>
      <vt:variant>
        <vt:i4>194</vt:i4>
      </vt:variant>
      <vt:variant>
        <vt:i4>0</vt:i4>
      </vt:variant>
      <vt:variant>
        <vt:i4>5</vt:i4>
      </vt:variant>
      <vt:variant>
        <vt:lpwstr/>
      </vt:variant>
      <vt:variant>
        <vt:lpwstr>_Toc26123114</vt:lpwstr>
      </vt:variant>
      <vt:variant>
        <vt:i4>1114161</vt:i4>
      </vt:variant>
      <vt:variant>
        <vt:i4>188</vt:i4>
      </vt:variant>
      <vt:variant>
        <vt:i4>0</vt:i4>
      </vt:variant>
      <vt:variant>
        <vt:i4>5</vt:i4>
      </vt:variant>
      <vt:variant>
        <vt:lpwstr/>
      </vt:variant>
      <vt:variant>
        <vt:lpwstr>_Toc26123113</vt:lpwstr>
      </vt:variant>
      <vt:variant>
        <vt:i4>1048625</vt:i4>
      </vt:variant>
      <vt:variant>
        <vt:i4>182</vt:i4>
      </vt:variant>
      <vt:variant>
        <vt:i4>0</vt:i4>
      </vt:variant>
      <vt:variant>
        <vt:i4>5</vt:i4>
      </vt:variant>
      <vt:variant>
        <vt:lpwstr/>
      </vt:variant>
      <vt:variant>
        <vt:lpwstr>_Toc26123112</vt:lpwstr>
      </vt:variant>
      <vt:variant>
        <vt:i4>1245233</vt:i4>
      </vt:variant>
      <vt:variant>
        <vt:i4>176</vt:i4>
      </vt:variant>
      <vt:variant>
        <vt:i4>0</vt:i4>
      </vt:variant>
      <vt:variant>
        <vt:i4>5</vt:i4>
      </vt:variant>
      <vt:variant>
        <vt:lpwstr/>
      </vt:variant>
      <vt:variant>
        <vt:lpwstr>_Toc26123111</vt:lpwstr>
      </vt:variant>
      <vt:variant>
        <vt:i4>1179697</vt:i4>
      </vt:variant>
      <vt:variant>
        <vt:i4>170</vt:i4>
      </vt:variant>
      <vt:variant>
        <vt:i4>0</vt:i4>
      </vt:variant>
      <vt:variant>
        <vt:i4>5</vt:i4>
      </vt:variant>
      <vt:variant>
        <vt:lpwstr/>
      </vt:variant>
      <vt:variant>
        <vt:lpwstr>_Toc26123110</vt:lpwstr>
      </vt:variant>
      <vt:variant>
        <vt:i4>1769520</vt:i4>
      </vt:variant>
      <vt:variant>
        <vt:i4>164</vt:i4>
      </vt:variant>
      <vt:variant>
        <vt:i4>0</vt:i4>
      </vt:variant>
      <vt:variant>
        <vt:i4>5</vt:i4>
      </vt:variant>
      <vt:variant>
        <vt:lpwstr/>
      </vt:variant>
      <vt:variant>
        <vt:lpwstr>_Toc26123109</vt:lpwstr>
      </vt:variant>
      <vt:variant>
        <vt:i4>1703984</vt:i4>
      </vt:variant>
      <vt:variant>
        <vt:i4>158</vt:i4>
      </vt:variant>
      <vt:variant>
        <vt:i4>0</vt:i4>
      </vt:variant>
      <vt:variant>
        <vt:i4>5</vt:i4>
      </vt:variant>
      <vt:variant>
        <vt:lpwstr/>
      </vt:variant>
      <vt:variant>
        <vt:lpwstr>_Toc26123108</vt:lpwstr>
      </vt:variant>
      <vt:variant>
        <vt:i4>1376304</vt:i4>
      </vt:variant>
      <vt:variant>
        <vt:i4>152</vt:i4>
      </vt:variant>
      <vt:variant>
        <vt:i4>0</vt:i4>
      </vt:variant>
      <vt:variant>
        <vt:i4>5</vt:i4>
      </vt:variant>
      <vt:variant>
        <vt:lpwstr/>
      </vt:variant>
      <vt:variant>
        <vt:lpwstr>_Toc26123107</vt:lpwstr>
      </vt:variant>
      <vt:variant>
        <vt:i4>1310768</vt:i4>
      </vt:variant>
      <vt:variant>
        <vt:i4>146</vt:i4>
      </vt:variant>
      <vt:variant>
        <vt:i4>0</vt:i4>
      </vt:variant>
      <vt:variant>
        <vt:i4>5</vt:i4>
      </vt:variant>
      <vt:variant>
        <vt:lpwstr/>
      </vt:variant>
      <vt:variant>
        <vt:lpwstr>_Toc26123106</vt:lpwstr>
      </vt:variant>
      <vt:variant>
        <vt:i4>1507376</vt:i4>
      </vt:variant>
      <vt:variant>
        <vt:i4>140</vt:i4>
      </vt:variant>
      <vt:variant>
        <vt:i4>0</vt:i4>
      </vt:variant>
      <vt:variant>
        <vt:i4>5</vt:i4>
      </vt:variant>
      <vt:variant>
        <vt:lpwstr/>
      </vt:variant>
      <vt:variant>
        <vt:lpwstr>_Toc26123105</vt:lpwstr>
      </vt:variant>
      <vt:variant>
        <vt:i4>1441840</vt:i4>
      </vt:variant>
      <vt:variant>
        <vt:i4>134</vt:i4>
      </vt:variant>
      <vt:variant>
        <vt:i4>0</vt:i4>
      </vt:variant>
      <vt:variant>
        <vt:i4>5</vt:i4>
      </vt:variant>
      <vt:variant>
        <vt:lpwstr/>
      </vt:variant>
      <vt:variant>
        <vt:lpwstr>_Toc26123104</vt:lpwstr>
      </vt:variant>
      <vt:variant>
        <vt:i4>1114160</vt:i4>
      </vt:variant>
      <vt:variant>
        <vt:i4>128</vt:i4>
      </vt:variant>
      <vt:variant>
        <vt:i4>0</vt:i4>
      </vt:variant>
      <vt:variant>
        <vt:i4>5</vt:i4>
      </vt:variant>
      <vt:variant>
        <vt:lpwstr/>
      </vt:variant>
      <vt:variant>
        <vt:lpwstr>_Toc26123103</vt:lpwstr>
      </vt:variant>
      <vt:variant>
        <vt:i4>1048624</vt:i4>
      </vt:variant>
      <vt:variant>
        <vt:i4>122</vt:i4>
      </vt:variant>
      <vt:variant>
        <vt:i4>0</vt:i4>
      </vt:variant>
      <vt:variant>
        <vt:i4>5</vt:i4>
      </vt:variant>
      <vt:variant>
        <vt:lpwstr/>
      </vt:variant>
      <vt:variant>
        <vt:lpwstr>_Toc26123102</vt:lpwstr>
      </vt:variant>
      <vt:variant>
        <vt:i4>1245232</vt:i4>
      </vt:variant>
      <vt:variant>
        <vt:i4>116</vt:i4>
      </vt:variant>
      <vt:variant>
        <vt:i4>0</vt:i4>
      </vt:variant>
      <vt:variant>
        <vt:i4>5</vt:i4>
      </vt:variant>
      <vt:variant>
        <vt:lpwstr/>
      </vt:variant>
      <vt:variant>
        <vt:lpwstr>_Toc26123101</vt:lpwstr>
      </vt:variant>
      <vt:variant>
        <vt:i4>1179696</vt:i4>
      </vt:variant>
      <vt:variant>
        <vt:i4>110</vt:i4>
      </vt:variant>
      <vt:variant>
        <vt:i4>0</vt:i4>
      </vt:variant>
      <vt:variant>
        <vt:i4>5</vt:i4>
      </vt:variant>
      <vt:variant>
        <vt:lpwstr/>
      </vt:variant>
      <vt:variant>
        <vt:lpwstr>_Toc26123100</vt:lpwstr>
      </vt:variant>
      <vt:variant>
        <vt:i4>1703993</vt:i4>
      </vt:variant>
      <vt:variant>
        <vt:i4>104</vt:i4>
      </vt:variant>
      <vt:variant>
        <vt:i4>0</vt:i4>
      </vt:variant>
      <vt:variant>
        <vt:i4>5</vt:i4>
      </vt:variant>
      <vt:variant>
        <vt:lpwstr/>
      </vt:variant>
      <vt:variant>
        <vt:lpwstr>_Toc26123099</vt:lpwstr>
      </vt:variant>
      <vt:variant>
        <vt:i4>1769529</vt:i4>
      </vt:variant>
      <vt:variant>
        <vt:i4>98</vt:i4>
      </vt:variant>
      <vt:variant>
        <vt:i4>0</vt:i4>
      </vt:variant>
      <vt:variant>
        <vt:i4>5</vt:i4>
      </vt:variant>
      <vt:variant>
        <vt:lpwstr/>
      </vt:variant>
      <vt:variant>
        <vt:lpwstr>_Toc26123098</vt:lpwstr>
      </vt:variant>
      <vt:variant>
        <vt:i4>1310777</vt:i4>
      </vt:variant>
      <vt:variant>
        <vt:i4>92</vt:i4>
      </vt:variant>
      <vt:variant>
        <vt:i4>0</vt:i4>
      </vt:variant>
      <vt:variant>
        <vt:i4>5</vt:i4>
      </vt:variant>
      <vt:variant>
        <vt:lpwstr/>
      </vt:variant>
      <vt:variant>
        <vt:lpwstr>_Toc26123097</vt:lpwstr>
      </vt:variant>
      <vt:variant>
        <vt:i4>1376313</vt:i4>
      </vt:variant>
      <vt:variant>
        <vt:i4>86</vt:i4>
      </vt:variant>
      <vt:variant>
        <vt:i4>0</vt:i4>
      </vt:variant>
      <vt:variant>
        <vt:i4>5</vt:i4>
      </vt:variant>
      <vt:variant>
        <vt:lpwstr/>
      </vt:variant>
      <vt:variant>
        <vt:lpwstr>_Toc26123096</vt:lpwstr>
      </vt:variant>
      <vt:variant>
        <vt:i4>1441849</vt:i4>
      </vt:variant>
      <vt:variant>
        <vt:i4>80</vt:i4>
      </vt:variant>
      <vt:variant>
        <vt:i4>0</vt:i4>
      </vt:variant>
      <vt:variant>
        <vt:i4>5</vt:i4>
      </vt:variant>
      <vt:variant>
        <vt:lpwstr/>
      </vt:variant>
      <vt:variant>
        <vt:lpwstr>_Toc26123095</vt:lpwstr>
      </vt:variant>
      <vt:variant>
        <vt:i4>1507385</vt:i4>
      </vt:variant>
      <vt:variant>
        <vt:i4>74</vt:i4>
      </vt:variant>
      <vt:variant>
        <vt:i4>0</vt:i4>
      </vt:variant>
      <vt:variant>
        <vt:i4>5</vt:i4>
      </vt:variant>
      <vt:variant>
        <vt:lpwstr/>
      </vt:variant>
      <vt:variant>
        <vt:lpwstr>_Toc26123094</vt:lpwstr>
      </vt:variant>
      <vt:variant>
        <vt:i4>1048633</vt:i4>
      </vt:variant>
      <vt:variant>
        <vt:i4>68</vt:i4>
      </vt:variant>
      <vt:variant>
        <vt:i4>0</vt:i4>
      </vt:variant>
      <vt:variant>
        <vt:i4>5</vt:i4>
      </vt:variant>
      <vt:variant>
        <vt:lpwstr/>
      </vt:variant>
      <vt:variant>
        <vt:lpwstr>_Toc26123093</vt:lpwstr>
      </vt:variant>
      <vt:variant>
        <vt:i4>1114169</vt:i4>
      </vt:variant>
      <vt:variant>
        <vt:i4>62</vt:i4>
      </vt:variant>
      <vt:variant>
        <vt:i4>0</vt:i4>
      </vt:variant>
      <vt:variant>
        <vt:i4>5</vt:i4>
      </vt:variant>
      <vt:variant>
        <vt:lpwstr/>
      </vt:variant>
      <vt:variant>
        <vt:lpwstr>_Toc26123092</vt:lpwstr>
      </vt:variant>
      <vt:variant>
        <vt:i4>1179705</vt:i4>
      </vt:variant>
      <vt:variant>
        <vt:i4>56</vt:i4>
      </vt:variant>
      <vt:variant>
        <vt:i4>0</vt:i4>
      </vt:variant>
      <vt:variant>
        <vt:i4>5</vt:i4>
      </vt:variant>
      <vt:variant>
        <vt:lpwstr/>
      </vt:variant>
      <vt:variant>
        <vt:lpwstr>_Toc26123091</vt:lpwstr>
      </vt:variant>
      <vt:variant>
        <vt:i4>1245241</vt:i4>
      </vt:variant>
      <vt:variant>
        <vt:i4>50</vt:i4>
      </vt:variant>
      <vt:variant>
        <vt:i4>0</vt:i4>
      </vt:variant>
      <vt:variant>
        <vt:i4>5</vt:i4>
      </vt:variant>
      <vt:variant>
        <vt:lpwstr/>
      </vt:variant>
      <vt:variant>
        <vt:lpwstr>_Toc26123090</vt:lpwstr>
      </vt:variant>
      <vt:variant>
        <vt:i4>1703992</vt:i4>
      </vt:variant>
      <vt:variant>
        <vt:i4>44</vt:i4>
      </vt:variant>
      <vt:variant>
        <vt:i4>0</vt:i4>
      </vt:variant>
      <vt:variant>
        <vt:i4>5</vt:i4>
      </vt:variant>
      <vt:variant>
        <vt:lpwstr/>
      </vt:variant>
      <vt:variant>
        <vt:lpwstr>_Toc26123089</vt:lpwstr>
      </vt:variant>
      <vt:variant>
        <vt:i4>1769528</vt:i4>
      </vt:variant>
      <vt:variant>
        <vt:i4>38</vt:i4>
      </vt:variant>
      <vt:variant>
        <vt:i4>0</vt:i4>
      </vt:variant>
      <vt:variant>
        <vt:i4>5</vt:i4>
      </vt:variant>
      <vt:variant>
        <vt:lpwstr/>
      </vt:variant>
      <vt:variant>
        <vt:lpwstr>_Toc26123088</vt:lpwstr>
      </vt:variant>
      <vt:variant>
        <vt:i4>1310776</vt:i4>
      </vt:variant>
      <vt:variant>
        <vt:i4>32</vt:i4>
      </vt:variant>
      <vt:variant>
        <vt:i4>0</vt:i4>
      </vt:variant>
      <vt:variant>
        <vt:i4>5</vt:i4>
      </vt:variant>
      <vt:variant>
        <vt:lpwstr/>
      </vt:variant>
      <vt:variant>
        <vt:lpwstr>_Toc26123087</vt:lpwstr>
      </vt:variant>
      <vt:variant>
        <vt:i4>1376312</vt:i4>
      </vt:variant>
      <vt:variant>
        <vt:i4>26</vt:i4>
      </vt:variant>
      <vt:variant>
        <vt:i4>0</vt:i4>
      </vt:variant>
      <vt:variant>
        <vt:i4>5</vt:i4>
      </vt:variant>
      <vt:variant>
        <vt:lpwstr/>
      </vt:variant>
      <vt:variant>
        <vt:lpwstr>_Toc26123086</vt:lpwstr>
      </vt:variant>
      <vt:variant>
        <vt:i4>1441848</vt:i4>
      </vt:variant>
      <vt:variant>
        <vt:i4>20</vt:i4>
      </vt:variant>
      <vt:variant>
        <vt:i4>0</vt:i4>
      </vt:variant>
      <vt:variant>
        <vt:i4>5</vt:i4>
      </vt:variant>
      <vt:variant>
        <vt:lpwstr/>
      </vt:variant>
      <vt:variant>
        <vt:lpwstr>_Toc26123085</vt:lpwstr>
      </vt:variant>
      <vt:variant>
        <vt:i4>1507384</vt:i4>
      </vt:variant>
      <vt:variant>
        <vt:i4>14</vt:i4>
      </vt:variant>
      <vt:variant>
        <vt:i4>0</vt:i4>
      </vt:variant>
      <vt:variant>
        <vt:i4>5</vt:i4>
      </vt:variant>
      <vt:variant>
        <vt:lpwstr/>
      </vt:variant>
      <vt:variant>
        <vt:lpwstr>_Toc26123084</vt:lpwstr>
      </vt:variant>
      <vt:variant>
        <vt:i4>1048632</vt:i4>
      </vt:variant>
      <vt:variant>
        <vt:i4>8</vt:i4>
      </vt:variant>
      <vt:variant>
        <vt:i4>0</vt:i4>
      </vt:variant>
      <vt:variant>
        <vt:i4>5</vt:i4>
      </vt:variant>
      <vt:variant>
        <vt:lpwstr/>
      </vt:variant>
      <vt:variant>
        <vt:lpwstr>_Toc26123083</vt:lpwstr>
      </vt:variant>
      <vt:variant>
        <vt:i4>1114168</vt:i4>
      </vt:variant>
      <vt:variant>
        <vt:i4>2</vt:i4>
      </vt:variant>
      <vt:variant>
        <vt:i4>0</vt:i4>
      </vt:variant>
      <vt:variant>
        <vt:i4>5</vt:i4>
      </vt:variant>
      <vt:variant>
        <vt:lpwstr/>
      </vt:variant>
      <vt:variant>
        <vt:lpwstr>_Toc26123082</vt:lpwstr>
      </vt:variant>
      <vt:variant>
        <vt:i4>131074</vt:i4>
      </vt:variant>
      <vt:variant>
        <vt:i4>6</vt:i4>
      </vt:variant>
      <vt:variant>
        <vt:i4>0</vt:i4>
      </vt:variant>
      <vt:variant>
        <vt:i4>5</vt:i4>
      </vt:variant>
      <vt:variant>
        <vt:lpwstr>http://mgipu.hr/default.aspx?id=12841</vt:lpwstr>
      </vt:variant>
      <vt:variant>
        <vt:lpwstr/>
      </vt:variant>
      <vt:variant>
        <vt:i4>852007</vt:i4>
      </vt:variant>
      <vt:variant>
        <vt:i4>3</vt:i4>
      </vt:variant>
      <vt:variant>
        <vt:i4>0</vt:i4>
      </vt:variant>
      <vt:variant>
        <vt:i4>5</vt:i4>
      </vt:variant>
      <vt:variant>
        <vt:lpwstr>https://ec.europa.eu/environment/sustainable-development/index_en.htm</vt:lpwstr>
      </vt:variant>
      <vt:variant>
        <vt:lpwstr/>
      </vt:variant>
      <vt:variant>
        <vt:i4>1900572</vt:i4>
      </vt:variant>
      <vt:variant>
        <vt:i4>0</vt:i4>
      </vt:variant>
      <vt:variant>
        <vt:i4>0</vt:i4>
      </vt:variant>
      <vt:variant>
        <vt:i4>5</vt:i4>
      </vt:variant>
      <vt:variant>
        <vt:lpwstr>https://mgipu.gov.hr/o-ministarstvu-15/djelokrug/energetska-ucinkovitost-u-zgradarstvu/povelja-o-dekarbonizaciji-zgrada/8915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2019-12-24T12:30:00Z</dcterms:created>
  <dcterms:modified xsi:type="dcterms:W3CDTF">2019-12-24T12:30:00Z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0x010100AC5CC0CA3D02764298E2F4549C840AD7</vt:lpwstr>
  </property>
  <property fmtid="{D5CDD505-2E9C-101B-9397-08002B2CF9AE}" pid="3" name="AuthorIds_UIVersion_4096">
    <vt:lpwstr>34</vt:lpwstr>
  </property>
  <property fmtid="{D5CDD505-2E9C-101B-9397-08002B2CF9AE}" pid="4" name="AuthorIds_UIVersion_5632">
    <vt:lpwstr>34,51</vt:lpwstr>
  </property>
  <property fmtid="{D5CDD505-2E9C-101B-9397-08002B2CF9AE}" pid="5" name="AuthorIds_UIVersion_6656">
    <vt:lpwstr>34</vt:lpwstr>
  </property>
  <property fmtid="{D5CDD505-2E9C-101B-9397-08002B2CF9AE}" pid="6" name="AuthorIds_UIVersion_10240">
    <vt:lpwstr>34,15</vt:lpwstr>
  </property>
  <property fmtid="{D5CDD505-2E9C-101B-9397-08002B2CF9AE}" pid="7" name="AuthorIds_UIVersion_11264">
    <vt:lpwstr>34</vt:lpwstr>
  </property>
  <property fmtid="{D5CDD505-2E9C-101B-9397-08002B2CF9AE}" pid="8" name="AuthorIds_UIVersion_11776">
    <vt:lpwstr>51</vt:lpwstr>
  </property>
  <property fmtid="{D5CDD505-2E9C-101B-9397-08002B2CF9AE}" pid="9" name="AuthorIds_UIVersion_12288">
    <vt:lpwstr>51,34</vt:lpwstr>
  </property>
  <property fmtid="{D5CDD505-2E9C-101B-9397-08002B2CF9AE}" pid="10" name="AuthorIds_UIVersion_12800">
    <vt:lpwstr>51</vt:lpwstr>
  </property>
  <property fmtid="{D5CDD505-2E9C-101B-9397-08002B2CF9AE}" pid="11" name="AuthorIds_UIVersion_13312">
    <vt:lpwstr>34</vt:lpwstr>
  </property>
  <property fmtid="{D5CDD505-2E9C-101B-9397-08002B2CF9AE}" pid="12" name="AuthorIds_UIVersion_13824">
    <vt:lpwstr>51</vt:lpwstr>
  </property>
  <property fmtid="{D5CDD505-2E9C-101B-9397-08002B2CF9AE}" pid="13" name="AuthorIds_UIVersion_16896">
    <vt:lpwstr>51</vt:lpwstr>
  </property>
</Properties>
</file>